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0FEC7B" w14:textId="77777777" w:rsidR="009B1A2F" w:rsidRDefault="009B1A2F" w:rsidP="00A355F9">
      <w:pPr>
        <w:pStyle w:val="MainTitle"/>
        <w:rPr>
          <w:rFonts w:ascii="Arial" w:hAnsi="Arial" w:cs="Arial"/>
          <w:sz w:val="48"/>
          <w:szCs w:val="48"/>
        </w:rPr>
      </w:pPr>
      <w:r>
        <w:rPr>
          <w:rFonts w:ascii="Arial" w:hAnsi="Arial" w:cs="Arial"/>
          <w:sz w:val="48"/>
          <w:szCs w:val="48"/>
        </w:rPr>
        <w:t xml:space="preserve">Concept Paper for a </w:t>
      </w:r>
    </w:p>
    <w:p w14:paraId="33D8EAF1" w14:textId="74830A84" w:rsidR="00B36DF9" w:rsidRPr="009B1A2F" w:rsidRDefault="009B1A2F" w:rsidP="009B1A2F">
      <w:pPr>
        <w:pStyle w:val="MainTitle"/>
        <w:rPr>
          <w:rFonts w:ascii="Arial" w:hAnsi="Arial" w:cs="Arial"/>
          <w:sz w:val="48"/>
          <w:szCs w:val="48"/>
        </w:rPr>
      </w:pPr>
      <w:r>
        <w:rPr>
          <w:rFonts w:ascii="Arial" w:hAnsi="Arial" w:cs="Arial"/>
          <w:sz w:val="48"/>
          <w:szCs w:val="48"/>
        </w:rPr>
        <w:t>National Anti-Racism Framework</w:t>
      </w:r>
      <w:r w:rsidRPr="000E0708">
        <w:rPr>
          <w:rFonts w:ascii="Arial" w:hAnsi="Arial" w:cs="Arial"/>
          <w:sz w:val="48"/>
          <w:szCs w:val="48"/>
        </w:rPr>
        <w:t xml:space="preserve"> </w:t>
      </w:r>
      <w:r w:rsidR="00B36DF9" w:rsidRPr="000E0708">
        <w:rPr>
          <w:rFonts w:ascii="Arial" w:hAnsi="Arial" w:cs="Arial"/>
          <w:sz w:val="48"/>
          <w:szCs w:val="48"/>
        </w:rPr>
        <w:br/>
      </w:r>
      <w:r w:rsidR="00B36DF9" w:rsidRPr="000E0708">
        <w:rPr>
          <w:rFonts w:ascii="Arial" w:hAnsi="Arial" w:cs="Arial"/>
          <w:sz w:val="28"/>
        </w:rPr>
        <w:t>Australian Human Rights Commission</w:t>
      </w:r>
    </w:p>
    <w:p w14:paraId="29C8F251" w14:textId="6033D149" w:rsidR="00AC636D" w:rsidRPr="000E0708" w:rsidRDefault="008A7305" w:rsidP="008A7305">
      <w:pPr>
        <w:jc w:val="right"/>
        <w:rPr>
          <w:rFonts w:ascii="Arial" w:hAnsi="Arial" w:cs="Arial"/>
        </w:rPr>
      </w:pPr>
      <w:r w:rsidRPr="000E0708">
        <w:rPr>
          <w:rFonts w:ascii="Arial" w:hAnsi="Arial" w:cs="Arial"/>
          <w:color w:val="237BBC"/>
          <w:sz w:val="28"/>
          <w:shd w:val="clear" w:color="auto" w:fill="E6E6E6"/>
        </w:rPr>
        <w:fldChar w:fldCharType="begin"/>
      </w:r>
      <w:r w:rsidRPr="000E0708">
        <w:rPr>
          <w:rFonts w:ascii="Arial" w:hAnsi="Arial" w:cs="Arial"/>
          <w:color w:val="237BBC"/>
          <w:sz w:val="28"/>
        </w:rPr>
        <w:instrText xml:space="preserve"> CREATEDATE  \@ "MMMM yyyy"  \* MERGEFORMAT </w:instrText>
      </w:r>
      <w:r w:rsidRPr="000E0708">
        <w:rPr>
          <w:rFonts w:ascii="Arial" w:hAnsi="Arial" w:cs="Arial"/>
          <w:color w:val="237BBC"/>
          <w:sz w:val="28"/>
          <w:shd w:val="clear" w:color="auto" w:fill="E6E6E6"/>
        </w:rPr>
        <w:fldChar w:fldCharType="separate"/>
      </w:r>
      <w:r w:rsidR="009B1A2F">
        <w:rPr>
          <w:rFonts w:ascii="Arial" w:hAnsi="Arial" w:cs="Arial"/>
          <w:noProof/>
          <w:color w:val="237BBC"/>
          <w:sz w:val="28"/>
        </w:rPr>
        <w:t>March</w:t>
      </w:r>
      <w:r w:rsidR="0049385D" w:rsidRPr="000E0708">
        <w:rPr>
          <w:rFonts w:ascii="Arial" w:hAnsi="Arial" w:cs="Arial"/>
          <w:noProof/>
          <w:color w:val="237BBC"/>
          <w:sz w:val="28"/>
        </w:rPr>
        <w:t xml:space="preserve"> 202</w:t>
      </w:r>
      <w:r w:rsidR="009B1A2F">
        <w:rPr>
          <w:rFonts w:ascii="Arial" w:hAnsi="Arial" w:cs="Arial"/>
          <w:noProof/>
          <w:color w:val="237BBC"/>
          <w:sz w:val="28"/>
        </w:rPr>
        <w:t>1</w:t>
      </w:r>
      <w:r w:rsidRPr="000E0708">
        <w:rPr>
          <w:rFonts w:ascii="Arial" w:hAnsi="Arial" w:cs="Arial"/>
          <w:color w:val="237BBC"/>
          <w:sz w:val="28"/>
          <w:shd w:val="clear" w:color="auto" w:fill="E6E6E6"/>
        </w:rPr>
        <w:fldChar w:fldCharType="end"/>
      </w:r>
    </w:p>
    <w:p w14:paraId="1D04DF06" w14:textId="7EFDA643" w:rsidR="00B36DF9" w:rsidRPr="000E0708" w:rsidRDefault="00B36DF9" w:rsidP="00AC636D">
      <w:pPr>
        <w:rPr>
          <w:rFonts w:ascii="Arial" w:hAnsi="Arial" w:cs="Arial"/>
        </w:rPr>
      </w:pPr>
    </w:p>
    <w:p w14:paraId="0D38F4EC" w14:textId="5D18B5CF" w:rsidR="00B36DF9" w:rsidRPr="000E0708" w:rsidRDefault="00B36DF9" w:rsidP="00B36DF9">
      <w:pPr>
        <w:rPr>
          <w:rFonts w:ascii="Arial" w:hAnsi="Arial" w:cs="Arial"/>
        </w:rPr>
      </w:pPr>
    </w:p>
    <w:p w14:paraId="1803A942" w14:textId="77777777" w:rsidR="009E4BD0" w:rsidRPr="000E0708" w:rsidRDefault="009E4BD0" w:rsidP="00B36DF9">
      <w:pPr>
        <w:rPr>
          <w:rFonts w:ascii="Arial" w:hAnsi="Arial" w:cs="Arial"/>
        </w:rPr>
        <w:sectPr w:rsidR="009E4BD0" w:rsidRPr="000E0708" w:rsidSect="009C0379">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227" w:right="1701" w:bottom="1134" w:left="1418" w:header="278" w:footer="1361" w:gutter="0"/>
          <w:pgNumType w:start="2"/>
          <w:cols w:space="708"/>
          <w:titlePg/>
          <w:docGrid w:linePitch="360"/>
        </w:sectPr>
      </w:pPr>
    </w:p>
    <w:p w14:paraId="7C2DCD0B" w14:textId="27E0CE78" w:rsidR="00F721C6" w:rsidRDefault="00F721C6" w:rsidP="00C60343">
      <w:pPr>
        <w:pStyle w:val="TOC1"/>
        <w:rPr>
          <w:rFonts w:ascii="Arial" w:hAnsi="Arial" w:cs="Arial"/>
        </w:rPr>
      </w:pPr>
      <w:bookmarkStart w:id="0" w:name="_Toc209316062"/>
      <w:bookmarkEnd w:id="0"/>
    </w:p>
    <w:p w14:paraId="765DA92F" w14:textId="77777777" w:rsidR="007D4C09" w:rsidRPr="007D4C09" w:rsidRDefault="007D4C09" w:rsidP="007D4C09"/>
    <w:p w14:paraId="04202678" w14:textId="77777777" w:rsidR="00F721C6" w:rsidRPr="000E0708" w:rsidRDefault="00F721C6" w:rsidP="00C60343">
      <w:pPr>
        <w:pStyle w:val="TOC1"/>
        <w:rPr>
          <w:rFonts w:ascii="Arial" w:hAnsi="Arial" w:cs="Arial"/>
        </w:rPr>
      </w:pPr>
    </w:p>
    <w:p w14:paraId="3ACDC731" w14:textId="77777777" w:rsidR="00E61169" w:rsidRDefault="000B5B68" w:rsidP="00F721C6">
      <w:pPr>
        <w:pStyle w:val="TOC1"/>
        <w:ind w:left="0" w:firstLine="0"/>
      </w:pPr>
      <w:r w:rsidRPr="000E0708">
        <w:rPr>
          <w:rFonts w:ascii="Arial" w:hAnsi="Arial" w:cs="Arial"/>
          <w:sz w:val="28"/>
          <w:szCs w:val="28"/>
        </w:rPr>
        <w:t>Contents</w:t>
      </w:r>
      <w:r w:rsidRPr="000E0708">
        <w:rPr>
          <w:rFonts w:ascii="Arial" w:hAnsi="Arial" w:cs="Arial"/>
          <w:color w:val="2B579A"/>
          <w:sz w:val="28"/>
          <w:szCs w:val="28"/>
          <w:shd w:val="clear" w:color="auto" w:fill="E6E6E6"/>
        </w:rPr>
        <w:fldChar w:fldCharType="begin"/>
      </w:r>
      <w:r w:rsidRPr="000E0708">
        <w:rPr>
          <w:rFonts w:ascii="Arial" w:hAnsi="Arial" w:cs="Arial"/>
          <w:sz w:val="28"/>
          <w:szCs w:val="28"/>
        </w:rPr>
        <w:instrText xml:space="preserve"> TOC \o "1-3" \h \z \u </w:instrText>
      </w:r>
      <w:r w:rsidRPr="000E0708">
        <w:rPr>
          <w:rFonts w:ascii="Arial" w:hAnsi="Arial" w:cs="Arial"/>
          <w:color w:val="2B579A"/>
          <w:sz w:val="28"/>
          <w:szCs w:val="28"/>
          <w:shd w:val="clear" w:color="auto" w:fill="E6E6E6"/>
        </w:rPr>
        <w:fldChar w:fldCharType="separate"/>
      </w:r>
    </w:p>
    <w:p w14:paraId="035F656B" w14:textId="3A4A8116" w:rsidR="00E61169" w:rsidRDefault="00535726">
      <w:pPr>
        <w:pStyle w:val="TOC1"/>
        <w:rPr>
          <w:rFonts w:asciiTheme="minorHAnsi" w:eastAsiaTheme="minorEastAsia" w:hAnsiTheme="minorHAnsi" w:cstheme="minorBidi"/>
          <w:b w:val="0"/>
          <w:sz w:val="22"/>
          <w:szCs w:val="22"/>
        </w:rPr>
      </w:pPr>
      <w:hyperlink w:anchor="_Toc66719688" w:history="1">
        <w:r w:rsidR="00E61169" w:rsidRPr="002D72F2">
          <w:rPr>
            <w:rStyle w:val="Hyperlink"/>
            <w:lang w:val="en-GB"/>
          </w:rPr>
          <w:t>1</w:t>
        </w:r>
        <w:r w:rsidR="00E61169">
          <w:rPr>
            <w:rFonts w:asciiTheme="minorHAnsi" w:eastAsiaTheme="minorEastAsia" w:hAnsiTheme="minorHAnsi" w:cstheme="minorBidi"/>
            <w:b w:val="0"/>
            <w:sz w:val="22"/>
            <w:szCs w:val="22"/>
          </w:rPr>
          <w:tab/>
        </w:r>
        <w:r w:rsidR="00E61169" w:rsidRPr="002D72F2">
          <w:rPr>
            <w:rStyle w:val="Hyperlink"/>
            <w:lang w:val="en-GB"/>
          </w:rPr>
          <w:t>Introduction</w:t>
        </w:r>
        <w:r w:rsidR="00E61169">
          <w:rPr>
            <w:webHidden/>
          </w:rPr>
          <w:tab/>
        </w:r>
        <w:r w:rsidR="00E61169">
          <w:rPr>
            <w:webHidden/>
            <w:color w:val="2B579A"/>
            <w:shd w:val="clear" w:color="auto" w:fill="E6E6E6"/>
          </w:rPr>
          <w:fldChar w:fldCharType="begin"/>
        </w:r>
        <w:r w:rsidR="00E61169">
          <w:rPr>
            <w:webHidden/>
          </w:rPr>
          <w:instrText xml:space="preserve"> PAGEREF _Toc66719688 \h </w:instrText>
        </w:r>
        <w:r w:rsidR="00E61169">
          <w:rPr>
            <w:webHidden/>
            <w:color w:val="2B579A"/>
            <w:shd w:val="clear" w:color="auto" w:fill="E6E6E6"/>
          </w:rPr>
        </w:r>
        <w:r w:rsidR="00E61169">
          <w:rPr>
            <w:webHidden/>
            <w:color w:val="2B579A"/>
            <w:shd w:val="clear" w:color="auto" w:fill="E6E6E6"/>
          </w:rPr>
          <w:fldChar w:fldCharType="separate"/>
        </w:r>
        <w:r w:rsidR="00E61169">
          <w:rPr>
            <w:webHidden/>
          </w:rPr>
          <w:t>3</w:t>
        </w:r>
        <w:r w:rsidR="00E61169">
          <w:rPr>
            <w:webHidden/>
            <w:color w:val="2B579A"/>
            <w:shd w:val="clear" w:color="auto" w:fill="E6E6E6"/>
          </w:rPr>
          <w:fldChar w:fldCharType="end"/>
        </w:r>
      </w:hyperlink>
    </w:p>
    <w:p w14:paraId="7DC25956" w14:textId="2FAFBACA" w:rsidR="00E61169" w:rsidRDefault="00535726">
      <w:pPr>
        <w:pStyle w:val="TOC1"/>
        <w:rPr>
          <w:rFonts w:asciiTheme="minorHAnsi" w:eastAsiaTheme="minorEastAsia" w:hAnsiTheme="minorHAnsi" w:cstheme="minorBidi"/>
          <w:b w:val="0"/>
          <w:sz w:val="22"/>
          <w:szCs w:val="22"/>
        </w:rPr>
      </w:pPr>
      <w:hyperlink w:anchor="_Toc66719689" w:history="1">
        <w:r w:rsidR="00E61169" w:rsidRPr="002D72F2">
          <w:rPr>
            <w:rStyle w:val="Hyperlink"/>
            <w:lang w:val="en-GB"/>
          </w:rPr>
          <w:t>2</w:t>
        </w:r>
        <w:r w:rsidR="00E61169">
          <w:rPr>
            <w:rFonts w:asciiTheme="minorHAnsi" w:eastAsiaTheme="minorEastAsia" w:hAnsiTheme="minorHAnsi" w:cstheme="minorBidi"/>
            <w:b w:val="0"/>
            <w:sz w:val="22"/>
            <w:szCs w:val="22"/>
          </w:rPr>
          <w:tab/>
        </w:r>
        <w:r w:rsidR="00E61169" w:rsidRPr="002D72F2">
          <w:rPr>
            <w:rStyle w:val="Hyperlink"/>
            <w:lang w:val="en-GB"/>
          </w:rPr>
          <w:t>Why do we need a National Anti-Racism Framework?</w:t>
        </w:r>
        <w:r w:rsidR="00E61169">
          <w:rPr>
            <w:webHidden/>
          </w:rPr>
          <w:tab/>
        </w:r>
        <w:r w:rsidR="00E61169">
          <w:rPr>
            <w:webHidden/>
            <w:color w:val="2B579A"/>
            <w:shd w:val="clear" w:color="auto" w:fill="E6E6E6"/>
          </w:rPr>
          <w:fldChar w:fldCharType="begin"/>
        </w:r>
        <w:r w:rsidR="00E61169">
          <w:rPr>
            <w:webHidden/>
          </w:rPr>
          <w:instrText xml:space="preserve"> PAGEREF _Toc66719689 \h </w:instrText>
        </w:r>
        <w:r w:rsidR="00E61169">
          <w:rPr>
            <w:webHidden/>
            <w:color w:val="2B579A"/>
            <w:shd w:val="clear" w:color="auto" w:fill="E6E6E6"/>
          </w:rPr>
        </w:r>
        <w:r w:rsidR="00E61169">
          <w:rPr>
            <w:webHidden/>
            <w:color w:val="2B579A"/>
            <w:shd w:val="clear" w:color="auto" w:fill="E6E6E6"/>
          </w:rPr>
          <w:fldChar w:fldCharType="separate"/>
        </w:r>
        <w:r w:rsidR="00E61169">
          <w:rPr>
            <w:webHidden/>
          </w:rPr>
          <w:t>5</w:t>
        </w:r>
        <w:r w:rsidR="00E61169">
          <w:rPr>
            <w:webHidden/>
            <w:color w:val="2B579A"/>
            <w:shd w:val="clear" w:color="auto" w:fill="E6E6E6"/>
          </w:rPr>
          <w:fldChar w:fldCharType="end"/>
        </w:r>
      </w:hyperlink>
    </w:p>
    <w:p w14:paraId="23EA4389" w14:textId="61C7879B" w:rsidR="00E61169" w:rsidRDefault="00535726">
      <w:pPr>
        <w:pStyle w:val="TOC1"/>
        <w:rPr>
          <w:rFonts w:asciiTheme="minorHAnsi" w:eastAsiaTheme="minorEastAsia" w:hAnsiTheme="minorHAnsi" w:cstheme="minorBidi"/>
          <w:b w:val="0"/>
          <w:sz w:val="22"/>
          <w:szCs w:val="22"/>
        </w:rPr>
      </w:pPr>
      <w:hyperlink w:anchor="_Toc66719690" w:history="1">
        <w:r w:rsidR="00E61169" w:rsidRPr="002D72F2">
          <w:rPr>
            <w:rStyle w:val="Hyperlink"/>
            <w:lang w:val="en-GB"/>
          </w:rPr>
          <w:t>3</w:t>
        </w:r>
        <w:r w:rsidR="00E61169">
          <w:rPr>
            <w:rFonts w:asciiTheme="minorHAnsi" w:eastAsiaTheme="minorEastAsia" w:hAnsiTheme="minorHAnsi" w:cstheme="minorBidi"/>
            <w:b w:val="0"/>
            <w:sz w:val="22"/>
            <w:szCs w:val="22"/>
          </w:rPr>
          <w:tab/>
        </w:r>
        <w:r w:rsidR="00E61169" w:rsidRPr="002D72F2">
          <w:rPr>
            <w:rStyle w:val="Hyperlink"/>
            <w:lang w:val="en-GB"/>
          </w:rPr>
          <w:t>How could a National Framework operate?</w:t>
        </w:r>
        <w:r w:rsidR="00E61169">
          <w:rPr>
            <w:webHidden/>
          </w:rPr>
          <w:tab/>
        </w:r>
        <w:r w:rsidR="00E61169">
          <w:rPr>
            <w:webHidden/>
            <w:color w:val="2B579A"/>
            <w:shd w:val="clear" w:color="auto" w:fill="E6E6E6"/>
          </w:rPr>
          <w:fldChar w:fldCharType="begin"/>
        </w:r>
        <w:r w:rsidR="00E61169">
          <w:rPr>
            <w:webHidden/>
          </w:rPr>
          <w:instrText xml:space="preserve"> PAGEREF _Toc66719690 \h </w:instrText>
        </w:r>
        <w:r w:rsidR="00E61169">
          <w:rPr>
            <w:webHidden/>
            <w:color w:val="2B579A"/>
            <w:shd w:val="clear" w:color="auto" w:fill="E6E6E6"/>
          </w:rPr>
        </w:r>
        <w:r w:rsidR="00E61169">
          <w:rPr>
            <w:webHidden/>
            <w:color w:val="2B579A"/>
            <w:shd w:val="clear" w:color="auto" w:fill="E6E6E6"/>
          </w:rPr>
          <w:fldChar w:fldCharType="separate"/>
        </w:r>
        <w:r w:rsidR="00E61169">
          <w:rPr>
            <w:webHidden/>
          </w:rPr>
          <w:t>8</w:t>
        </w:r>
        <w:r w:rsidR="00E61169">
          <w:rPr>
            <w:webHidden/>
            <w:color w:val="2B579A"/>
            <w:shd w:val="clear" w:color="auto" w:fill="E6E6E6"/>
          </w:rPr>
          <w:fldChar w:fldCharType="end"/>
        </w:r>
      </w:hyperlink>
    </w:p>
    <w:p w14:paraId="6D2DAC05" w14:textId="0BABA600" w:rsidR="00E61169" w:rsidRDefault="00535726">
      <w:pPr>
        <w:pStyle w:val="TOC1"/>
        <w:rPr>
          <w:rFonts w:asciiTheme="minorHAnsi" w:eastAsiaTheme="minorEastAsia" w:hAnsiTheme="minorHAnsi" w:cstheme="minorBidi"/>
          <w:b w:val="0"/>
          <w:sz w:val="22"/>
          <w:szCs w:val="22"/>
        </w:rPr>
      </w:pPr>
      <w:hyperlink w:anchor="_Toc66719691" w:history="1">
        <w:r w:rsidR="00E61169" w:rsidRPr="002D72F2">
          <w:rPr>
            <w:rStyle w:val="Hyperlink"/>
            <w:lang w:val="en-GB"/>
          </w:rPr>
          <w:t>4</w:t>
        </w:r>
        <w:r w:rsidR="00E61169">
          <w:rPr>
            <w:rFonts w:asciiTheme="minorHAnsi" w:eastAsiaTheme="minorEastAsia" w:hAnsiTheme="minorHAnsi" w:cstheme="minorBidi"/>
            <w:b w:val="0"/>
            <w:sz w:val="22"/>
            <w:szCs w:val="22"/>
          </w:rPr>
          <w:tab/>
        </w:r>
        <w:r w:rsidR="00E61169" w:rsidRPr="002D72F2">
          <w:rPr>
            <w:rStyle w:val="Hyperlink"/>
            <w:lang w:val="en-GB"/>
          </w:rPr>
          <w:t>What principles could guide a National Framework?</w:t>
        </w:r>
        <w:r w:rsidR="00E61169">
          <w:rPr>
            <w:webHidden/>
          </w:rPr>
          <w:tab/>
        </w:r>
        <w:r w:rsidR="00E61169">
          <w:rPr>
            <w:webHidden/>
            <w:color w:val="2B579A"/>
            <w:shd w:val="clear" w:color="auto" w:fill="E6E6E6"/>
          </w:rPr>
          <w:fldChar w:fldCharType="begin"/>
        </w:r>
        <w:r w:rsidR="00E61169">
          <w:rPr>
            <w:webHidden/>
          </w:rPr>
          <w:instrText xml:space="preserve"> PAGEREF _Toc66719691 \h </w:instrText>
        </w:r>
        <w:r w:rsidR="00E61169">
          <w:rPr>
            <w:webHidden/>
            <w:color w:val="2B579A"/>
            <w:shd w:val="clear" w:color="auto" w:fill="E6E6E6"/>
          </w:rPr>
        </w:r>
        <w:r w:rsidR="00E61169">
          <w:rPr>
            <w:webHidden/>
            <w:color w:val="2B579A"/>
            <w:shd w:val="clear" w:color="auto" w:fill="E6E6E6"/>
          </w:rPr>
          <w:fldChar w:fldCharType="separate"/>
        </w:r>
        <w:r w:rsidR="00E61169">
          <w:rPr>
            <w:webHidden/>
          </w:rPr>
          <w:t>10</w:t>
        </w:r>
        <w:r w:rsidR="00E61169">
          <w:rPr>
            <w:webHidden/>
            <w:color w:val="2B579A"/>
            <w:shd w:val="clear" w:color="auto" w:fill="E6E6E6"/>
          </w:rPr>
          <w:fldChar w:fldCharType="end"/>
        </w:r>
      </w:hyperlink>
    </w:p>
    <w:p w14:paraId="0C2D2013" w14:textId="05F70B4B" w:rsidR="00E61169" w:rsidRDefault="00535726">
      <w:pPr>
        <w:pStyle w:val="TOC1"/>
        <w:rPr>
          <w:rFonts w:asciiTheme="minorHAnsi" w:eastAsiaTheme="minorEastAsia" w:hAnsiTheme="minorHAnsi" w:cstheme="minorBidi"/>
          <w:b w:val="0"/>
          <w:sz w:val="22"/>
          <w:szCs w:val="22"/>
        </w:rPr>
      </w:pPr>
      <w:hyperlink w:anchor="_Toc66719692" w:history="1">
        <w:r w:rsidR="00E61169" w:rsidRPr="002D72F2">
          <w:rPr>
            <w:rStyle w:val="Hyperlink"/>
            <w:lang w:val="en-GB"/>
          </w:rPr>
          <w:t>5</w:t>
        </w:r>
        <w:r w:rsidR="00E61169">
          <w:rPr>
            <w:rFonts w:asciiTheme="minorHAnsi" w:eastAsiaTheme="minorEastAsia" w:hAnsiTheme="minorHAnsi" w:cstheme="minorBidi"/>
            <w:b w:val="0"/>
            <w:sz w:val="22"/>
            <w:szCs w:val="22"/>
          </w:rPr>
          <w:tab/>
        </w:r>
        <w:r w:rsidR="00E61169" w:rsidRPr="002D72F2">
          <w:rPr>
            <w:rStyle w:val="Hyperlink"/>
            <w:lang w:val="en-GB"/>
          </w:rPr>
          <w:t>How would the National Framework be developed?</w:t>
        </w:r>
        <w:r w:rsidR="00E61169">
          <w:rPr>
            <w:webHidden/>
          </w:rPr>
          <w:tab/>
        </w:r>
        <w:r w:rsidR="00E61169">
          <w:rPr>
            <w:webHidden/>
            <w:color w:val="2B579A"/>
            <w:shd w:val="clear" w:color="auto" w:fill="E6E6E6"/>
          </w:rPr>
          <w:fldChar w:fldCharType="begin"/>
        </w:r>
        <w:r w:rsidR="00E61169">
          <w:rPr>
            <w:webHidden/>
          </w:rPr>
          <w:instrText xml:space="preserve"> PAGEREF _Toc66719692 \h </w:instrText>
        </w:r>
        <w:r w:rsidR="00E61169">
          <w:rPr>
            <w:webHidden/>
            <w:color w:val="2B579A"/>
            <w:shd w:val="clear" w:color="auto" w:fill="E6E6E6"/>
          </w:rPr>
        </w:r>
        <w:r w:rsidR="00E61169">
          <w:rPr>
            <w:webHidden/>
            <w:color w:val="2B579A"/>
            <w:shd w:val="clear" w:color="auto" w:fill="E6E6E6"/>
          </w:rPr>
          <w:fldChar w:fldCharType="separate"/>
        </w:r>
        <w:r w:rsidR="00E61169">
          <w:rPr>
            <w:webHidden/>
          </w:rPr>
          <w:t>12</w:t>
        </w:r>
        <w:r w:rsidR="00E61169">
          <w:rPr>
            <w:webHidden/>
            <w:color w:val="2B579A"/>
            <w:shd w:val="clear" w:color="auto" w:fill="E6E6E6"/>
          </w:rPr>
          <w:fldChar w:fldCharType="end"/>
        </w:r>
      </w:hyperlink>
    </w:p>
    <w:p w14:paraId="3A342DE1" w14:textId="4F531EAF" w:rsidR="00E61169" w:rsidRDefault="00535726">
      <w:pPr>
        <w:pStyle w:val="TOC1"/>
        <w:rPr>
          <w:rFonts w:asciiTheme="minorHAnsi" w:eastAsiaTheme="minorEastAsia" w:hAnsiTheme="minorHAnsi" w:cstheme="minorBidi"/>
          <w:b w:val="0"/>
          <w:sz w:val="22"/>
          <w:szCs w:val="22"/>
        </w:rPr>
      </w:pPr>
      <w:hyperlink w:anchor="_Toc66719693" w:history="1">
        <w:r w:rsidR="00E61169" w:rsidRPr="002D72F2">
          <w:rPr>
            <w:rStyle w:val="Hyperlink"/>
          </w:rPr>
          <w:t>6</w:t>
        </w:r>
        <w:r w:rsidR="00E61169">
          <w:rPr>
            <w:rFonts w:asciiTheme="minorHAnsi" w:eastAsiaTheme="minorEastAsia" w:hAnsiTheme="minorHAnsi" w:cstheme="minorBidi"/>
            <w:b w:val="0"/>
            <w:sz w:val="22"/>
            <w:szCs w:val="22"/>
          </w:rPr>
          <w:tab/>
        </w:r>
        <w:r w:rsidR="00E61169" w:rsidRPr="002D72F2">
          <w:rPr>
            <w:rStyle w:val="Hyperlink"/>
          </w:rPr>
          <w:t>Examples of what a National Framework might look like</w:t>
        </w:r>
        <w:r w:rsidR="00E61169">
          <w:rPr>
            <w:webHidden/>
          </w:rPr>
          <w:tab/>
        </w:r>
        <w:r w:rsidR="00E61169">
          <w:rPr>
            <w:webHidden/>
            <w:color w:val="2B579A"/>
            <w:shd w:val="clear" w:color="auto" w:fill="E6E6E6"/>
          </w:rPr>
          <w:fldChar w:fldCharType="begin"/>
        </w:r>
        <w:r w:rsidR="00E61169">
          <w:rPr>
            <w:webHidden/>
          </w:rPr>
          <w:instrText xml:space="preserve"> PAGEREF _Toc66719693 \h </w:instrText>
        </w:r>
        <w:r w:rsidR="00E61169">
          <w:rPr>
            <w:webHidden/>
            <w:color w:val="2B579A"/>
            <w:shd w:val="clear" w:color="auto" w:fill="E6E6E6"/>
          </w:rPr>
        </w:r>
        <w:r w:rsidR="00E61169">
          <w:rPr>
            <w:webHidden/>
            <w:color w:val="2B579A"/>
            <w:shd w:val="clear" w:color="auto" w:fill="E6E6E6"/>
          </w:rPr>
          <w:fldChar w:fldCharType="separate"/>
        </w:r>
        <w:r w:rsidR="00E61169">
          <w:rPr>
            <w:webHidden/>
          </w:rPr>
          <w:t>13</w:t>
        </w:r>
        <w:r w:rsidR="00E61169">
          <w:rPr>
            <w:webHidden/>
            <w:color w:val="2B579A"/>
            <w:shd w:val="clear" w:color="auto" w:fill="E6E6E6"/>
          </w:rPr>
          <w:fldChar w:fldCharType="end"/>
        </w:r>
      </w:hyperlink>
    </w:p>
    <w:p w14:paraId="7ED0D452" w14:textId="09568788" w:rsidR="00E61169" w:rsidRDefault="00535726">
      <w:pPr>
        <w:pStyle w:val="TOC1"/>
        <w:rPr>
          <w:rFonts w:asciiTheme="minorHAnsi" w:eastAsiaTheme="minorEastAsia" w:hAnsiTheme="minorHAnsi" w:cstheme="minorBidi"/>
          <w:b w:val="0"/>
          <w:sz w:val="22"/>
          <w:szCs w:val="22"/>
        </w:rPr>
      </w:pPr>
      <w:hyperlink w:anchor="_Toc66719694" w:history="1">
        <w:r w:rsidR="00E61169" w:rsidRPr="002D72F2">
          <w:rPr>
            <w:rStyle w:val="Hyperlink"/>
          </w:rPr>
          <w:t>7</w:t>
        </w:r>
        <w:r w:rsidR="00E61169">
          <w:rPr>
            <w:rFonts w:asciiTheme="minorHAnsi" w:eastAsiaTheme="minorEastAsia" w:hAnsiTheme="minorHAnsi" w:cstheme="minorBidi"/>
            <w:b w:val="0"/>
            <w:sz w:val="22"/>
            <w:szCs w:val="22"/>
          </w:rPr>
          <w:tab/>
        </w:r>
        <w:r w:rsidR="00E61169" w:rsidRPr="002D72F2">
          <w:rPr>
            <w:rStyle w:val="Hyperlink"/>
          </w:rPr>
          <w:t>Key elements of a proposed National Framework</w:t>
        </w:r>
        <w:r w:rsidR="00E61169">
          <w:rPr>
            <w:webHidden/>
          </w:rPr>
          <w:tab/>
        </w:r>
        <w:r w:rsidR="00E61169">
          <w:rPr>
            <w:webHidden/>
            <w:color w:val="2B579A"/>
            <w:shd w:val="clear" w:color="auto" w:fill="E6E6E6"/>
          </w:rPr>
          <w:fldChar w:fldCharType="begin"/>
        </w:r>
        <w:r w:rsidR="00E61169">
          <w:rPr>
            <w:webHidden/>
          </w:rPr>
          <w:instrText xml:space="preserve"> PAGEREF _Toc66719694 \h </w:instrText>
        </w:r>
        <w:r w:rsidR="00E61169">
          <w:rPr>
            <w:webHidden/>
            <w:color w:val="2B579A"/>
            <w:shd w:val="clear" w:color="auto" w:fill="E6E6E6"/>
          </w:rPr>
        </w:r>
        <w:r w:rsidR="00E61169">
          <w:rPr>
            <w:webHidden/>
            <w:color w:val="2B579A"/>
            <w:shd w:val="clear" w:color="auto" w:fill="E6E6E6"/>
          </w:rPr>
          <w:fldChar w:fldCharType="separate"/>
        </w:r>
        <w:r w:rsidR="00E61169">
          <w:rPr>
            <w:webHidden/>
          </w:rPr>
          <w:t>20</w:t>
        </w:r>
        <w:r w:rsidR="00E61169">
          <w:rPr>
            <w:webHidden/>
            <w:color w:val="2B579A"/>
            <w:shd w:val="clear" w:color="auto" w:fill="E6E6E6"/>
          </w:rPr>
          <w:fldChar w:fldCharType="end"/>
        </w:r>
      </w:hyperlink>
    </w:p>
    <w:p w14:paraId="110D813F" w14:textId="44596D5F" w:rsidR="00451F12" w:rsidRPr="007D4C09" w:rsidRDefault="000B5B68" w:rsidP="007D4C09">
      <w:pPr>
        <w:pStyle w:val="TOC1"/>
        <w:rPr>
          <w:color w:val="0000FF"/>
          <w:u w:val="single"/>
        </w:rPr>
      </w:pPr>
      <w:r w:rsidRPr="000E0708">
        <w:rPr>
          <w:rFonts w:ascii="Arial" w:hAnsi="Arial" w:cs="Arial"/>
          <w:b w:val="0"/>
          <w:color w:val="2B579A"/>
          <w:shd w:val="clear" w:color="auto" w:fill="E6E6E6"/>
        </w:rPr>
        <w:fldChar w:fldCharType="end"/>
      </w:r>
    </w:p>
    <w:p w14:paraId="5F268A51" w14:textId="77777777" w:rsidR="007D4C09" w:rsidRDefault="007D4C09">
      <w:pPr>
        <w:spacing w:before="0" w:after="0"/>
        <w:rPr>
          <w:b/>
          <w:bCs/>
          <w:sz w:val="36"/>
          <w:szCs w:val="28"/>
          <w:lang w:val="en-GB"/>
        </w:rPr>
      </w:pPr>
      <w:r>
        <w:rPr>
          <w:lang w:val="en-GB"/>
        </w:rPr>
        <w:br w:type="page"/>
      </w:r>
    </w:p>
    <w:p w14:paraId="7C132F09" w14:textId="77777777" w:rsidR="00451F12" w:rsidRDefault="00451F12" w:rsidP="009A3668">
      <w:pPr>
        <w:pStyle w:val="Heading1"/>
        <w:ind w:left="284" w:hanging="426"/>
        <w:rPr>
          <w:rFonts w:eastAsiaTheme="minorEastAsia"/>
          <w:lang w:val="en-GB"/>
        </w:rPr>
      </w:pPr>
      <w:bookmarkStart w:id="1" w:name="_Toc66719688"/>
      <w:r w:rsidRPr="46611AC7">
        <w:rPr>
          <w:lang w:val="en-GB"/>
        </w:rPr>
        <w:lastRenderedPageBreak/>
        <w:t>Introduction</w:t>
      </w:r>
      <w:bookmarkEnd w:id="1"/>
    </w:p>
    <w:p w14:paraId="0700765E" w14:textId="77777777" w:rsidR="00451F12" w:rsidRDefault="00451F12" w:rsidP="00451F12">
      <w:pPr>
        <w:ind w:left="270"/>
      </w:pPr>
      <w:r w:rsidRPr="46611AC7">
        <w:rPr>
          <w:rFonts w:eastAsia="Open Sans" w:cs="Open Sans"/>
          <w:lang w:val="en-GB"/>
        </w:rPr>
        <w:t xml:space="preserve">As Race Discrimination Commissioner, I am deeply troubled by a resurgence in racism being experienced in Australia and across the globe. This has been painfully apparent over the past year. </w:t>
      </w:r>
    </w:p>
    <w:p w14:paraId="37C99EA2" w14:textId="77777777" w:rsidR="00451F12" w:rsidRDefault="00451F12" w:rsidP="009A3668">
      <w:pPr>
        <w:ind w:left="284"/>
      </w:pPr>
      <w:r w:rsidRPr="46611AC7">
        <w:rPr>
          <w:rFonts w:eastAsia="Open Sans" w:cs="Open Sans"/>
          <w:lang w:val="en-GB"/>
        </w:rPr>
        <w:t xml:space="preserve">The Black Lives Matter movement has highlighted injustices experienced by people from culturally diverse backgrounds and by Aboriginal and Torres Strait Islander peoples. </w:t>
      </w:r>
    </w:p>
    <w:p w14:paraId="4CD78651" w14:textId="77777777" w:rsidR="00451F12" w:rsidRDefault="00451F12" w:rsidP="00451F12">
      <w:pPr>
        <w:ind w:left="270"/>
      </w:pPr>
      <w:r w:rsidRPr="46611AC7">
        <w:rPr>
          <w:rFonts w:eastAsia="Open Sans" w:cs="Open Sans"/>
          <w:lang w:val="en-GB"/>
        </w:rPr>
        <w:t xml:space="preserve">The COVID-19 pandemic has exposed ugly racism against people of Asian descent here in Australia. And ASIO and the Australian Federal Police have repeatedly identified home grown terrorism and extremism as a significant threat to the national security of Australia. </w:t>
      </w:r>
    </w:p>
    <w:p w14:paraId="0348A6A0" w14:textId="77777777" w:rsidR="00451F12" w:rsidRDefault="00451F12" w:rsidP="00451F12">
      <w:pPr>
        <w:ind w:left="270"/>
      </w:pPr>
      <w:r w:rsidRPr="46611AC7">
        <w:rPr>
          <w:rFonts w:eastAsia="Open Sans" w:cs="Open Sans"/>
          <w:lang w:val="en-GB"/>
        </w:rPr>
        <w:t xml:space="preserve">It is also now just over two years since the terrible events in Christchurch, New Zealand, where an Australian man murdered 51 people, and attempted to murder another 40 people. The New Zealand Royal Commission into that event described it as ‘deplorable and incomprehensible’.  </w:t>
      </w:r>
    </w:p>
    <w:p w14:paraId="152CE965" w14:textId="6F629C50" w:rsidR="00451F12" w:rsidRDefault="00451F12" w:rsidP="00451F12">
      <w:pPr>
        <w:ind w:left="270"/>
        <w:rPr>
          <w:rFonts w:eastAsia="Open Sans" w:cs="Open Sans"/>
          <w:b/>
          <w:bCs/>
          <w:sz w:val="39"/>
          <w:szCs w:val="39"/>
          <w:lang w:val="en-GB"/>
        </w:rPr>
      </w:pPr>
      <w:r w:rsidRPr="46611AC7">
        <w:rPr>
          <w:rFonts w:eastAsia="Open Sans" w:cs="Open Sans"/>
          <w:lang w:val="en-GB"/>
        </w:rPr>
        <w:t>The report of that Royal Commission was released in late December 2020. It noted that societies that become polarised around difference, are likely to see radicalised ideologies develop and flourish.  It also identified that efforts to build social cohesion are important in preventing or countering such extremism.</w:t>
      </w:r>
    </w:p>
    <w:p w14:paraId="7702940B" w14:textId="77777777" w:rsidR="00451F12" w:rsidRDefault="00451F12" w:rsidP="00451F12">
      <w:pPr>
        <w:ind w:left="270"/>
        <w:rPr>
          <w:rFonts w:eastAsia="Open Sans" w:cs="Open Sans"/>
          <w:lang w:val="en-GB"/>
        </w:rPr>
      </w:pPr>
      <w:r w:rsidRPr="46611AC7">
        <w:rPr>
          <w:rFonts w:eastAsia="Open Sans" w:cs="Open Sans"/>
          <w:lang w:val="en-GB"/>
        </w:rPr>
        <w:t>We stand at an important moment in our nation’s development. The challenges we face to maintain a peaceful, harmonious multicultural society are many. The opportunities we have before us to transform relations with Indigenous peoples and eliminate racism, for example, are substantial.</w:t>
      </w:r>
    </w:p>
    <w:p w14:paraId="38F65E5C" w14:textId="3FADACD0" w:rsidR="00451F12" w:rsidRDefault="00451F12" w:rsidP="00451F12">
      <w:pPr>
        <w:ind w:left="270"/>
      </w:pPr>
      <w:r w:rsidRPr="46611AC7">
        <w:rPr>
          <w:rFonts w:eastAsia="Open Sans" w:cs="Open Sans"/>
          <w:lang w:val="en-GB"/>
        </w:rPr>
        <w:t>I wholeheartedly agree with Reconciliation Australia, as it states in its latest State of Reconciliation report, that we are at a tipping point, and as a nation we need to move from a space of ‘safe’ to ‘brave’ on issues affecting Aboriginal and Torres Strait Islander peoples.</w:t>
      </w:r>
      <w:r w:rsidR="009B15BE">
        <w:rPr>
          <w:rStyle w:val="FootnoteReference"/>
          <w:rFonts w:eastAsia="Open Sans" w:cs="Open Sans"/>
          <w:lang w:val="en-GB"/>
        </w:rPr>
        <w:footnoteReference w:id="2"/>
      </w:r>
      <w:r w:rsidRPr="46611AC7">
        <w:rPr>
          <w:rFonts w:eastAsia="Open Sans" w:cs="Open Sans"/>
          <w:lang w:val="en-GB"/>
        </w:rPr>
        <w:t xml:space="preserve"> This bravery is needed on all issues relating to racism and inclusion in Australia.</w:t>
      </w:r>
    </w:p>
    <w:p w14:paraId="1835BCC0" w14:textId="77777777" w:rsidR="00485275" w:rsidRDefault="00451F12" w:rsidP="00451F12">
      <w:pPr>
        <w:ind w:left="270"/>
        <w:rPr>
          <w:rFonts w:eastAsia="Open Sans" w:cs="Open Sans"/>
          <w:lang w:val="en-GB"/>
        </w:rPr>
      </w:pPr>
      <w:r w:rsidRPr="46611AC7">
        <w:rPr>
          <w:rFonts w:eastAsia="Open Sans" w:cs="Open Sans"/>
          <w:lang w:val="en-GB"/>
        </w:rPr>
        <w:lastRenderedPageBreak/>
        <w:t xml:space="preserve">And so today I am calling on the Australian Government to implement a National </w:t>
      </w:r>
      <w:r w:rsidR="00A15952" w:rsidRPr="46611AC7">
        <w:rPr>
          <w:rFonts w:eastAsia="Open Sans" w:cs="Open Sans"/>
          <w:lang w:val="en-GB"/>
        </w:rPr>
        <w:t xml:space="preserve">Anti-Racism </w:t>
      </w:r>
      <w:r w:rsidRPr="46611AC7">
        <w:rPr>
          <w:rFonts w:eastAsia="Open Sans" w:cs="Open Sans"/>
          <w:lang w:val="en-GB"/>
        </w:rPr>
        <w:t xml:space="preserve">Framework.  </w:t>
      </w:r>
    </w:p>
    <w:p w14:paraId="5E8ECCB5" w14:textId="13CFB49A" w:rsidR="00451F12" w:rsidRDefault="3CAAF889" w:rsidP="00451F12">
      <w:pPr>
        <w:ind w:left="270"/>
      </w:pPr>
      <w:r w:rsidRPr="3719E8B0">
        <w:rPr>
          <w:rFonts w:eastAsia="Open Sans" w:cs="Open Sans"/>
          <w:lang w:val="en-GB"/>
        </w:rPr>
        <w:t>Such a F</w:t>
      </w:r>
      <w:proofErr w:type="spellStart"/>
      <w:r w:rsidRPr="3719E8B0">
        <w:rPr>
          <w:rFonts w:cs="Open Sans"/>
        </w:rPr>
        <w:t>ramework</w:t>
      </w:r>
      <w:proofErr w:type="spellEnd"/>
      <w:r w:rsidRPr="3719E8B0">
        <w:rPr>
          <w:rFonts w:cs="Open Sans"/>
        </w:rPr>
        <w:t xml:space="preserve"> </w:t>
      </w:r>
      <w:r w:rsidR="2BF13FB5" w:rsidRPr="3719E8B0">
        <w:rPr>
          <w:rFonts w:cs="Open Sans"/>
        </w:rPr>
        <w:t>w</w:t>
      </w:r>
      <w:r w:rsidRPr="3719E8B0">
        <w:rPr>
          <w:rFonts w:cs="Open Sans"/>
        </w:rPr>
        <w:t>ould outline a coordinated, shared vision to tackle racism and promote racial equality in Australia.</w:t>
      </w:r>
      <w:r w:rsidR="0BA15470" w:rsidRPr="3719E8B0">
        <w:rPr>
          <w:rFonts w:cs="Open Sans"/>
        </w:rPr>
        <w:t xml:space="preserve"> It would be a statement of our </w:t>
      </w:r>
      <w:r w:rsidR="464C82D2" w:rsidRPr="3719E8B0">
        <w:rPr>
          <w:rFonts w:cs="Open Sans"/>
        </w:rPr>
        <w:t xml:space="preserve">commitment </w:t>
      </w:r>
      <w:r w:rsidR="00F76555" w:rsidRPr="3719E8B0">
        <w:rPr>
          <w:rFonts w:cs="Open Sans"/>
        </w:rPr>
        <w:t xml:space="preserve">to tackling racism </w:t>
      </w:r>
      <w:r w:rsidR="464C82D2" w:rsidRPr="3719E8B0">
        <w:rPr>
          <w:rFonts w:cs="Open Sans"/>
        </w:rPr>
        <w:t xml:space="preserve">and </w:t>
      </w:r>
      <w:r w:rsidR="00F76555" w:rsidRPr="3719E8B0">
        <w:rPr>
          <w:rFonts w:cs="Open Sans"/>
        </w:rPr>
        <w:t xml:space="preserve">our </w:t>
      </w:r>
      <w:r w:rsidR="464C82D2" w:rsidRPr="3719E8B0">
        <w:rPr>
          <w:rFonts w:cs="Open Sans"/>
        </w:rPr>
        <w:t>intent</w:t>
      </w:r>
      <w:r w:rsidR="1B37EA39" w:rsidRPr="3719E8B0">
        <w:rPr>
          <w:rFonts w:cs="Open Sans"/>
        </w:rPr>
        <w:t>ion</w:t>
      </w:r>
      <w:r w:rsidR="464C82D2" w:rsidRPr="3719E8B0">
        <w:rPr>
          <w:rFonts w:cs="Open Sans"/>
        </w:rPr>
        <w:t xml:space="preserve"> to </w:t>
      </w:r>
      <w:r w:rsidR="757CCD9F" w:rsidRPr="3719E8B0">
        <w:rPr>
          <w:rFonts w:cs="Open Sans"/>
        </w:rPr>
        <w:t>protect and promote racial equality</w:t>
      </w:r>
      <w:r w:rsidR="54BD7A81" w:rsidRPr="3719E8B0">
        <w:rPr>
          <w:rFonts w:cs="Open Sans"/>
        </w:rPr>
        <w:t>.</w:t>
      </w:r>
      <w:r w:rsidR="49685F1F" w:rsidRPr="3719E8B0">
        <w:rPr>
          <w:rFonts w:cs="Open Sans"/>
        </w:rPr>
        <w:t xml:space="preserve"> The Framework would </w:t>
      </w:r>
      <w:r w:rsidR="4EB7783B" w:rsidRPr="3719E8B0">
        <w:rPr>
          <w:rFonts w:cs="Open Sans"/>
        </w:rPr>
        <w:t xml:space="preserve">seek to not only </w:t>
      </w:r>
      <w:r w:rsidR="1146CCAB" w:rsidRPr="3719E8B0">
        <w:rPr>
          <w:rFonts w:cs="Open Sans"/>
        </w:rPr>
        <w:t xml:space="preserve">guide </w:t>
      </w:r>
      <w:r w:rsidR="0D11BD63" w:rsidRPr="3719E8B0">
        <w:rPr>
          <w:rFonts w:cs="Open Sans"/>
        </w:rPr>
        <w:t xml:space="preserve">work to </w:t>
      </w:r>
      <w:r w:rsidR="61306A3E" w:rsidRPr="3719E8B0">
        <w:rPr>
          <w:rFonts w:cs="Open Sans"/>
        </w:rPr>
        <w:t xml:space="preserve">address racism but also reflect our </w:t>
      </w:r>
      <w:r w:rsidR="1C30C40E" w:rsidRPr="3719E8B0">
        <w:rPr>
          <w:rFonts w:cs="Open Sans"/>
        </w:rPr>
        <w:t xml:space="preserve">commitment </w:t>
      </w:r>
      <w:r w:rsidR="4415933E" w:rsidRPr="3719E8B0">
        <w:rPr>
          <w:rFonts w:cs="Open Sans"/>
        </w:rPr>
        <w:t>to inclusion, equality and social cohesion</w:t>
      </w:r>
      <w:r w:rsidR="41B6743B" w:rsidRPr="3719E8B0">
        <w:rPr>
          <w:rFonts w:cs="Open Sans"/>
        </w:rPr>
        <w:t xml:space="preserve">. It would </w:t>
      </w:r>
      <w:r w:rsidR="4BDFA1B4" w:rsidRPr="3719E8B0">
        <w:rPr>
          <w:rFonts w:cs="Open Sans"/>
        </w:rPr>
        <w:t>be a</w:t>
      </w:r>
      <w:r w:rsidR="2B29C572" w:rsidRPr="3719E8B0">
        <w:rPr>
          <w:rFonts w:cs="Open Sans"/>
        </w:rPr>
        <w:t xml:space="preserve">n important </w:t>
      </w:r>
      <w:r w:rsidR="5F7A321D" w:rsidRPr="3719E8B0">
        <w:rPr>
          <w:rFonts w:cs="Open Sans"/>
        </w:rPr>
        <w:t xml:space="preserve">step in </w:t>
      </w:r>
      <w:r w:rsidR="14862333" w:rsidRPr="3719E8B0">
        <w:rPr>
          <w:rFonts w:cs="Open Sans"/>
        </w:rPr>
        <w:t>building a common</w:t>
      </w:r>
      <w:r w:rsidR="5729F2ED" w:rsidRPr="3719E8B0">
        <w:rPr>
          <w:rFonts w:cs="Open Sans"/>
        </w:rPr>
        <w:t xml:space="preserve"> vision of the </w:t>
      </w:r>
      <w:r w:rsidR="313A2A00" w:rsidRPr="3719E8B0">
        <w:rPr>
          <w:rFonts w:cs="Open Sans"/>
        </w:rPr>
        <w:t>society we want to build</w:t>
      </w:r>
      <w:r w:rsidR="598B6A8E" w:rsidRPr="3719E8B0">
        <w:rPr>
          <w:rFonts w:cs="Open Sans"/>
        </w:rPr>
        <w:t xml:space="preserve">. </w:t>
      </w:r>
      <w:r w:rsidR="3E2FA082" w:rsidRPr="3719E8B0">
        <w:rPr>
          <w:rFonts w:cs="Open Sans"/>
        </w:rPr>
        <w:t xml:space="preserve"> </w:t>
      </w:r>
    </w:p>
    <w:p w14:paraId="27501B11" w14:textId="77777777" w:rsidR="00451F12" w:rsidRDefault="00451F12" w:rsidP="00451F12">
      <w:pPr>
        <w:ind w:left="270"/>
      </w:pPr>
      <w:r w:rsidRPr="46611AC7">
        <w:rPr>
          <w:rFonts w:eastAsia="Open Sans" w:cs="Open Sans"/>
          <w:lang w:val="en-GB"/>
        </w:rPr>
        <w:t xml:space="preserve">It is time that we looked at the scourge of racism in the same way that we look at the scourge of domestic violence, or child abuse. On those issues we have in place longstanding national frameworks, signed onto by all governments in Australia with multi-year plans with priorities, backed up by measurement and evaluation. </w:t>
      </w:r>
    </w:p>
    <w:p w14:paraId="472B1073" w14:textId="77777777" w:rsidR="00451F12" w:rsidRDefault="00451F12" w:rsidP="00451F12">
      <w:pPr>
        <w:ind w:left="270"/>
      </w:pPr>
      <w:r w:rsidRPr="46611AC7">
        <w:rPr>
          <w:rFonts w:eastAsia="Open Sans" w:cs="Open Sans"/>
          <w:lang w:val="en-GB"/>
        </w:rPr>
        <w:t xml:space="preserve">Let me be clear: racism is a significant economic, social and national security threat to Australia. It is time we treated it as such.  </w:t>
      </w:r>
    </w:p>
    <w:p w14:paraId="5A22EB3C" w14:textId="77777777" w:rsidR="00451F12" w:rsidRDefault="00451F12" w:rsidP="00451F12">
      <w:pPr>
        <w:ind w:left="270"/>
      </w:pPr>
      <w:r w:rsidRPr="46611AC7">
        <w:rPr>
          <w:rFonts w:eastAsia="Open Sans" w:cs="Open Sans"/>
          <w:lang w:val="en-GB"/>
        </w:rPr>
        <w:t>We need a new approach to combatting racism – one that is more cohesive across government, that builds community partnerships to prevent racism from flourishing, and one that is smarter and more effective.</w:t>
      </w:r>
    </w:p>
    <w:p w14:paraId="08A74660" w14:textId="04E27C89" w:rsidR="00451F12" w:rsidRDefault="00451F12" w:rsidP="00451F12">
      <w:pPr>
        <w:ind w:left="270"/>
        <w:rPr>
          <w:rFonts w:eastAsia="Open Sans" w:cs="Open Sans"/>
          <w:lang w:val="en-GB"/>
        </w:rPr>
      </w:pPr>
      <w:r w:rsidRPr="46611AC7">
        <w:rPr>
          <w:rFonts w:eastAsia="Open Sans" w:cs="Open Sans"/>
          <w:lang w:val="en-GB"/>
        </w:rPr>
        <w:t>This paper sets out my initial thinking as Race Discrimination Commissioner of the key elements of a new approach to anti-racism for Australia.</w:t>
      </w:r>
    </w:p>
    <w:p w14:paraId="144381BB" w14:textId="77777777" w:rsidR="00451F12" w:rsidRDefault="00451F12" w:rsidP="00451F12">
      <w:pPr>
        <w:ind w:left="270"/>
        <w:rPr>
          <w:rFonts w:eastAsia="Open Sans" w:cs="Open Sans"/>
          <w:lang w:val="en-GB"/>
        </w:rPr>
      </w:pPr>
      <w:r w:rsidRPr="46611AC7">
        <w:rPr>
          <w:rFonts w:eastAsia="Open Sans" w:cs="Open Sans"/>
          <w:lang w:val="en-GB"/>
        </w:rPr>
        <w:t xml:space="preserve">Ultimately, addressing racism is a responsibility for all of us. It is not exclusively the domain of government, nor of any one sector of the community.  </w:t>
      </w:r>
    </w:p>
    <w:p w14:paraId="7CD4A6E4" w14:textId="77777777" w:rsidR="00451F12" w:rsidRDefault="00451F12" w:rsidP="00451F12">
      <w:pPr>
        <w:ind w:left="270"/>
      </w:pPr>
      <w:r w:rsidRPr="46611AC7">
        <w:rPr>
          <w:rFonts w:eastAsia="Open Sans" w:cs="Open Sans"/>
          <w:lang w:val="en-GB"/>
        </w:rPr>
        <w:t>My approach will be to build consensus on the need for such a framework and the measures it sets out. The community should embrace the need for change as much as government should.</w:t>
      </w:r>
    </w:p>
    <w:p w14:paraId="05136F5E" w14:textId="77777777" w:rsidR="00451F12" w:rsidRDefault="00451F12" w:rsidP="00451F12">
      <w:pPr>
        <w:ind w:left="270"/>
        <w:rPr>
          <w:rFonts w:eastAsia="Open Sans" w:cs="Open Sans"/>
          <w:lang w:val="en-GB"/>
        </w:rPr>
      </w:pPr>
      <w:r w:rsidRPr="46611AC7">
        <w:rPr>
          <w:rFonts w:eastAsia="Open Sans" w:cs="Open Sans"/>
          <w:lang w:val="en-GB"/>
        </w:rPr>
        <w:t>I look forward to engaging with the community and government in the coming months to discuss the key elements of this new approach to anti-racism and to move towards its implementation over the coming years.</w:t>
      </w:r>
    </w:p>
    <w:tbl>
      <w:tblPr>
        <w:tblStyle w:val="TableGrid"/>
        <w:tblW w:w="0" w:type="auto"/>
        <w:tblInd w:w="270" w:type="dxa"/>
        <w:tblLayout w:type="fixed"/>
        <w:tblLook w:val="06A0" w:firstRow="1" w:lastRow="0" w:firstColumn="1" w:lastColumn="0" w:noHBand="1" w:noVBand="1"/>
      </w:tblPr>
      <w:tblGrid>
        <w:gridCol w:w="9090"/>
      </w:tblGrid>
      <w:tr w:rsidR="00451F12" w14:paraId="3625F04B" w14:textId="77777777" w:rsidTr="000954C1">
        <w:tc>
          <w:tcPr>
            <w:tcW w:w="9090" w:type="dxa"/>
          </w:tcPr>
          <w:p w14:paraId="15FBE001" w14:textId="4F42C952" w:rsidR="00451F12" w:rsidRPr="002C19E0" w:rsidRDefault="00451F12" w:rsidP="000954C1">
            <w:pPr>
              <w:rPr>
                <w:rFonts w:eastAsia="Open Sans" w:cs="Open Sans"/>
                <w:lang w:val="en-GB"/>
              </w:rPr>
            </w:pPr>
            <w:r w:rsidRPr="46611AC7">
              <w:rPr>
                <w:rFonts w:eastAsia="Open Sans" w:cs="Open Sans"/>
                <w:b/>
                <w:bCs/>
                <w:lang w:val="en-GB"/>
              </w:rPr>
              <w:t>Have you</w:t>
            </w:r>
            <w:r>
              <w:rPr>
                <w:rFonts w:eastAsia="Open Sans" w:cs="Open Sans"/>
                <w:b/>
                <w:bCs/>
                <w:lang w:val="en-GB"/>
              </w:rPr>
              <w:t>r</w:t>
            </w:r>
            <w:r w:rsidRPr="46611AC7">
              <w:rPr>
                <w:rFonts w:eastAsia="Open Sans" w:cs="Open Sans"/>
                <w:b/>
                <w:bCs/>
                <w:lang w:val="en-GB"/>
              </w:rPr>
              <w:t xml:space="preserve"> say on the key elements of a new national framework on anti-racism and social cohesion</w:t>
            </w:r>
          </w:p>
          <w:p w14:paraId="2F787009" w14:textId="50324194" w:rsidR="00451F12" w:rsidRPr="002C19E0" w:rsidRDefault="00451F12" w:rsidP="000954C1">
            <w:pPr>
              <w:rPr>
                <w:rFonts w:eastAsia="Open Sans" w:cs="Open Sans"/>
                <w:b/>
                <w:bCs/>
                <w:lang w:val="en-GB"/>
              </w:rPr>
            </w:pPr>
            <w:r w:rsidRPr="46611AC7">
              <w:rPr>
                <w:rFonts w:eastAsia="Open Sans" w:cs="Open Sans"/>
                <w:lang w:val="en-GB"/>
              </w:rPr>
              <w:t xml:space="preserve">Over the coming months, the Australian Human Rights Commission will be engaging with the community sector to obtain your feedback on the key </w:t>
            </w:r>
            <w:r w:rsidRPr="46611AC7">
              <w:rPr>
                <w:rFonts w:eastAsia="Open Sans" w:cs="Open Sans"/>
                <w:lang w:val="en-GB"/>
              </w:rPr>
              <w:lastRenderedPageBreak/>
              <w:t>elements of a new anti-racism framework. We will convene workshops with peak sector bodies and provide an opportunity for public comment through our website.</w:t>
            </w:r>
          </w:p>
          <w:p w14:paraId="49900BEA" w14:textId="330AAF19" w:rsidR="00451F12" w:rsidRDefault="00451F12" w:rsidP="000954C1">
            <w:pPr>
              <w:rPr>
                <w:rFonts w:eastAsia="Open Sans" w:cs="Open Sans"/>
                <w:lang w:val="en-GB"/>
              </w:rPr>
            </w:pPr>
            <w:r w:rsidRPr="46611AC7">
              <w:rPr>
                <w:rFonts w:eastAsia="Open Sans" w:cs="Open Sans"/>
                <w:lang w:val="en-GB"/>
              </w:rPr>
              <w:t xml:space="preserve">We will also be engaging with government departments and ministers to identify the existing gaps in services, data needs, and ways to improve the approach of government to this critical issue. You can keep up to date with developments here: </w:t>
            </w:r>
            <w:hyperlink r:id="rId20" w:history="1">
              <w:r w:rsidRPr="00035316">
                <w:rPr>
                  <w:rStyle w:val="Hyperlink"/>
                  <w:rFonts w:eastAsia="Open Sans" w:cs="Open Sans"/>
                  <w:b/>
                  <w:bCs/>
                  <w:lang w:val="en-GB"/>
                </w:rPr>
                <w:t>https://humanrights.gov.au/our-work/race-discrimination/projects/national-anti-racism-framework</w:t>
              </w:r>
            </w:hyperlink>
            <w:r>
              <w:rPr>
                <w:rFonts w:eastAsia="Open Sans" w:cs="Open Sans"/>
                <w:b/>
                <w:bCs/>
                <w:lang w:val="en-GB"/>
              </w:rPr>
              <w:t xml:space="preserve"> </w:t>
            </w:r>
          </w:p>
        </w:tc>
      </w:tr>
    </w:tbl>
    <w:p w14:paraId="18CCEFDA" w14:textId="77777777" w:rsidR="00451F12" w:rsidRPr="00D53440" w:rsidRDefault="00451F12" w:rsidP="009A3668">
      <w:pPr>
        <w:pStyle w:val="Heading1"/>
        <w:ind w:left="426" w:hanging="426"/>
        <w:rPr>
          <w:rFonts w:eastAsiaTheme="minorEastAsia"/>
          <w:lang w:val="en-GB"/>
        </w:rPr>
      </w:pPr>
      <w:bookmarkStart w:id="2" w:name="_Toc66719689"/>
      <w:r w:rsidRPr="46611AC7">
        <w:rPr>
          <w:lang w:val="en-GB"/>
        </w:rPr>
        <w:lastRenderedPageBreak/>
        <w:t>Why do we need a National Anti-Racism Framework?</w:t>
      </w:r>
      <w:bookmarkEnd w:id="2"/>
    </w:p>
    <w:p w14:paraId="091A4648" w14:textId="77777777" w:rsidR="00451F12" w:rsidRDefault="00451F12" w:rsidP="009A3668">
      <w:pPr>
        <w:ind w:left="360"/>
        <w:rPr>
          <w:rFonts w:cs="Open Sans"/>
          <w:lang w:val="en-GB"/>
        </w:rPr>
      </w:pPr>
      <w:r w:rsidRPr="46611AC7">
        <w:rPr>
          <w:rFonts w:cs="Open Sans"/>
          <w:lang w:val="en-GB"/>
        </w:rPr>
        <w:t xml:space="preserve">There are a range of factors that have led me to the view that we need to do more and to do it differently. </w:t>
      </w:r>
    </w:p>
    <w:p w14:paraId="5006E197" w14:textId="77777777" w:rsidR="00451F12" w:rsidRPr="00C930B6" w:rsidRDefault="00451F12" w:rsidP="00842B54">
      <w:pPr>
        <w:pStyle w:val="ListParagraph"/>
        <w:numPr>
          <w:ilvl w:val="0"/>
          <w:numId w:val="37"/>
        </w:numPr>
        <w:spacing w:before="0" w:after="160" w:line="259" w:lineRule="auto"/>
        <w:ind w:left="720"/>
        <w:contextualSpacing/>
        <w:rPr>
          <w:rFonts w:cs="Open Sans"/>
          <w:lang w:val="en-GB"/>
        </w:rPr>
      </w:pPr>
      <w:r>
        <w:rPr>
          <w:rFonts w:cs="Open Sans"/>
          <w:b/>
          <w:bCs/>
          <w:lang w:val="en-GB"/>
        </w:rPr>
        <w:t>We lack</w:t>
      </w:r>
      <w:r w:rsidRPr="396E0E09">
        <w:rPr>
          <w:rFonts w:cs="Open Sans"/>
          <w:b/>
          <w:bCs/>
          <w:lang w:val="en-GB"/>
        </w:rPr>
        <w:t xml:space="preserve"> a clear articulation of what government </w:t>
      </w:r>
      <w:r>
        <w:rPr>
          <w:rFonts w:cs="Open Sans"/>
          <w:b/>
          <w:bCs/>
          <w:lang w:val="en-GB"/>
        </w:rPr>
        <w:t>has</w:t>
      </w:r>
      <w:r w:rsidRPr="396E0E09">
        <w:rPr>
          <w:rFonts w:cs="Open Sans"/>
          <w:b/>
          <w:bCs/>
          <w:lang w:val="en-GB"/>
        </w:rPr>
        <w:t xml:space="preserve"> committed to doing </w:t>
      </w:r>
      <w:r>
        <w:rPr>
          <w:rFonts w:cs="Open Sans"/>
          <w:b/>
          <w:bCs/>
          <w:lang w:val="en-GB"/>
        </w:rPr>
        <w:t xml:space="preserve">and is doing </w:t>
      </w:r>
      <w:r w:rsidRPr="396E0E09">
        <w:rPr>
          <w:rFonts w:cs="Open Sans"/>
          <w:b/>
          <w:bCs/>
          <w:lang w:val="en-GB"/>
        </w:rPr>
        <w:t>to address racism at the national level</w:t>
      </w:r>
      <w:r>
        <w:rPr>
          <w:rFonts w:cs="Open Sans"/>
          <w:b/>
          <w:bCs/>
          <w:lang w:val="en-GB"/>
        </w:rPr>
        <w:t xml:space="preserve">: </w:t>
      </w:r>
    </w:p>
    <w:p w14:paraId="330948DB" w14:textId="77777777" w:rsidR="00451F12" w:rsidRDefault="00451F12" w:rsidP="00842B54">
      <w:pPr>
        <w:pStyle w:val="ListParagraph"/>
        <w:numPr>
          <w:ilvl w:val="0"/>
          <w:numId w:val="39"/>
        </w:numPr>
        <w:spacing w:before="0" w:after="160" w:line="259" w:lineRule="auto"/>
        <w:contextualSpacing/>
        <w:rPr>
          <w:rFonts w:cs="Open Sans"/>
          <w:lang w:val="en-GB"/>
        </w:rPr>
      </w:pPr>
      <w:r w:rsidRPr="00C930B6">
        <w:rPr>
          <w:rFonts w:cs="Open Sans"/>
          <w:lang w:val="en-GB"/>
        </w:rPr>
        <w:t xml:space="preserve">to understand different dimensions and contributory </w:t>
      </w:r>
      <w:proofErr w:type="gramStart"/>
      <w:r w:rsidRPr="00C930B6">
        <w:rPr>
          <w:rFonts w:cs="Open Sans"/>
          <w:lang w:val="en-GB"/>
        </w:rPr>
        <w:t>factors;</w:t>
      </w:r>
      <w:proofErr w:type="gramEnd"/>
      <w:r w:rsidRPr="00C930B6">
        <w:rPr>
          <w:rFonts w:cs="Open Sans"/>
          <w:lang w:val="en-GB"/>
        </w:rPr>
        <w:t xml:space="preserve"> </w:t>
      </w:r>
    </w:p>
    <w:p w14:paraId="063CBBB9" w14:textId="77777777" w:rsidR="00451F12" w:rsidRDefault="00451F12" w:rsidP="00842B54">
      <w:pPr>
        <w:pStyle w:val="ListParagraph"/>
        <w:numPr>
          <w:ilvl w:val="0"/>
          <w:numId w:val="39"/>
        </w:numPr>
        <w:spacing w:before="0" w:after="160" w:line="259" w:lineRule="auto"/>
        <w:contextualSpacing/>
        <w:rPr>
          <w:rFonts w:cs="Open Sans"/>
          <w:lang w:val="en-GB"/>
        </w:rPr>
      </w:pPr>
      <w:r w:rsidRPr="00C930B6">
        <w:rPr>
          <w:rFonts w:cs="Open Sans"/>
          <w:lang w:val="en-GB"/>
        </w:rPr>
        <w:t xml:space="preserve">to identify the different levers and roles of different actors in society (and across government) </w:t>
      </w:r>
    </w:p>
    <w:p w14:paraId="62FA6A97" w14:textId="77777777" w:rsidR="00451F12" w:rsidRDefault="00451F12" w:rsidP="00842B54">
      <w:pPr>
        <w:pStyle w:val="ListParagraph"/>
        <w:numPr>
          <w:ilvl w:val="0"/>
          <w:numId w:val="39"/>
        </w:numPr>
        <w:spacing w:before="0" w:after="160" w:line="259" w:lineRule="auto"/>
        <w:contextualSpacing/>
        <w:rPr>
          <w:rFonts w:cs="Open Sans"/>
          <w:lang w:val="en-GB"/>
        </w:rPr>
      </w:pPr>
      <w:r w:rsidRPr="00C930B6">
        <w:rPr>
          <w:rFonts w:cs="Open Sans"/>
          <w:lang w:val="en-GB"/>
        </w:rPr>
        <w:t>to take action to prevent racism and to respond to it effectively where it occurs</w:t>
      </w:r>
      <w:r>
        <w:rPr>
          <w:rFonts w:cs="Open Sans"/>
          <w:lang w:val="en-GB"/>
        </w:rPr>
        <w:t>.</w:t>
      </w:r>
    </w:p>
    <w:p w14:paraId="3BD82083" w14:textId="77777777" w:rsidR="00451F12" w:rsidRPr="00C930B6" w:rsidRDefault="00451F12" w:rsidP="00451F12">
      <w:pPr>
        <w:ind w:left="720"/>
        <w:rPr>
          <w:rFonts w:cs="Open Sans"/>
          <w:lang w:val="en-GB"/>
        </w:rPr>
      </w:pPr>
      <w:r>
        <w:rPr>
          <w:rFonts w:cs="Open Sans"/>
          <w:lang w:val="en-GB"/>
        </w:rPr>
        <w:t xml:space="preserve">There are </w:t>
      </w:r>
      <w:r w:rsidRPr="00C930B6">
        <w:rPr>
          <w:rFonts w:cs="Open Sans"/>
          <w:lang w:val="en-GB"/>
        </w:rPr>
        <w:t xml:space="preserve">no stated linkages to approach to dealing with racism at the state and territory </w:t>
      </w:r>
      <w:proofErr w:type="gramStart"/>
      <w:r w:rsidRPr="00C930B6">
        <w:rPr>
          <w:rFonts w:cs="Open Sans"/>
          <w:lang w:val="en-GB"/>
        </w:rPr>
        <w:t>level;</w:t>
      </w:r>
      <w:proofErr w:type="gramEnd"/>
      <w:r w:rsidRPr="00C930B6">
        <w:rPr>
          <w:rFonts w:cs="Open Sans"/>
          <w:lang w:val="en-GB"/>
        </w:rPr>
        <w:t xml:space="preserve"> no agreed or coherent national approach. </w:t>
      </w:r>
    </w:p>
    <w:p w14:paraId="0603FC14" w14:textId="440352E4" w:rsidR="00451F12" w:rsidRDefault="00451F12" w:rsidP="00842B54">
      <w:pPr>
        <w:pStyle w:val="ListParagraph"/>
        <w:numPr>
          <w:ilvl w:val="0"/>
          <w:numId w:val="37"/>
        </w:numPr>
        <w:spacing w:before="0" w:after="160" w:line="259" w:lineRule="auto"/>
        <w:ind w:left="720" w:hanging="270"/>
        <w:contextualSpacing/>
        <w:rPr>
          <w:rFonts w:cs="Open Sans"/>
          <w:lang w:val="en-GB"/>
        </w:rPr>
      </w:pPr>
      <w:r w:rsidRPr="46611AC7">
        <w:rPr>
          <w:rFonts w:cs="Open Sans"/>
          <w:b/>
          <w:bCs/>
          <w:lang w:val="en-GB"/>
        </w:rPr>
        <w:t>There is a need to ensure that measures to address racism are complemented by measures to build social cohesion</w:t>
      </w:r>
      <w:r>
        <w:rPr>
          <w:rFonts w:cs="Open Sans"/>
          <w:b/>
          <w:bCs/>
          <w:lang w:val="en-GB"/>
        </w:rPr>
        <w:t>:</w:t>
      </w:r>
      <w:r w:rsidRPr="46611AC7">
        <w:rPr>
          <w:rFonts w:cs="Open Sans"/>
          <w:lang w:val="en-GB"/>
        </w:rPr>
        <w:t xml:space="preserve"> </w:t>
      </w:r>
      <w:r>
        <w:rPr>
          <w:rFonts w:cs="Open Sans"/>
          <w:lang w:val="en-GB"/>
        </w:rPr>
        <w:t>I</w:t>
      </w:r>
      <w:r w:rsidRPr="46611AC7">
        <w:rPr>
          <w:rFonts w:cs="Open Sans"/>
          <w:lang w:val="en-GB"/>
        </w:rPr>
        <w:t xml:space="preserve">t is often not understood that there exists a clear linkage between experiences of discrimination and racism, and social exclusion. </w:t>
      </w:r>
      <w:r w:rsidRPr="46611AC7">
        <w:rPr>
          <w:rFonts w:cs="Open Sans"/>
        </w:rPr>
        <w:t xml:space="preserve"> Measures to address racism will be more effective when accompanied by measures to promote social cohesion, inclusion and equal opportunity and participation. </w:t>
      </w:r>
      <w:r w:rsidRPr="46611AC7">
        <w:rPr>
          <w:rFonts w:cs="Open Sans"/>
          <w:lang w:val="en-GB"/>
        </w:rPr>
        <w:t xml:space="preserve"> There is a need for national support for measures that address systemic and structural barriers to the full participation of culturally diverse groups in public life, and the role of this in combatting racism and confronting stereotypes. </w:t>
      </w:r>
    </w:p>
    <w:p w14:paraId="4E8FD5DC" w14:textId="77777777" w:rsidR="002C19E0" w:rsidRPr="002C19E0" w:rsidRDefault="002C19E0" w:rsidP="002C19E0">
      <w:pPr>
        <w:pStyle w:val="ListParagraph"/>
        <w:spacing w:before="0" w:after="160" w:line="259" w:lineRule="auto"/>
        <w:contextualSpacing/>
        <w:rPr>
          <w:rFonts w:cs="Open Sans"/>
          <w:lang w:val="en-GB"/>
        </w:rPr>
      </w:pPr>
    </w:p>
    <w:p w14:paraId="67B07947" w14:textId="4B9B7D30" w:rsidR="002C19E0" w:rsidRPr="002C19E0" w:rsidRDefault="00451F12" w:rsidP="00842B54">
      <w:pPr>
        <w:pStyle w:val="ListParagraph"/>
        <w:numPr>
          <w:ilvl w:val="0"/>
          <w:numId w:val="37"/>
        </w:numPr>
        <w:spacing w:before="0" w:after="160" w:line="259" w:lineRule="auto"/>
        <w:ind w:left="720"/>
        <w:contextualSpacing/>
        <w:rPr>
          <w:rFonts w:cs="Open Sans"/>
          <w:lang w:val="en-GB"/>
        </w:rPr>
      </w:pPr>
      <w:r w:rsidRPr="396E0E09">
        <w:rPr>
          <w:rFonts w:cs="Open Sans"/>
          <w:b/>
          <w:bCs/>
          <w:lang w:val="en-GB"/>
        </w:rPr>
        <w:lastRenderedPageBreak/>
        <w:t>Existing anti-racism and racial equality measures that are in place are not acknowledged</w:t>
      </w:r>
      <w:r>
        <w:rPr>
          <w:rFonts w:cs="Open Sans"/>
          <w:lang w:val="en-GB"/>
        </w:rPr>
        <w:t>:</w:t>
      </w:r>
      <w:r w:rsidRPr="396E0E09">
        <w:rPr>
          <w:rFonts w:cs="Open Sans"/>
          <w:lang w:val="en-GB"/>
        </w:rPr>
        <w:t xml:space="preserve"> </w:t>
      </w:r>
      <w:r>
        <w:rPr>
          <w:rFonts w:cs="Open Sans"/>
          <w:lang w:val="en-GB"/>
        </w:rPr>
        <w:t>T</w:t>
      </w:r>
      <w:r w:rsidRPr="396E0E09">
        <w:rPr>
          <w:rFonts w:cs="Open Sans"/>
          <w:lang w:val="en-GB"/>
        </w:rPr>
        <w:t>here is limited visibility and understanding of anti-racism and racial equality measures and their impact across Australia; opportunities for partnerships and collaborations are missed; data and evidence including around the evaluation of effective measures is not uniformly collated and shared; limited resources are not maximised.</w:t>
      </w:r>
      <w:r w:rsidR="002C19E0">
        <w:rPr>
          <w:rFonts w:cs="Open Sans"/>
          <w:lang w:val="en-GB"/>
        </w:rPr>
        <w:br/>
      </w:r>
    </w:p>
    <w:p w14:paraId="72888E9E" w14:textId="017CF07D" w:rsidR="00451F12" w:rsidRPr="002C19E0" w:rsidRDefault="00451F12" w:rsidP="00842B54">
      <w:pPr>
        <w:pStyle w:val="ListParagraph"/>
        <w:numPr>
          <w:ilvl w:val="0"/>
          <w:numId w:val="37"/>
        </w:numPr>
        <w:spacing w:before="0" w:after="160" w:line="259" w:lineRule="auto"/>
        <w:ind w:left="720"/>
        <w:contextualSpacing/>
        <w:rPr>
          <w:rFonts w:cs="Open Sans"/>
          <w:lang w:val="en-GB"/>
        </w:rPr>
      </w:pPr>
      <w:r w:rsidRPr="396E0E09">
        <w:rPr>
          <w:rFonts w:cs="Open Sans"/>
          <w:b/>
          <w:bCs/>
          <w:lang w:val="en-GB"/>
        </w:rPr>
        <w:t>There is a need for comprehensive, national data to inform, guide and deliver effective anti-racism and racial equality initiatives</w:t>
      </w:r>
      <w:r>
        <w:rPr>
          <w:rFonts w:cs="Open Sans"/>
          <w:lang w:val="en-GB"/>
        </w:rPr>
        <w:t>:</w:t>
      </w:r>
      <w:r w:rsidRPr="396E0E09">
        <w:rPr>
          <w:rFonts w:cs="Open Sans"/>
          <w:lang w:val="en-GB"/>
        </w:rPr>
        <w:t xml:space="preserve"> </w:t>
      </w:r>
      <w:r>
        <w:rPr>
          <w:rFonts w:cs="Open Sans"/>
          <w:lang w:val="en-GB"/>
        </w:rPr>
        <w:t>R</w:t>
      </w:r>
      <w:r w:rsidRPr="396E0E09">
        <w:rPr>
          <w:rFonts w:cs="Open Sans"/>
          <w:lang w:val="en-GB"/>
        </w:rPr>
        <w:t xml:space="preserve">obust, nationally consistent data about racism and racial inequality </w:t>
      </w:r>
      <w:r w:rsidR="0021063E">
        <w:rPr>
          <w:rFonts w:cs="Open Sans"/>
          <w:lang w:val="en-GB"/>
        </w:rPr>
        <w:t xml:space="preserve">is </w:t>
      </w:r>
      <w:r w:rsidRPr="396E0E09">
        <w:rPr>
          <w:rFonts w:cs="Open Sans"/>
          <w:lang w:val="en-GB"/>
        </w:rPr>
        <w:t xml:space="preserve">not available in Australia; lack of this evidence base and transparency affects confidence about anti-racism and racial equality initiatives; adequate resourcing is not assured; priority areas are difficult to identify. </w:t>
      </w:r>
      <w:r w:rsidR="002C19E0">
        <w:rPr>
          <w:rFonts w:cs="Open Sans"/>
          <w:lang w:val="en-GB"/>
        </w:rPr>
        <w:br/>
      </w:r>
    </w:p>
    <w:p w14:paraId="7BD436B6" w14:textId="30DC2C85" w:rsidR="00451F12" w:rsidRPr="00C31A85" w:rsidRDefault="00451F12" w:rsidP="00842B54">
      <w:pPr>
        <w:pStyle w:val="ListParagraph"/>
        <w:numPr>
          <w:ilvl w:val="0"/>
          <w:numId w:val="37"/>
        </w:numPr>
        <w:spacing w:before="0" w:after="160" w:line="259" w:lineRule="auto"/>
        <w:ind w:left="720" w:hanging="270"/>
        <w:contextualSpacing/>
        <w:rPr>
          <w:rFonts w:cs="Open Sans"/>
          <w:lang w:val="en-GB"/>
        </w:rPr>
      </w:pPr>
      <w:r w:rsidRPr="396E0E09">
        <w:rPr>
          <w:rFonts w:cs="Open Sans"/>
          <w:b/>
          <w:bCs/>
          <w:lang w:val="en-GB"/>
        </w:rPr>
        <w:t xml:space="preserve">There is growing community </w:t>
      </w:r>
      <w:r>
        <w:rPr>
          <w:rFonts w:cs="Open Sans"/>
          <w:b/>
          <w:bCs/>
          <w:lang w:val="en-GB"/>
        </w:rPr>
        <w:t xml:space="preserve">awareness and </w:t>
      </w:r>
      <w:r w:rsidRPr="396E0E09">
        <w:rPr>
          <w:rFonts w:cs="Open Sans"/>
          <w:b/>
          <w:bCs/>
          <w:lang w:val="en-GB"/>
        </w:rPr>
        <w:t xml:space="preserve">concern about racism in Australia – </w:t>
      </w:r>
      <w:r w:rsidR="0021063E" w:rsidRPr="0021063E">
        <w:rPr>
          <w:rFonts w:cs="Open Sans"/>
          <w:lang w:val="en-GB"/>
        </w:rPr>
        <w:t>racism remains a problem in Australia</w:t>
      </w:r>
      <w:r w:rsidR="0021063E">
        <w:rPr>
          <w:rFonts w:cs="Open Sans"/>
          <w:b/>
          <w:bCs/>
          <w:lang w:val="en-GB"/>
        </w:rPr>
        <w:t xml:space="preserve"> </w:t>
      </w:r>
      <w:r w:rsidRPr="396E0E09">
        <w:rPr>
          <w:rFonts w:cs="Open Sans"/>
          <w:lang w:val="en-GB"/>
        </w:rPr>
        <w:t>as demonstrated most recently by:</w:t>
      </w:r>
    </w:p>
    <w:p w14:paraId="1743D2F0" w14:textId="77777777" w:rsidR="00451F12" w:rsidRDefault="00451F12" w:rsidP="00842B54">
      <w:pPr>
        <w:pStyle w:val="ListParagraph"/>
        <w:numPr>
          <w:ilvl w:val="0"/>
          <w:numId w:val="20"/>
        </w:numPr>
        <w:spacing w:before="0" w:after="160" w:line="259" w:lineRule="auto"/>
        <w:contextualSpacing/>
        <w:rPr>
          <w:rFonts w:cs="Open Sans"/>
          <w:lang w:val="en-GB"/>
        </w:rPr>
      </w:pPr>
      <w:r w:rsidRPr="00CC3FEA">
        <w:rPr>
          <w:rFonts w:cs="Open Sans"/>
          <w:lang w:val="en-GB"/>
        </w:rPr>
        <w:t>anti-Asian sentiment during the COVID-19 pandemic</w:t>
      </w:r>
    </w:p>
    <w:p w14:paraId="20000D8B" w14:textId="77777777" w:rsidR="00451F12" w:rsidRDefault="00451F12" w:rsidP="00842B54">
      <w:pPr>
        <w:pStyle w:val="ListParagraph"/>
        <w:numPr>
          <w:ilvl w:val="0"/>
          <w:numId w:val="20"/>
        </w:numPr>
        <w:spacing w:before="0" w:after="160" w:line="259" w:lineRule="auto"/>
        <w:contextualSpacing/>
        <w:rPr>
          <w:rFonts w:cs="Open Sans"/>
          <w:lang w:val="en-GB"/>
        </w:rPr>
      </w:pPr>
      <w:r>
        <w:rPr>
          <w:rFonts w:cs="Open Sans"/>
          <w:lang w:val="en-GB"/>
        </w:rPr>
        <w:t>anti-Muslim sentiment, fears of which were exacerbated by the Christchurch mosque attack in New Zealand in 2019</w:t>
      </w:r>
    </w:p>
    <w:p w14:paraId="3D14447E" w14:textId="77777777" w:rsidR="00451F12" w:rsidRDefault="00451F12" w:rsidP="00842B54">
      <w:pPr>
        <w:pStyle w:val="ListParagraph"/>
        <w:numPr>
          <w:ilvl w:val="0"/>
          <w:numId w:val="20"/>
        </w:numPr>
        <w:spacing w:before="0" w:after="160" w:line="259" w:lineRule="auto"/>
        <w:contextualSpacing/>
        <w:rPr>
          <w:rFonts w:cs="Open Sans"/>
          <w:lang w:val="en-GB"/>
        </w:rPr>
      </w:pPr>
      <w:r w:rsidRPr="46611AC7">
        <w:rPr>
          <w:rFonts w:cs="Open Sans"/>
          <w:lang w:val="en-GB"/>
        </w:rPr>
        <w:t>concern from ASIO and the AFP about the growth in far-right extremism in Australia</w:t>
      </w:r>
    </w:p>
    <w:p w14:paraId="4D947C0D" w14:textId="77777777" w:rsidR="00451F12" w:rsidRDefault="00451F12" w:rsidP="00842B54">
      <w:pPr>
        <w:pStyle w:val="ListParagraph"/>
        <w:numPr>
          <w:ilvl w:val="0"/>
          <w:numId w:val="20"/>
        </w:numPr>
        <w:spacing w:before="0" w:after="160" w:line="259" w:lineRule="auto"/>
        <w:contextualSpacing/>
        <w:rPr>
          <w:rFonts w:cs="Open Sans"/>
          <w:lang w:val="en-GB"/>
        </w:rPr>
      </w:pPr>
      <w:r>
        <w:rPr>
          <w:rFonts w:cs="Open Sans"/>
          <w:lang w:val="en-GB"/>
        </w:rPr>
        <w:t>public concern about the treatment of Aboriginal and Torres Strait Islander peoples (for example, through the Black Lives Matter protests globally and in Australia)</w:t>
      </w:r>
    </w:p>
    <w:p w14:paraId="5467D63D" w14:textId="77777777" w:rsidR="00451F12" w:rsidRDefault="00451F12" w:rsidP="00842B54">
      <w:pPr>
        <w:pStyle w:val="ListParagraph"/>
        <w:numPr>
          <w:ilvl w:val="0"/>
          <w:numId w:val="20"/>
        </w:numPr>
        <w:spacing w:before="0" w:after="160" w:line="259" w:lineRule="auto"/>
        <w:contextualSpacing/>
        <w:rPr>
          <w:rFonts w:cs="Open Sans"/>
          <w:lang w:val="en-GB"/>
        </w:rPr>
      </w:pPr>
      <w:r w:rsidRPr="46611AC7">
        <w:rPr>
          <w:rFonts w:cs="Open Sans"/>
          <w:lang w:val="en-GB"/>
        </w:rPr>
        <w:t>lingering concerns about racism in sport, with high profile incidents in major sporting codes and among spectators</w:t>
      </w:r>
    </w:p>
    <w:p w14:paraId="2E92C1FF" w14:textId="77777777" w:rsidR="00451F12" w:rsidRDefault="00451F12" w:rsidP="00842B54">
      <w:pPr>
        <w:pStyle w:val="ListParagraph"/>
        <w:numPr>
          <w:ilvl w:val="0"/>
          <w:numId w:val="20"/>
        </w:numPr>
        <w:spacing w:before="0" w:after="160" w:line="259" w:lineRule="auto"/>
        <w:contextualSpacing/>
        <w:rPr>
          <w:rFonts w:cs="Open Sans"/>
          <w:lang w:val="en-GB"/>
        </w:rPr>
      </w:pPr>
      <w:r>
        <w:rPr>
          <w:rFonts w:cs="Open Sans"/>
          <w:lang w:val="en-GB"/>
        </w:rPr>
        <w:t>growing public support for recognising the situation of Aboriginal and Torres Strait Islander peoples, through the Uluru Statement from the Heart</w:t>
      </w:r>
    </w:p>
    <w:p w14:paraId="4F291353" w14:textId="77777777" w:rsidR="00451F12" w:rsidRDefault="00451F12" w:rsidP="00842B54">
      <w:pPr>
        <w:pStyle w:val="ListParagraph"/>
        <w:numPr>
          <w:ilvl w:val="0"/>
          <w:numId w:val="20"/>
        </w:numPr>
        <w:spacing w:before="0" w:after="160" w:line="259" w:lineRule="auto"/>
        <w:contextualSpacing/>
        <w:rPr>
          <w:rFonts w:cs="Open Sans"/>
          <w:lang w:val="en-GB"/>
        </w:rPr>
      </w:pPr>
      <w:r w:rsidRPr="46611AC7">
        <w:rPr>
          <w:rFonts w:cs="Open Sans"/>
          <w:lang w:val="en-GB"/>
        </w:rPr>
        <w:t xml:space="preserve">State and Territory initiatives around treaties and truth telling with Aboriginal and Torres Strait Islander peoples. </w:t>
      </w:r>
    </w:p>
    <w:p w14:paraId="75D74020" w14:textId="77777777" w:rsidR="00451F12" w:rsidRPr="00CC3FEA" w:rsidRDefault="00451F12" w:rsidP="00451F12">
      <w:pPr>
        <w:pStyle w:val="ListParagraph"/>
        <w:ind w:left="1080"/>
        <w:rPr>
          <w:rFonts w:cs="Open Sans"/>
          <w:lang w:val="en-GB"/>
        </w:rPr>
      </w:pPr>
    </w:p>
    <w:p w14:paraId="42071838" w14:textId="33785D1B" w:rsidR="00451F12" w:rsidRDefault="00451F12" w:rsidP="00842B54">
      <w:pPr>
        <w:pStyle w:val="ListParagraph"/>
        <w:numPr>
          <w:ilvl w:val="0"/>
          <w:numId w:val="37"/>
        </w:numPr>
        <w:tabs>
          <w:tab w:val="left" w:pos="720"/>
        </w:tabs>
        <w:spacing w:before="0" w:after="160" w:line="259" w:lineRule="auto"/>
        <w:ind w:left="720" w:hanging="270"/>
        <w:contextualSpacing/>
        <w:rPr>
          <w:rFonts w:eastAsia="Open Sans" w:cs="Open Sans"/>
        </w:rPr>
      </w:pPr>
      <w:bookmarkStart w:id="3" w:name="_Hlk44663966"/>
      <w:r w:rsidRPr="46611AC7">
        <w:rPr>
          <w:rFonts w:eastAsia="Open Sans" w:cs="Open Sans"/>
          <w:b/>
          <w:bCs/>
          <w:lang w:val="en-GB"/>
        </w:rPr>
        <w:t>It is in the national interest to counter racism and achieve racial equality</w:t>
      </w:r>
      <w:r>
        <w:rPr>
          <w:rFonts w:eastAsia="Open Sans" w:cs="Open Sans"/>
          <w:b/>
          <w:bCs/>
          <w:lang w:val="en-GB"/>
        </w:rPr>
        <w:t>:</w:t>
      </w:r>
      <w:r w:rsidRPr="46611AC7">
        <w:rPr>
          <w:rFonts w:eastAsia="Open Sans" w:cs="Open Sans"/>
          <w:b/>
          <w:bCs/>
          <w:lang w:val="en-GB"/>
        </w:rPr>
        <w:t xml:space="preserve"> </w:t>
      </w:r>
      <w:r w:rsidRPr="46611AC7">
        <w:rPr>
          <w:rFonts w:eastAsia="Open Sans" w:cs="Open Sans"/>
        </w:rPr>
        <w:t xml:space="preserve">Australia’s defence of its national security and national interest does not depend only on military and cyber defence but also on our capacity to protect our social order, peace, and unity. Increased global </w:t>
      </w:r>
      <w:r w:rsidRPr="46611AC7">
        <w:rPr>
          <w:rFonts w:eastAsia="Open Sans" w:cs="Open Sans"/>
        </w:rPr>
        <w:lastRenderedPageBreak/>
        <w:t xml:space="preserve">tensions, in particular, </w:t>
      </w:r>
      <w:r>
        <w:rPr>
          <w:rFonts w:eastAsia="Open Sans" w:cs="Open Sans"/>
        </w:rPr>
        <w:t>have the potential to</w:t>
      </w:r>
      <w:r w:rsidRPr="46611AC7">
        <w:rPr>
          <w:rFonts w:eastAsia="Open Sans" w:cs="Open Sans"/>
        </w:rPr>
        <w:t xml:space="preserve"> increas</w:t>
      </w:r>
      <w:r>
        <w:rPr>
          <w:rFonts w:eastAsia="Open Sans" w:cs="Open Sans"/>
        </w:rPr>
        <w:t>e</w:t>
      </w:r>
      <w:r w:rsidRPr="46611AC7">
        <w:rPr>
          <w:rFonts w:eastAsia="Open Sans" w:cs="Open Sans"/>
        </w:rPr>
        <w:t xml:space="preserve"> social tensions within Australia.</w:t>
      </w:r>
      <w:bookmarkEnd w:id="3"/>
    </w:p>
    <w:p w14:paraId="2B98928D" w14:textId="77777777" w:rsidR="00E61169" w:rsidRPr="002C19E0" w:rsidRDefault="00E61169" w:rsidP="00E61169">
      <w:pPr>
        <w:pStyle w:val="ListParagraph"/>
        <w:tabs>
          <w:tab w:val="left" w:pos="720"/>
        </w:tabs>
        <w:spacing w:before="0" w:after="160" w:line="259" w:lineRule="auto"/>
        <w:contextualSpacing/>
        <w:rPr>
          <w:rFonts w:eastAsia="Open Sans" w:cs="Open Sans"/>
        </w:rPr>
      </w:pPr>
    </w:p>
    <w:p w14:paraId="2538E986" w14:textId="77777777" w:rsidR="00451F12" w:rsidRPr="00CC3FEA" w:rsidRDefault="00451F12" w:rsidP="00842B54">
      <w:pPr>
        <w:pStyle w:val="ListParagraph"/>
        <w:numPr>
          <w:ilvl w:val="0"/>
          <w:numId w:val="37"/>
        </w:numPr>
        <w:spacing w:before="0" w:after="160" w:line="259" w:lineRule="auto"/>
        <w:ind w:left="720"/>
        <w:contextualSpacing/>
        <w:rPr>
          <w:rFonts w:cs="Open Sans"/>
          <w:lang w:val="en-GB"/>
        </w:rPr>
      </w:pPr>
      <w:r w:rsidRPr="396E0E09">
        <w:rPr>
          <w:rFonts w:cs="Open Sans"/>
          <w:b/>
          <w:bCs/>
          <w:lang w:val="en-GB"/>
        </w:rPr>
        <w:t>There is a need for greater community understanding of the different dimensions of racism and racial inequality in Australia</w:t>
      </w:r>
      <w:r>
        <w:rPr>
          <w:rFonts w:cs="Open Sans"/>
          <w:b/>
          <w:bCs/>
          <w:lang w:val="en-GB"/>
        </w:rPr>
        <w:t>:</w:t>
      </w:r>
      <w:r w:rsidRPr="396E0E09">
        <w:rPr>
          <w:rFonts w:cs="Open Sans"/>
          <w:b/>
          <w:bCs/>
          <w:lang w:val="en-GB"/>
        </w:rPr>
        <w:t xml:space="preserve"> </w:t>
      </w:r>
      <w:r>
        <w:rPr>
          <w:rFonts w:cs="Open Sans"/>
          <w:lang w:val="en-GB"/>
        </w:rPr>
        <w:t>E</w:t>
      </w:r>
      <w:r w:rsidRPr="396E0E09">
        <w:rPr>
          <w:rFonts w:cs="Open Sans"/>
          <w:lang w:val="en-GB"/>
        </w:rPr>
        <w:t>xperiences of racism, discrimination and hatred vary and are experienced differently, ranging from:</w:t>
      </w:r>
    </w:p>
    <w:p w14:paraId="1363709B" w14:textId="77777777" w:rsidR="00451F12" w:rsidRDefault="00451F12" w:rsidP="00842B54">
      <w:pPr>
        <w:pStyle w:val="ListParagraph"/>
        <w:numPr>
          <w:ilvl w:val="0"/>
          <w:numId w:val="17"/>
        </w:numPr>
        <w:spacing w:before="0" w:after="160" w:line="259" w:lineRule="auto"/>
        <w:contextualSpacing/>
        <w:rPr>
          <w:rFonts w:cs="Open Sans"/>
          <w:lang w:val="en-GB"/>
        </w:rPr>
      </w:pPr>
      <w:r w:rsidRPr="5DC6E747">
        <w:rPr>
          <w:rFonts w:cs="Open Sans"/>
          <w:lang w:val="en-GB"/>
        </w:rPr>
        <w:t>Verbal abuse and expressions of hate and violence from anonymous encounters</w:t>
      </w:r>
    </w:p>
    <w:p w14:paraId="68E3A340" w14:textId="77777777" w:rsidR="00451F12" w:rsidRDefault="00451F12" w:rsidP="00842B54">
      <w:pPr>
        <w:pStyle w:val="ListParagraph"/>
        <w:numPr>
          <w:ilvl w:val="0"/>
          <w:numId w:val="17"/>
        </w:numPr>
        <w:spacing w:before="0" w:after="160" w:line="259" w:lineRule="auto"/>
        <w:contextualSpacing/>
        <w:rPr>
          <w:rFonts w:cs="Open Sans"/>
          <w:lang w:val="en-GB"/>
        </w:rPr>
      </w:pPr>
      <w:r>
        <w:rPr>
          <w:rFonts w:cs="Open Sans"/>
          <w:lang w:val="en-GB"/>
        </w:rPr>
        <w:t xml:space="preserve">Everyday racism like off-hand jokes and comments that </w:t>
      </w:r>
      <w:r w:rsidRPr="00F04FCB">
        <w:rPr>
          <w:rFonts w:cs="Open Sans"/>
          <w:color w:val="333333"/>
          <w:shd w:val="clear" w:color="auto" w:fill="FFFFFF"/>
        </w:rPr>
        <w:t>reinforce negative stereotypes or prejudices about people based on their race, colour or ethnicity</w:t>
      </w:r>
    </w:p>
    <w:p w14:paraId="7FFAD03F" w14:textId="77777777" w:rsidR="00451F12" w:rsidRDefault="00451F12" w:rsidP="00842B54">
      <w:pPr>
        <w:pStyle w:val="ListParagraph"/>
        <w:numPr>
          <w:ilvl w:val="0"/>
          <w:numId w:val="17"/>
        </w:numPr>
        <w:spacing w:before="0" w:after="160" w:line="259" w:lineRule="auto"/>
        <w:contextualSpacing/>
        <w:rPr>
          <w:rFonts w:cs="Open Sans"/>
          <w:lang w:val="en-GB"/>
        </w:rPr>
      </w:pPr>
      <w:r w:rsidRPr="5DC6E747">
        <w:rPr>
          <w:rFonts w:cs="Open Sans"/>
          <w:lang w:val="en-GB"/>
        </w:rPr>
        <w:t>Institutionalised forms of racial discrimination</w:t>
      </w:r>
    </w:p>
    <w:p w14:paraId="541406B5" w14:textId="77777777" w:rsidR="00451F12" w:rsidRDefault="00451F12" w:rsidP="00842B54">
      <w:pPr>
        <w:pStyle w:val="ListParagraph"/>
        <w:numPr>
          <w:ilvl w:val="0"/>
          <w:numId w:val="17"/>
        </w:numPr>
        <w:spacing w:before="0" w:after="160" w:line="259" w:lineRule="auto"/>
        <w:contextualSpacing/>
        <w:rPr>
          <w:rFonts w:cs="Open Sans"/>
          <w:lang w:val="en-GB"/>
        </w:rPr>
      </w:pPr>
      <w:r>
        <w:rPr>
          <w:rFonts w:cs="Open Sans"/>
          <w:lang w:val="en-GB"/>
        </w:rPr>
        <w:t>Systemic issues that disproportionately impact certain groups identifiable by race (</w:t>
      </w:r>
      <w:proofErr w:type="gramStart"/>
      <w:r>
        <w:rPr>
          <w:rFonts w:cs="Open Sans"/>
          <w:lang w:val="en-GB"/>
        </w:rPr>
        <w:t>e.g.</w:t>
      </w:r>
      <w:proofErr w:type="gramEnd"/>
      <w:r>
        <w:rPr>
          <w:rFonts w:cs="Open Sans"/>
          <w:lang w:val="en-GB"/>
        </w:rPr>
        <w:t xml:space="preserve"> Aboriginal people and Torres Strait Islander people, Sudanese people)</w:t>
      </w:r>
    </w:p>
    <w:p w14:paraId="1F52377B" w14:textId="77777777" w:rsidR="00451F12" w:rsidRDefault="00451F12" w:rsidP="00842B54">
      <w:pPr>
        <w:pStyle w:val="ListParagraph"/>
        <w:numPr>
          <w:ilvl w:val="0"/>
          <w:numId w:val="17"/>
        </w:numPr>
        <w:spacing w:before="0" w:after="160" w:line="259" w:lineRule="auto"/>
        <w:contextualSpacing/>
        <w:rPr>
          <w:rFonts w:cs="Open Sans"/>
          <w:lang w:val="en-GB"/>
        </w:rPr>
      </w:pPr>
      <w:r w:rsidRPr="5DC6E747">
        <w:rPr>
          <w:rFonts w:cs="Open Sans"/>
          <w:lang w:val="en-GB"/>
        </w:rPr>
        <w:t>Lack of cultural diversity in leadership across government and business</w:t>
      </w:r>
    </w:p>
    <w:p w14:paraId="455BA334" w14:textId="5850A12F" w:rsidR="00E61169" w:rsidRDefault="00451F12" w:rsidP="00E61169">
      <w:pPr>
        <w:pStyle w:val="ListParagraph"/>
        <w:numPr>
          <w:ilvl w:val="0"/>
          <w:numId w:val="16"/>
        </w:numPr>
        <w:spacing w:before="0" w:after="160" w:line="259" w:lineRule="auto"/>
        <w:contextualSpacing/>
        <w:rPr>
          <w:rFonts w:cs="Open Sans"/>
          <w:lang w:val="en-GB"/>
        </w:rPr>
      </w:pPr>
      <w:r>
        <w:rPr>
          <w:rFonts w:cs="Open Sans"/>
          <w:lang w:val="en-GB"/>
        </w:rPr>
        <w:t>Fearmongering about asylum seekers and Muslims, often containing racial undertones.</w:t>
      </w:r>
    </w:p>
    <w:p w14:paraId="69718B67" w14:textId="77777777" w:rsidR="008F6844" w:rsidRPr="008F6844" w:rsidRDefault="008F6844" w:rsidP="008F6844">
      <w:pPr>
        <w:pStyle w:val="ListParagraph"/>
        <w:spacing w:before="0" w:after="160" w:line="259" w:lineRule="auto"/>
        <w:contextualSpacing/>
        <w:rPr>
          <w:rFonts w:cs="Open Sans"/>
          <w:lang w:val="en-GB"/>
        </w:rPr>
      </w:pPr>
    </w:p>
    <w:p w14:paraId="3C872405" w14:textId="52F0581F" w:rsidR="00451F12" w:rsidRPr="002C19E0" w:rsidRDefault="00451F12" w:rsidP="00842B54">
      <w:pPr>
        <w:pStyle w:val="ListParagraph"/>
        <w:numPr>
          <w:ilvl w:val="0"/>
          <w:numId w:val="37"/>
        </w:numPr>
        <w:spacing w:before="0" w:after="160" w:line="259" w:lineRule="auto"/>
        <w:ind w:left="720"/>
        <w:contextualSpacing/>
        <w:rPr>
          <w:rFonts w:cs="Open Sans"/>
          <w:lang w:val="en-GB"/>
        </w:rPr>
      </w:pPr>
      <w:r w:rsidRPr="46611AC7">
        <w:rPr>
          <w:rFonts w:cs="Open Sans"/>
          <w:b/>
          <w:bCs/>
          <w:lang w:val="en-GB"/>
        </w:rPr>
        <w:t>There is growing community momentum to do more to tackle racism and achieve racial equality</w:t>
      </w:r>
      <w:r>
        <w:rPr>
          <w:rFonts w:cs="Open Sans"/>
          <w:b/>
          <w:bCs/>
          <w:lang w:val="en-GB"/>
        </w:rPr>
        <w:t>:</w:t>
      </w:r>
      <w:r w:rsidRPr="46611AC7">
        <w:rPr>
          <w:rFonts w:cs="Open Sans"/>
          <w:b/>
          <w:bCs/>
          <w:lang w:val="en-GB"/>
        </w:rPr>
        <w:t xml:space="preserve"> </w:t>
      </w:r>
      <w:r>
        <w:rPr>
          <w:rFonts w:cs="Open Sans"/>
          <w:lang w:val="en-GB"/>
        </w:rPr>
        <w:t>R</w:t>
      </w:r>
      <w:r w:rsidRPr="46611AC7">
        <w:rPr>
          <w:rFonts w:cs="Open Sans"/>
          <w:lang w:val="en-GB"/>
        </w:rPr>
        <w:t xml:space="preserve">anging from </w:t>
      </w:r>
      <w:r w:rsidRPr="46611AC7">
        <w:rPr>
          <w:rFonts w:cs="Open Sans"/>
        </w:rPr>
        <w:t>statements in federal parliament condemning racism; discrete actions taken at the national and state and territory level in the context of COVID-19; community petitions on the need for a stronger national approach to anti-racism and working towards equal participation and representation; widespread informal, community led campaigning for change using social media.</w:t>
      </w:r>
      <w:r w:rsidR="002C19E0">
        <w:rPr>
          <w:rFonts w:cs="Open Sans"/>
        </w:rPr>
        <w:br/>
      </w:r>
    </w:p>
    <w:p w14:paraId="1A2B86D6" w14:textId="16E5666B" w:rsidR="00451F12" w:rsidRPr="002C19E0" w:rsidRDefault="00451F12" w:rsidP="00842B54">
      <w:pPr>
        <w:pStyle w:val="ListParagraph"/>
        <w:numPr>
          <w:ilvl w:val="0"/>
          <w:numId w:val="37"/>
        </w:numPr>
        <w:spacing w:before="0" w:after="160" w:line="259" w:lineRule="auto"/>
        <w:ind w:left="720"/>
        <w:contextualSpacing/>
      </w:pPr>
      <w:r w:rsidRPr="46611AC7">
        <w:rPr>
          <w:rFonts w:cs="Open Sans"/>
          <w:b/>
          <w:bCs/>
        </w:rPr>
        <w:t xml:space="preserve">The Australian Government has already committed to taking action to address racism, especially as experienced by Aboriginal and Torres Strait Islander peoples, but further action </w:t>
      </w:r>
      <w:r>
        <w:rPr>
          <w:rFonts w:cs="Open Sans"/>
          <w:b/>
          <w:bCs/>
        </w:rPr>
        <w:t xml:space="preserve">is </w:t>
      </w:r>
      <w:proofErr w:type="gramStart"/>
      <w:r>
        <w:rPr>
          <w:rFonts w:cs="Open Sans"/>
          <w:b/>
          <w:bCs/>
        </w:rPr>
        <w:t>required</w:t>
      </w:r>
      <w:proofErr w:type="gramEnd"/>
      <w:r>
        <w:rPr>
          <w:rFonts w:cs="Open Sans"/>
          <w:b/>
          <w:bCs/>
        </w:rPr>
        <w:t xml:space="preserve"> </w:t>
      </w:r>
      <w:r w:rsidRPr="46611AC7">
        <w:rPr>
          <w:rFonts w:cs="Open Sans"/>
          <w:b/>
          <w:bCs/>
        </w:rPr>
        <w:t xml:space="preserve">and </w:t>
      </w:r>
      <w:r>
        <w:rPr>
          <w:rFonts w:cs="Open Sans"/>
          <w:b/>
          <w:bCs/>
        </w:rPr>
        <w:t xml:space="preserve">we need </w:t>
      </w:r>
      <w:r w:rsidRPr="46611AC7">
        <w:rPr>
          <w:rFonts w:cs="Open Sans"/>
          <w:b/>
          <w:bCs/>
        </w:rPr>
        <w:t xml:space="preserve">different approaches to achieve these commitments. </w:t>
      </w:r>
      <w:r w:rsidRPr="46611AC7">
        <w:rPr>
          <w:rFonts w:cs="Open Sans"/>
        </w:rPr>
        <w:t xml:space="preserve">This is most notably through commitments made by all Australian governments in the National Agreement on Closing the Gap and through the process to develop a national voice for Aboriginal and Torres Strait Islander peoples. Addressing systemic, institutionalised racism is also identified as a key priority in the Aboriginal and Torres Strait Islander Social Justice Commissioner’s </w:t>
      </w:r>
      <w:proofErr w:type="spellStart"/>
      <w:r w:rsidRPr="46611AC7">
        <w:rPr>
          <w:rFonts w:cs="Open Sans"/>
          <w:i/>
          <w:iCs/>
        </w:rPr>
        <w:t>Wiyi</w:t>
      </w:r>
      <w:proofErr w:type="spellEnd"/>
      <w:r w:rsidRPr="46611AC7">
        <w:rPr>
          <w:rFonts w:cs="Open Sans"/>
          <w:i/>
          <w:iCs/>
        </w:rPr>
        <w:t xml:space="preserve"> </w:t>
      </w:r>
      <w:proofErr w:type="spellStart"/>
      <w:r w:rsidRPr="46611AC7">
        <w:rPr>
          <w:rFonts w:cs="Open Sans"/>
          <w:i/>
          <w:iCs/>
        </w:rPr>
        <w:t>Yanu</w:t>
      </w:r>
      <w:proofErr w:type="spellEnd"/>
      <w:r w:rsidRPr="46611AC7">
        <w:rPr>
          <w:rFonts w:cs="Open Sans"/>
          <w:i/>
          <w:iCs/>
        </w:rPr>
        <w:t xml:space="preserve"> U </w:t>
      </w:r>
      <w:proofErr w:type="spellStart"/>
      <w:r w:rsidRPr="46611AC7">
        <w:rPr>
          <w:rFonts w:cs="Open Sans"/>
          <w:i/>
          <w:iCs/>
        </w:rPr>
        <w:t>Thangani</w:t>
      </w:r>
      <w:proofErr w:type="spellEnd"/>
      <w:r w:rsidRPr="46611AC7">
        <w:rPr>
          <w:rFonts w:cs="Open Sans"/>
        </w:rPr>
        <w:t xml:space="preserve"> report of 2020, and by Reconciliation </w:t>
      </w:r>
      <w:r w:rsidRPr="46611AC7">
        <w:rPr>
          <w:rFonts w:cs="Open Sans"/>
        </w:rPr>
        <w:lastRenderedPageBreak/>
        <w:t>Australia in its latest State of Reconciliation Report.</w:t>
      </w:r>
      <w:r w:rsidR="002C19E0">
        <w:rPr>
          <w:rFonts w:cs="Open Sans"/>
        </w:rPr>
        <w:br/>
      </w:r>
    </w:p>
    <w:p w14:paraId="4AE43828" w14:textId="565C6434" w:rsidR="00451F12" w:rsidRPr="009A3668" w:rsidRDefault="00451F12" w:rsidP="00842B54">
      <w:pPr>
        <w:pStyle w:val="ListParagraph"/>
        <w:numPr>
          <w:ilvl w:val="0"/>
          <w:numId w:val="37"/>
        </w:numPr>
        <w:spacing w:before="0" w:after="160" w:line="259" w:lineRule="auto"/>
        <w:ind w:left="720"/>
        <w:contextualSpacing/>
        <w:rPr>
          <w:rFonts w:cs="Open Sans"/>
          <w:b/>
          <w:bCs/>
          <w:lang w:val="en-GB"/>
        </w:rPr>
      </w:pPr>
      <w:r w:rsidRPr="46611AC7">
        <w:rPr>
          <w:rFonts w:cs="Open Sans"/>
          <w:b/>
          <w:bCs/>
          <w:lang w:val="en-GB"/>
        </w:rPr>
        <w:t xml:space="preserve">There are potentially significant economic consequences </w:t>
      </w:r>
      <w:r>
        <w:rPr>
          <w:rFonts w:cs="Open Sans"/>
          <w:b/>
          <w:bCs/>
          <w:lang w:val="en-GB"/>
        </w:rPr>
        <w:t>for</w:t>
      </w:r>
      <w:r w:rsidRPr="46611AC7">
        <w:rPr>
          <w:rFonts w:cs="Open Sans"/>
          <w:b/>
          <w:bCs/>
          <w:lang w:val="en-GB"/>
        </w:rPr>
        <w:t xml:space="preserve"> Australia from not tackling racism and racial inequality</w:t>
      </w:r>
      <w:r>
        <w:rPr>
          <w:rFonts w:cs="Open Sans"/>
          <w:b/>
          <w:bCs/>
          <w:lang w:val="en-GB"/>
        </w:rPr>
        <w:t>:</w:t>
      </w:r>
      <w:r w:rsidRPr="46611AC7">
        <w:rPr>
          <w:rFonts w:cs="Open Sans"/>
          <w:b/>
          <w:bCs/>
          <w:lang w:val="en-GB"/>
        </w:rPr>
        <w:t xml:space="preserve"> </w:t>
      </w:r>
      <w:r>
        <w:rPr>
          <w:rFonts w:cs="Open Sans"/>
          <w:lang w:val="en-GB"/>
        </w:rPr>
        <w:t>W</w:t>
      </w:r>
      <w:r w:rsidRPr="46611AC7">
        <w:rPr>
          <w:rFonts w:cs="Open Sans"/>
          <w:lang w:val="en-GB"/>
        </w:rPr>
        <w:t>ith racism being a significant concern of other countries, and statements from key economic partners that may impact on significant sectors such as international students</w:t>
      </w:r>
      <w:r>
        <w:rPr>
          <w:rFonts w:cs="Open Sans"/>
          <w:lang w:val="en-GB"/>
        </w:rPr>
        <w:t>. There is</w:t>
      </w:r>
      <w:r w:rsidRPr="46611AC7">
        <w:rPr>
          <w:rFonts w:cs="Open Sans"/>
          <w:lang w:val="en-GB"/>
        </w:rPr>
        <w:t xml:space="preserve"> increasing evidence from research about the costs of racism</w:t>
      </w:r>
      <w:r>
        <w:rPr>
          <w:rFonts w:cs="Open Sans"/>
          <w:lang w:val="en-GB"/>
        </w:rPr>
        <w:t xml:space="preserve"> to the economy </w:t>
      </w:r>
      <w:r w:rsidRPr="46611AC7">
        <w:rPr>
          <w:rFonts w:cs="Open Sans"/>
          <w:lang w:val="en-GB"/>
        </w:rPr>
        <w:t>and the benefits of more equitable participation in all aspects of public life</w:t>
      </w:r>
      <w:r>
        <w:rPr>
          <w:rFonts w:cs="Open Sans"/>
          <w:lang w:val="en-GB"/>
        </w:rPr>
        <w:t>. This includes</w:t>
      </w:r>
      <w:r w:rsidRPr="46611AC7">
        <w:rPr>
          <w:rFonts w:cs="Open Sans"/>
          <w:lang w:val="en-GB"/>
        </w:rPr>
        <w:t xml:space="preserve"> consumer boycotts</w:t>
      </w:r>
      <w:r>
        <w:rPr>
          <w:rFonts w:cs="Open Sans"/>
          <w:lang w:val="en-GB"/>
        </w:rPr>
        <w:t>,</w:t>
      </w:r>
      <w:r w:rsidRPr="46611AC7">
        <w:rPr>
          <w:rFonts w:cs="Open Sans"/>
          <w:lang w:val="en-GB"/>
        </w:rPr>
        <w:t xml:space="preserve"> </w:t>
      </w:r>
      <w:r>
        <w:rPr>
          <w:rFonts w:cs="Open Sans"/>
          <w:lang w:val="en-GB"/>
        </w:rPr>
        <w:t xml:space="preserve">such as </w:t>
      </w:r>
      <w:r w:rsidRPr="46611AC7">
        <w:rPr>
          <w:rFonts w:cs="Open Sans"/>
          <w:lang w:val="en-GB"/>
        </w:rPr>
        <w:t xml:space="preserve">companies deciding to remove advertising from certain media and grassroots product boycotts. </w:t>
      </w:r>
    </w:p>
    <w:p w14:paraId="448BE9F1" w14:textId="67076CB6" w:rsidR="009A3668" w:rsidRPr="009A3668" w:rsidRDefault="00451F12" w:rsidP="009A3668">
      <w:pPr>
        <w:pStyle w:val="Heading1"/>
        <w:ind w:left="426" w:hanging="426"/>
        <w:rPr>
          <w:rFonts w:eastAsiaTheme="minorEastAsia"/>
          <w:lang w:val="en-GB"/>
        </w:rPr>
      </w:pPr>
      <w:bookmarkStart w:id="4" w:name="_Toc66719690"/>
      <w:r w:rsidRPr="46611AC7">
        <w:rPr>
          <w:lang w:val="en-GB"/>
        </w:rPr>
        <w:t>How could a National Framework operate?</w:t>
      </w:r>
      <w:bookmarkEnd w:id="4"/>
    </w:p>
    <w:p w14:paraId="4DAC3C2F" w14:textId="35A07E8B" w:rsidR="00451F12" w:rsidRPr="002C19E0" w:rsidRDefault="00451F12" w:rsidP="00842B54">
      <w:pPr>
        <w:pStyle w:val="ListParagraph"/>
        <w:numPr>
          <w:ilvl w:val="0"/>
          <w:numId w:val="37"/>
        </w:numPr>
        <w:spacing w:before="0" w:after="160" w:line="259" w:lineRule="auto"/>
        <w:ind w:left="720"/>
        <w:contextualSpacing/>
        <w:rPr>
          <w:rFonts w:cs="Open Sans"/>
          <w:lang w:val="en-GB"/>
        </w:rPr>
      </w:pPr>
      <w:r w:rsidRPr="46611AC7">
        <w:rPr>
          <w:rFonts w:cs="Open Sans"/>
          <w:lang w:val="en-GB"/>
        </w:rPr>
        <w:t>National frameworks exist across many issues as a way of guiding action by government/s, the third sector, business and community partners on issues of significant concern. They assist in defining challenges, creating awareness of these and ensuring public commitment to addressing them.</w:t>
      </w:r>
      <w:r w:rsidR="002C19E0">
        <w:rPr>
          <w:rFonts w:cs="Open Sans"/>
          <w:lang w:val="en-GB"/>
        </w:rPr>
        <w:br/>
      </w:r>
    </w:p>
    <w:p w14:paraId="638DB4CF" w14:textId="77777777" w:rsidR="00451F12" w:rsidRPr="00D14F8C" w:rsidRDefault="00451F12" w:rsidP="00842B54">
      <w:pPr>
        <w:pStyle w:val="ListParagraph"/>
        <w:numPr>
          <w:ilvl w:val="0"/>
          <w:numId w:val="37"/>
        </w:numPr>
        <w:spacing w:before="0" w:after="160" w:line="259" w:lineRule="auto"/>
        <w:ind w:left="720"/>
        <w:contextualSpacing/>
        <w:rPr>
          <w:rFonts w:cs="Open Sans"/>
          <w:lang w:val="en-GB"/>
        </w:rPr>
      </w:pPr>
      <w:r w:rsidRPr="46611AC7">
        <w:rPr>
          <w:rFonts w:cs="Open Sans"/>
          <w:lang w:val="en-GB"/>
        </w:rPr>
        <w:t>A national framework on anti-racism would be a central reference point for actions on anti-racism to be undertaken by government, the Commission, NGOs, business, educators, health professionals, police, other justice authorities, civil society, and the community.</w:t>
      </w:r>
      <w:r>
        <w:rPr>
          <w:rFonts w:cs="Open Sans"/>
          <w:lang w:val="en-GB"/>
        </w:rPr>
        <w:br/>
      </w:r>
    </w:p>
    <w:p w14:paraId="4E5E4BF4" w14:textId="77777777" w:rsidR="00451F12" w:rsidRDefault="00451F12" w:rsidP="00842B54">
      <w:pPr>
        <w:pStyle w:val="ListParagraph"/>
        <w:numPr>
          <w:ilvl w:val="0"/>
          <w:numId w:val="37"/>
        </w:numPr>
        <w:spacing w:before="0" w:after="160" w:line="259" w:lineRule="auto"/>
        <w:ind w:left="720"/>
        <w:contextualSpacing/>
        <w:rPr>
          <w:lang w:val="en-GB"/>
        </w:rPr>
      </w:pPr>
      <w:r w:rsidRPr="46611AC7">
        <w:rPr>
          <w:rFonts w:cs="Open Sans"/>
          <w:lang w:val="en-GB"/>
        </w:rPr>
        <w:t>A national anti-racism framework would provide a basis for all Australian governments to commit to combatting racism in Australia. It would:</w:t>
      </w:r>
    </w:p>
    <w:p w14:paraId="1294B8EB" w14:textId="77777777" w:rsidR="00451F12" w:rsidRPr="00262409" w:rsidRDefault="00451F12" w:rsidP="00842B54">
      <w:pPr>
        <w:pStyle w:val="ListParagraph"/>
        <w:numPr>
          <w:ilvl w:val="0"/>
          <w:numId w:val="21"/>
        </w:numPr>
        <w:spacing w:before="0" w:after="160" w:line="259" w:lineRule="auto"/>
        <w:contextualSpacing/>
        <w:rPr>
          <w:rFonts w:cs="Open Sans"/>
          <w:lang w:val="en-GB"/>
        </w:rPr>
      </w:pPr>
      <w:r w:rsidRPr="00262409">
        <w:rPr>
          <w:rFonts w:cs="Open Sans"/>
          <w:lang w:val="en-GB"/>
        </w:rPr>
        <w:t>Affirm Australia as a country committed to</w:t>
      </w:r>
      <w:r>
        <w:rPr>
          <w:rFonts w:cs="Open Sans"/>
          <w:lang w:val="en-GB"/>
        </w:rPr>
        <w:t xml:space="preserve"> </w:t>
      </w:r>
      <w:r w:rsidRPr="00262409">
        <w:rPr>
          <w:rFonts w:cs="Open Sans"/>
          <w:lang w:val="en-GB"/>
        </w:rPr>
        <w:t>racial equality</w:t>
      </w:r>
      <w:r>
        <w:rPr>
          <w:rFonts w:cs="Open Sans"/>
          <w:lang w:val="en-GB"/>
        </w:rPr>
        <w:t>, fairness,</w:t>
      </w:r>
      <w:r w:rsidRPr="00262409">
        <w:rPr>
          <w:rFonts w:cs="Open Sans"/>
          <w:lang w:val="en-GB"/>
        </w:rPr>
        <w:t xml:space="preserve"> and justice</w:t>
      </w:r>
    </w:p>
    <w:p w14:paraId="6E86CAB6" w14:textId="77777777" w:rsidR="00451F12" w:rsidRDefault="00451F12" w:rsidP="00842B54">
      <w:pPr>
        <w:pStyle w:val="ListParagraph"/>
        <w:numPr>
          <w:ilvl w:val="0"/>
          <w:numId w:val="21"/>
        </w:numPr>
        <w:spacing w:before="0" w:after="160" w:line="259" w:lineRule="auto"/>
        <w:contextualSpacing/>
        <w:rPr>
          <w:rFonts w:cs="Open Sans"/>
          <w:lang w:val="en-GB"/>
        </w:rPr>
      </w:pPr>
      <w:r>
        <w:rPr>
          <w:rFonts w:cs="Open Sans"/>
          <w:lang w:val="en-GB"/>
        </w:rPr>
        <w:t>Identify the different, complementary measures that form part of a comprehensive response to racism and its prevention</w:t>
      </w:r>
    </w:p>
    <w:p w14:paraId="441BA2ED" w14:textId="77777777" w:rsidR="00451F12" w:rsidRDefault="00451F12" w:rsidP="00842B54">
      <w:pPr>
        <w:pStyle w:val="ListParagraph"/>
        <w:numPr>
          <w:ilvl w:val="0"/>
          <w:numId w:val="21"/>
        </w:numPr>
        <w:spacing w:before="0" w:after="160" w:line="259" w:lineRule="auto"/>
        <w:contextualSpacing/>
        <w:rPr>
          <w:rFonts w:cs="Open Sans"/>
          <w:lang w:val="en-GB"/>
        </w:rPr>
      </w:pPr>
      <w:r>
        <w:rPr>
          <w:rFonts w:cs="Open Sans"/>
          <w:lang w:val="en-GB"/>
        </w:rPr>
        <w:t>Set measurable targets</w:t>
      </w:r>
    </w:p>
    <w:p w14:paraId="73462CD8" w14:textId="77777777" w:rsidR="00451F12" w:rsidRDefault="00451F12" w:rsidP="00842B54">
      <w:pPr>
        <w:pStyle w:val="ListParagraph"/>
        <w:numPr>
          <w:ilvl w:val="0"/>
          <w:numId w:val="21"/>
        </w:numPr>
        <w:spacing w:before="0" w:after="160" w:line="259" w:lineRule="auto"/>
        <w:contextualSpacing/>
        <w:rPr>
          <w:rFonts w:cs="Open Sans"/>
          <w:lang w:val="en-GB"/>
        </w:rPr>
      </w:pPr>
      <w:r>
        <w:rPr>
          <w:rFonts w:cs="Open Sans"/>
          <w:lang w:val="en-GB"/>
        </w:rPr>
        <w:t>Include the capacity for partnerships across society to address racism, acknowledging that it will require action from across the community, business, and government sectors</w:t>
      </w:r>
    </w:p>
    <w:p w14:paraId="5A9D70A4" w14:textId="6F3BADBC" w:rsidR="00451F12" w:rsidRPr="002C19E0" w:rsidRDefault="00451F12" w:rsidP="00842B54">
      <w:pPr>
        <w:pStyle w:val="ListParagraph"/>
        <w:numPr>
          <w:ilvl w:val="0"/>
          <w:numId w:val="21"/>
        </w:numPr>
        <w:spacing w:before="0" w:after="160" w:line="259" w:lineRule="auto"/>
        <w:contextualSpacing/>
        <w:rPr>
          <w:rFonts w:cs="Open Sans"/>
          <w:lang w:val="en-GB"/>
        </w:rPr>
      </w:pPr>
      <w:r>
        <w:rPr>
          <w:rFonts w:cs="Open Sans"/>
          <w:lang w:val="en-GB"/>
        </w:rPr>
        <w:t>Ensure accountability mechanisms to measure progress over time in reducing the incidence of racism</w:t>
      </w:r>
      <w:r w:rsidR="002C19E0">
        <w:rPr>
          <w:rFonts w:cs="Open Sans"/>
          <w:lang w:val="en-GB"/>
        </w:rPr>
        <w:t>.</w:t>
      </w:r>
      <w:r w:rsidR="002C19E0">
        <w:rPr>
          <w:rFonts w:cs="Open Sans"/>
          <w:lang w:val="en-GB"/>
        </w:rPr>
        <w:br/>
      </w:r>
    </w:p>
    <w:p w14:paraId="64F73505" w14:textId="77777777" w:rsidR="00451F12" w:rsidRPr="00D14F8C" w:rsidRDefault="00451F12" w:rsidP="00842B54">
      <w:pPr>
        <w:pStyle w:val="ListParagraph"/>
        <w:numPr>
          <w:ilvl w:val="0"/>
          <w:numId w:val="37"/>
        </w:numPr>
        <w:spacing w:before="0" w:after="160" w:line="259" w:lineRule="auto"/>
        <w:ind w:left="709"/>
        <w:contextualSpacing/>
        <w:rPr>
          <w:rFonts w:cs="Open Sans"/>
          <w:lang w:val="en-GB"/>
        </w:rPr>
      </w:pPr>
      <w:r w:rsidRPr="00D14F8C">
        <w:rPr>
          <w:rFonts w:cs="Open Sans"/>
          <w:lang w:val="en-GB"/>
        </w:rPr>
        <w:t>A national framework would also:</w:t>
      </w:r>
    </w:p>
    <w:p w14:paraId="7AB9DACD" w14:textId="77777777" w:rsidR="00451F12" w:rsidRDefault="00451F12" w:rsidP="00842B54">
      <w:pPr>
        <w:pStyle w:val="ListParagraph"/>
        <w:numPr>
          <w:ilvl w:val="0"/>
          <w:numId w:val="22"/>
        </w:numPr>
        <w:spacing w:before="0" w:after="160" w:line="259" w:lineRule="auto"/>
        <w:contextualSpacing/>
        <w:rPr>
          <w:rFonts w:cs="Open Sans"/>
          <w:lang w:val="en-GB"/>
        </w:rPr>
      </w:pPr>
      <w:r>
        <w:rPr>
          <w:rFonts w:cs="Open Sans"/>
          <w:lang w:val="en-GB"/>
        </w:rPr>
        <w:lastRenderedPageBreak/>
        <w:t xml:space="preserve">Identify opportunities to address racism through different national frameworks (for example, by targeting experiences of systemic discrimination </w:t>
      </w:r>
      <w:r w:rsidRPr="00262409">
        <w:rPr>
          <w:rFonts w:cs="Open Sans"/>
          <w:lang w:val="en-GB"/>
        </w:rPr>
        <w:t xml:space="preserve">in workplaces, </w:t>
      </w:r>
      <w:r>
        <w:rPr>
          <w:rFonts w:cs="Open Sans"/>
          <w:lang w:val="en-GB"/>
        </w:rPr>
        <w:t xml:space="preserve">in care and protection or criminal justice; ensuring groups who disproportionately experience poverty, marginalisation or other inequality are not left behind) </w:t>
      </w:r>
    </w:p>
    <w:p w14:paraId="470BF072" w14:textId="77777777" w:rsidR="00451F12" w:rsidRDefault="00451F12" w:rsidP="00842B54">
      <w:pPr>
        <w:pStyle w:val="ListParagraph"/>
        <w:numPr>
          <w:ilvl w:val="0"/>
          <w:numId w:val="22"/>
        </w:numPr>
        <w:spacing w:before="0" w:after="160" w:line="259" w:lineRule="auto"/>
        <w:contextualSpacing/>
        <w:rPr>
          <w:rFonts w:cs="Open Sans"/>
          <w:lang w:val="en-GB"/>
        </w:rPr>
      </w:pPr>
      <w:r w:rsidRPr="1B0525E8">
        <w:rPr>
          <w:rFonts w:cs="Open Sans"/>
          <w:lang w:val="en-GB"/>
        </w:rPr>
        <w:t>Sit alongside national policy frameworks on multiculturalism, reconciliation</w:t>
      </w:r>
      <w:r>
        <w:rPr>
          <w:rFonts w:cs="Open Sans"/>
          <w:lang w:val="en-GB"/>
        </w:rPr>
        <w:t>,</w:t>
      </w:r>
      <w:r w:rsidRPr="1B0525E8">
        <w:rPr>
          <w:rFonts w:cs="Open Sans"/>
          <w:lang w:val="en-GB"/>
        </w:rPr>
        <w:t xml:space="preserve"> and social inclusion </w:t>
      </w:r>
    </w:p>
    <w:p w14:paraId="30141690" w14:textId="77777777" w:rsidR="00451F12" w:rsidRDefault="00451F12" w:rsidP="00842B54">
      <w:pPr>
        <w:pStyle w:val="ListParagraph"/>
        <w:numPr>
          <w:ilvl w:val="0"/>
          <w:numId w:val="22"/>
        </w:numPr>
        <w:spacing w:before="0" w:after="160" w:line="259" w:lineRule="auto"/>
        <w:contextualSpacing/>
        <w:rPr>
          <w:rFonts w:cs="Open Sans"/>
          <w:lang w:val="en-GB"/>
        </w:rPr>
      </w:pPr>
      <w:r>
        <w:rPr>
          <w:rFonts w:cs="Open Sans"/>
          <w:lang w:val="en-GB"/>
        </w:rPr>
        <w:t xml:space="preserve">Identify responsibilities </w:t>
      </w:r>
      <w:r w:rsidRPr="00262409">
        <w:rPr>
          <w:rFonts w:cs="Open Sans"/>
          <w:lang w:val="en-GB"/>
        </w:rPr>
        <w:t xml:space="preserve">and responses </w:t>
      </w:r>
      <w:r>
        <w:rPr>
          <w:rFonts w:cs="Open Sans"/>
          <w:lang w:val="en-GB"/>
        </w:rPr>
        <w:t>at all levels of government (federal, state, and local)</w:t>
      </w:r>
    </w:p>
    <w:p w14:paraId="0DB2614A" w14:textId="77777777" w:rsidR="00451F12" w:rsidRDefault="00451F12" w:rsidP="00842B54">
      <w:pPr>
        <w:pStyle w:val="ListParagraph"/>
        <w:numPr>
          <w:ilvl w:val="0"/>
          <w:numId w:val="22"/>
        </w:numPr>
        <w:spacing w:before="0" w:after="160" w:line="259" w:lineRule="auto"/>
        <w:contextualSpacing/>
        <w:rPr>
          <w:rFonts w:cs="Open Sans"/>
          <w:lang w:val="en-GB"/>
        </w:rPr>
      </w:pPr>
      <w:r>
        <w:rPr>
          <w:rFonts w:cs="Open Sans"/>
          <w:lang w:val="en-GB"/>
        </w:rPr>
        <w:t xml:space="preserve">Link to key educational frameworks to ensure broad community understanding of anti-racism and cultural diversity </w:t>
      </w:r>
    </w:p>
    <w:p w14:paraId="0F4B1898" w14:textId="77777777" w:rsidR="00451F12" w:rsidRDefault="00451F12" w:rsidP="00842B54">
      <w:pPr>
        <w:pStyle w:val="ListParagraph"/>
        <w:numPr>
          <w:ilvl w:val="0"/>
          <w:numId w:val="22"/>
        </w:numPr>
        <w:spacing w:before="0" w:after="160" w:line="259" w:lineRule="auto"/>
        <w:contextualSpacing/>
        <w:rPr>
          <w:rFonts w:cs="Open Sans"/>
          <w:lang w:val="en-GB"/>
        </w:rPr>
      </w:pPr>
      <w:r>
        <w:rPr>
          <w:rFonts w:cs="Open Sans"/>
          <w:lang w:val="en-GB"/>
        </w:rPr>
        <w:t>Build cultural competency in key public institutions.</w:t>
      </w:r>
    </w:p>
    <w:p w14:paraId="4EFB4859" w14:textId="77777777" w:rsidR="00451F12" w:rsidRPr="006C2A45" w:rsidRDefault="00451F12" w:rsidP="00451F12">
      <w:pPr>
        <w:pStyle w:val="ListParagraph"/>
        <w:ind w:left="1440"/>
        <w:rPr>
          <w:rFonts w:cs="Open Sans"/>
          <w:lang w:val="en-GB"/>
        </w:rPr>
      </w:pPr>
    </w:p>
    <w:p w14:paraId="191362F7" w14:textId="77777777" w:rsidR="00451F12" w:rsidRDefault="00451F12" w:rsidP="00842B54">
      <w:pPr>
        <w:pStyle w:val="ListParagraph"/>
        <w:numPr>
          <w:ilvl w:val="0"/>
          <w:numId w:val="37"/>
        </w:numPr>
        <w:spacing w:before="0" w:after="160" w:line="259" w:lineRule="auto"/>
        <w:ind w:left="810"/>
        <w:contextualSpacing/>
        <w:rPr>
          <w:rFonts w:cs="Open Sans"/>
          <w:lang w:val="en-GB"/>
        </w:rPr>
      </w:pPr>
      <w:r w:rsidRPr="46611AC7">
        <w:rPr>
          <w:rFonts w:cs="Open Sans"/>
          <w:lang w:val="en-GB"/>
        </w:rPr>
        <w:t>A national framework would focus on the necessity to address racism through complementary measures such as:</w:t>
      </w:r>
    </w:p>
    <w:p w14:paraId="17C84F09" w14:textId="77777777" w:rsidR="00451F12" w:rsidRDefault="00451F12" w:rsidP="00842B54">
      <w:pPr>
        <w:pStyle w:val="ListParagraph"/>
        <w:numPr>
          <w:ilvl w:val="0"/>
          <w:numId w:val="24"/>
        </w:numPr>
        <w:spacing w:before="0" w:after="160" w:line="259" w:lineRule="auto"/>
        <w:contextualSpacing/>
        <w:rPr>
          <w:rFonts w:cs="Open Sans"/>
          <w:lang w:val="en-GB"/>
        </w:rPr>
      </w:pPr>
      <w:r>
        <w:rPr>
          <w:rFonts w:cs="Open Sans"/>
          <w:lang w:val="en-GB"/>
        </w:rPr>
        <w:t>Addressing the unacceptable problem of racism</w:t>
      </w:r>
    </w:p>
    <w:p w14:paraId="7A8CD3AC" w14:textId="77777777" w:rsidR="00451F12" w:rsidRDefault="00451F12" w:rsidP="00842B54">
      <w:pPr>
        <w:pStyle w:val="ListParagraph"/>
        <w:numPr>
          <w:ilvl w:val="0"/>
          <w:numId w:val="24"/>
        </w:numPr>
        <w:spacing w:before="0" w:after="160" w:line="259" w:lineRule="auto"/>
        <w:contextualSpacing/>
        <w:rPr>
          <w:rFonts w:cs="Open Sans"/>
          <w:lang w:val="en-GB"/>
        </w:rPr>
      </w:pPr>
      <w:r>
        <w:rPr>
          <w:rFonts w:cs="Open Sans"/>
          <w:lang w:val="en-GB"/>
        </w:rPr>
        <w:t>Empowering bystanders to support victims of racism</w:t>
      </w:r>
    </w:p>
    <w:p w14:paraId="07A171A9" w14:textId="77777777" w:rsidR="00451F12" w:rsidRDefault="00451F12" w:rsidP="00842B54">
      <w:pPr>
        <w:pStyle w:val="ListParagraph"/>
        <w:numPr>
          <w:ilvl w:val="0"/>
          <w:numId w:val="24"/>
        </w:numPr>
        <w:spacing w:before="0" w:after="160" w:line="259" w:lineRule="auto"/>
        <w:contextualSpacing/>
        <w:rPr>
          <w:rFonts w:cs="Open Sans"/>
          <w:lang w:val="en-GB"/>
        </w:rPr>
      </w:pPr>
      <w:r>
        <w:rPr>
          <w:rFonts w:cs="Open Sans"/>
          <w:lang w:val="en-GB"/>
        </w:rPr>
        <w:t>Encouraging allyship</w:t>
      </w:r>
    </w:p>
    <w:p w14:paraId="579223C1" w14:textId="77777777" w:rsidR="00451F12" w:rsidRDefault="00451F12" w:rsidP="00842B54">
      <w:pPr>
        <w:pStyle w:val="ListParagraph"/>
        <w:numPr>
          <w:ilvl w:val="0"/>
          <w:numId w:val="24"/>
        </w:numPr>
        <w:spacing w:before="0" w:after="160" w:line="259" w:lineRule="auto"/>
        <w:contextualSpacing/>
        <w:rPr>
          <w:rFonts w:cs="Open Sans"/>
          <w:lang w:val="en-GB"/>
        </w:rPr>
      </w:pPr>
      <w:r>
        <w:rPr>
          <w:rFonts w:cs="Open Sans"/>
          <w:lang w:val="en-GB"/>
        </w:rPr>
        <w:t xml:space="preserve">Empowering victims of racism to seek redress </w:t>
      </w:r>
      <w:r w:rsidRPr="00262409">
        <w:rPr>
          <w:rFonts w:cs="Open Sans"/>
          <w:lang w:val="en-GB"/>
        </w:rPr>
        <w:t xml:space="preserve">and providing them with support </w:t>
      </w:r>
    </w:p>
    <w:p w14:paraId="1C728845" w14:textId="77777777" w:rsidR="00451F12" w:rsidRDefault="00451F12" w:rsidP="00842B54">
      <w:pPr>
        <w:pStyle w:val="ListParagraph"/>
        <w:numPr>
          <w:ilvl w:val="0"/>
          <w:numId w:val="24"/>
        </w:numPr>
        <w:spacing w:before="0" w:after="160" w:line="259" w:lineRule="auto"/>
        <w:contextualSpacing/>
        <w:rPr>
          <w:rFonts w:cs="Open Sans"/>
          <w:lang w:val="en-GB"/>
        </w:rPr>
      </w:pPr>
      <w:r>
        <w:rPr>
          <w:rFonts w:cs="Open Sans"/>
          <w:lang w:val="en-GB"/>
        </w:rPr>
        <w:t>Building community cohesion and resilience, as a counterpoint to racism.</w:t>
      </w:r>
    </w:p>
    <w:p w14:paraId="3B8D41F1" w14:textId="218C8FA8" w:rsidR="00451F12" w:rsidRPr="002C19E0" w:rsidRDefault="00451F12" w:rsidP="00842B54">
      <w:pPr>
        <w:pStyle w:val="ListParagraph"/>
        <w:numPr>
          <w:ilvl w:val="0"/>
          <w:numId w:val="24"/>
        </w:numPr>
        <w:spacing w:before="0" w:after="160" w:line="259" w:lineRule="auto"/>
        <w:contextualSpacing/>
        <w:rPr>
          <w:rFonts w:cs="Open Sans"/>
          <w:lang w:val="en-GB"/>
        </w:rPr>
      </w:pPr>
      <w:r w:rsidRPr="00262409">
        <w:rPr>
          <w:rFonts w:cs="Open Sans"/>
          <w:lang w:val="en-GB"/>
        </w:rPr>
        <w:t>Strengthening laws and sanctions against racial discrimination and hate.</w:t>
      </w:r>
      <w:r w:rsidR="002C19E0">
        <w:rPr>
          <w:rFonts w:cs="Open Sans"/>
          <w:lang w:val="en-GB"/>
        </w:rPr>
        <w:br/>
      </w:r>
    </w:p>
    <w:p w14:paraId="5D4649C4" w14:textId="3553E58D" w:rsidR="00451F12" w:rsidRPr="002C19E0" w:rsidRDefault="00451F12" w:rsidP="00842B54">
      <w:pPr>
        <w:pStyle w:val="ListParagraph"/>
        <w:numPr>
          <w:ilvl w:val="0"/>
          <w:numId w:val="37"/>
        </w:numPr>
        <w:spacing w:before="0" w:after="160" w:line="259" w:lineRule="auto"/>
        <w:ind w:hanging="720"/>
        <w:contextualSpacing/>
        <w:rPr>
          <w:rFonts w:cs="Open Sans"/>
          <w:lang w:val="en-GB"/>
        </w:rPr>
      </w:pPr>
      <w:r>
        <w:rPr>
          <w:rFonts w:cs="Open Sans"/>
          <w:lang w:val="en-GB"/>
        </w:rPr>
        <w:t xml:space="preserve">A national framework would ensure anti-racism and racial equality measures effectively target differential outcomes in areas like education, employment, housing, and health. Great Britain’s Equality and Human Rights Commission’s equality reporting, shared in the </w:t>
      </w:r>
      <w:hyperlink r:id="rId21" w:anchor=":~:text=This%20is%20the%20most%20comprehensive,life%20chances%20in%20Britain%20today." w:history="1">
        <w:r w:rsidRPr="00D372FB">
          <w:rPr>
            <w:rStyle w:val="Hyperlink"/>
            <w:rFonts w:cs="Open Sans"/>
            <w:lang w:val="en-GB"/>
          </w:rPr>
          <w:t>Is Britain Fairer?</w:t>
        </w:r>
      </w:hyperlink>
      <w:r>
        <w:rPr>
          <w:rStyle w:val="FootnoteReference"/>
          <w:rFonts w:cs="Open Sans"/>
          <w:lang w:val="en-GB"/>
        </w:rPr>
        <w:footnoteReference w:id="3"/>
      </w:r>
      <w:r>
        <w:rPr>
          <w:rFonts w:cs="Open Sans"/>
          <w:lang w:val="en-GB"/>
        </w:rPr>
        <w:t xml:space="preserve"> reports, provides an example of how evidence-based equality reporting can reveal disparity in outcomes </w:t>
      </w:r>
      <w:r>
        <w:rPr>
          <w:rFonts w:cs="Open Sans"/>
          <w:lang w:val="en-GB"/>
        </w:rPr>
        <w:lastRenderedPageBreak/>
        <w:t xml:space="preserve">and track a nation’s racial equality initiatives over time. </w:t>
      </w:r>
      <w:r w:rsidR="002C19E0">
        <w:rPr>
          <w:rFonts w:cs="Open Sans"/>
          <w:lang w:val="en-GB"/>
        </w:rPr>
        <w:br/>
      </w:r>
    </w:p>
    <w:p w14:paraId="6C88D365" w14:textId="3600D01A" w:rsidR="00451F12" w:rsidRPr="00D372FB" w:rsidRDefault="00451F12" w:rsidP="009A3668">
      <w:pPr>
        <w:pStyle w:val="Heading1"/>
        <w:ind w:left="426" w:hanging="426"/>
        <w:rPr>
          <w:rFonts w:eastAsiaTheme="minorEastAsia"/>
          <w:lang w:val="en-GB"/>
        </w:rPr>
      </w:pPr>
      <w:bookmarkStart w:id="5" w:name="_Toc66719691"/>
      <w:r w:rsidRPr="46611AC7">
        <w:rPr>
          <w:lang w:val="en-GB"/>
        </w:rPr>
        <w:t xml:space="preserve">What principles could guide a </w:t>
      </w:r>
      <w:r w:rsidR="0093583B">
        <w:rPr>
          <w:lang w:val="en-GB"/>
        </w:rPr>
        <w:t>N</w:t>
      </w:r>
      <w:r w:rsidRPr="46611AC7">
        <w:rPr>
          <w:lang w:val="en-GB"/>
        </w:rPr>
        <w:t>ational</w:t>
      </w:r>
      <w:r w:rsidR="009462C8">
        <w:rPr>
          <w:lang w:val="en-GB"/>
        </w:rPr>
        <w:t xml:space="preserve"> </w:t>
      </w:r>
      <w:r w:rsidR="0093583B">
        <w:rPr>
          <w:lang w:val="en-GB"/>
        </w:rPr>
        <w:t>F</w:t>
      </w:r>
      <w:r w:rsidRPr="46611AC7">
        <w:rPr>
          <w:lang w:val="en-GB"/>
        </w:rPr>
        <w:t>ramework?</w:t>
      </w:r>
      <w:bookmarkEnd w:id="5"/>
    </w:p>
    <w:p w14:paraId="5822B8CF" w14:textId="77777777" w:rsidR="00451F12" w:rsidRPr="00860164" w:rsidRDefault="00451F12" w:rsidP="00842B54">
      <w:pPr>
        <w:pStyle w:val="ListParagraph"/>
        <w:numPr>
          <w:ilvl w:val="0"/>
          <w:numId w:val="37"/>
        </w:numPr>
        <w:spacing w:before="0" w:after="160" w:line="259" w:lineRule="auto"/>
        <w:ind w:left="630" w:hanging="270"/>
        <w:rPr>
          <w:rFonts w:cs="Open Sans"/>
          <w:lang w:val="en-GB"/>
        </w:rPr>
      </w:pPr>
      <w:r w:rsidRPr="46611AC7">
        <w:rPr>
          <w:rFonts w:cs="Open Sans"/>
          <w:lang w:val="en-GB"/>
        </w:rPr>
        <w:t xml:space="preserve">A national framework should build on shared values of equality, freedom, fairness and a ‘fair go’. </w:t>
      </w:r>
    </w:p>
    <w:p w14:paraId="4718C56D" w14:textId="77777777" w:rsidR="00451F12" w:rsidRPr="00161925" w:rsidRDefault="00451F12" w:rsidP="00842B54">
      <w:pPr>
        <w:pStyle w:val="ListParagraph"/>
        <w:numPr>
          <w:ilvl w:val="0"/>
          <w:numId w:val="37"/>
        </w:numPr>
        <w:spacing w:before="0" w:after="160" w:line="259" w:lineRule="auto"/>
        <w:ind w:left="720"/>
        <w:rPr>
          <w:rFonts w:cs="Open Sans"/>
          <w:color w:val="000000" w:themeColor="text1"/>
          <w:lang w:val="en-GB"/>
        </w:rPr>
      </w:pPr>
      <w:r w:rsidRPr="46611AC7">
        <w:rPr>
          <w:rFonts w:cs="Open Sans"/>
        </w:rPr>
        <w:t xml:space="preserve">It should recognise and acknowledge Australia’s: </w:t>
      </w:r>
    </w:p>
    <w:p w14:paraId="1C5AB37A" w14:textId="77777777" w:rsidR="00451F12" w:rsidRPr="00161925" w:rsidRDefault="00451F12" w:rsidP="00842B54">
      <w:pPr>
        <w:pStyle w:val="ListParagraph"/>
        <w:numPr>
          <w:ilvl w:val="0"/>
          <w:numId w:val="25"/>
        </w:numPr>
        <w:spacing w:before="0" w:after="0"/>
        <w:rPr>
          <w:rFonts w:cs="Open Sans"/>
          <w:lang w:val="en-GB"/>
        </w:rPr>
      </w:pPr>
      <w:r>
        <w:rPr>
          <w:rFonts w:cs="Open Sans"/>
        </w:rPr>
        <w:t>A</w:t>
      </w:r>
      <w:r w:rsidRPr="00161925">
        <w:rPr>
          <w:rFonts w:cs="Open Sans"/>
        </w:rPr>
        <w:t>ncient Indigenous heritage and the unique place of Aboriginal and Torres Strait Islander peoples in Australia.</w:t>
      </w:r>
      <w:r w:rsidRPr="00161925">
        <w:rPr>
          <w:rStyle w:val="FootnoteReference"/>
          <w:rFonts w:cs="Open Sans"/>
        </w:rPr>
        <w:footnoteReference w:id="4"/>
      </w:r>
      <w:r w:rsidRPr="00161925">
        <w:rPr>
          <w:rFonts w:cs="Open Sans"/>
        </w:rPr>
        <w:t xml:space="preserve"> </w:t>
      </w:r>
    </w:p>
    <w:p w14:paraId="5EA410BB" w14:textId="77777777" w:rsidR="00451F12" w:rsidRPr="00161925" w:rsidRDefault="00451F12" w:rsidP="00842B54">
      <w:pPr>
        <w:pStyle w:val="ListParagraph"/>
        <w:numPr>
          <w:ilvl w:val="0"/>
          <w:numId w:val="25"/>
        </w:numPr>
        <w:spacing w:before="0" w:after="0"/>
        <w:rPr>
          <w:rFonts w:cs="Open Sans"/>
          <w:lang w:val="en-GB"/>
        </w:rPr>
      </w:pPr>
      <w:r w:rsidRPr="00161925">
        <w:rPr>
          <w:rFonts w:cs="Open Sans"/>
        </w:rPr>
        <w:t>British heritage</w:t>
      </w:r>
      <w:r>
        <w:rPr>
          <w:rFonts w:cs="Open Sans"/>
        </w:rPr>
        <w:t>,</w:t>
      </w:r>
      <w:r w:rsidRPr="00161925">
        <w:rPr>
          <w:rFonts w:cs="Open Sans"/>
        </w:rPr>
        <w:t xml:space="preserve"> and </w:t>
      </w:r>
    </w:p>
    <w:p w14:paraId="5722C5BA" w14:textId="77777777" w:rsidR="00451F12" w:rsidRPr="00161925" w:rsidRDefault="00451F12" w:rsidP="00842B54">
      <w:pPr>
        <w:pStyle w:val="ListParagraph"/>
        <w:numPr>
          <w:ilvl w:val="0"/>
          <w:numId w:val="25"/>
        </w:numPr>
        <w:spacing w:before="0" w:after="160" w:line="259" w:lineRule="auto"/>
        <w:rPr>
          <w:rFonts w:cs="Open Sans"/>
          <w:lang w:val="en-GB"/>
        </w:rPr>
      </w:pPr>
      <w:r w:rsidRPr="5DC6E747">
        <w:rPr>
          <w:rFonts w:cs="Open Sans"/>
        </w:rPr>
        <w:t>Diverse multicultural heritage, with waves of migrants from different parts of the world.</w:t>
      </w:r>
    </w:p>
    <w:p w14:paraId="6C084AB5" w14:textId="77777777" w:rsidR="00451F12" w:rsidRPr="00860164" w:rsidRDefault="00451F12" w:rsidP="00842B54">
      <w:pPr>
        <w:pStyle w:val="ListParagraph"/>
        <w:numPr>
          <w:ilvl w:val="0"/>
          <w:numId w:val="37"/>
        </w:numPr>
        <w:spacing w:before="0" w:after="160" w:line="259" w:lineRule="auto"/>
        <w:ind w:left="720"/>
        <w:rPr>
          <w:rFonts w:cs="Open Sans"/>
          <w:lang w:val="en-GB"/>
        </w:rPr>
      </w:pPr>
      <w:r w:rsidRPr="46611AC7">
        <w:rPr>
          <w:rFonts w:cs="Open Sans"/>
        </w:rPr>
        <w:t>A national framework should also acknowledge Australia’s geo-political location in the Asia-Pacific region in the ‘Asian century’ as well as being capable of embracing the history and circumstances of Australia’s diverse diaspora communities.</w:t>
      </w:r>
    </w:p>
    <w:p w14:paraId="11B72608" w14:textId="41D71482" w:rsidR="00451F12" w:rsidRPr="009A3668" w:rsidRDefault="00451F12" w:rsidP="00842B54">
      <w:pPr>
        <w:pStyle w:val="ListParagraph"/>
        <w:numPr>
          <w:ilvl w:val="0"/>
          <w:numId w:val="37"/>
        </w:numPr>
        <w:spacing w:before="0" w:after="160" w:line="259" w:lineRule="auto"/>
        <w:ind w:left="720"/>
        <w:rPr>
          <w:rFonts w:cs="Open Sans"/>
          <w:shd w:val="clear" w:color="auto" w:fill="F2F2F2"/>
        </w:rPr>
      </w:pPr>
      <w:r w:rsidRPr="46611AC7">
        <w:rPr>
          <w:rFonts w:cs="Open Sans"/>
        </w:rPr>
        <w:t xml:space="preserve">The national framework should be designed to recognise and address intersectional experiences of racism. Conceptualising discrimination on the basis of race, colour, descent or national or ethnic origin in isolation limits the effectiveness of equality measures. People can be disproportionately affected and disadvantaged at the intersection of two or more attributes for example by race interacting with age, gender, sexual orientation, or having a disability. The framework must take an intersectional approach, recognising the consequences of two or more forms of discrimination interacting. </w:t>
      </w:r>
    </w:p>
    <w:p w14:paraId="79B97EAD" w14:textId="5084E23E" w:rsidR="00451F12" w:rsidRPr="009A3668" w:rsidRDefault="00451F12" w:rsidP="00842B54">
      <w:pPr>
        <w:pStyle w:val="ListParagraph"/>
        <w:numPr>
          <w:ilvl w:val="0"/>
          <w:numId w:val="37"/>
        </w:numPr>
        <w:spacing w:before="0" w:after="160" w:line="259" w:lineRule="auto"/>
        <w:ind w:left="720"/>
        <w:contextualSpacing/>
        <w:rPr>
          <w:rFonts w:cs="Open Sans"/>
        </w:rPr>
      </w:pPr>
      <w:r w:rsidRPr="46611AC7">
        <w:rPr>
          <w:rFonts w:cs="Open Sans"/>
          <w:lang w:val="en-GB"/>
        </w:rPr>
        <w:t>It should be informed by Australia’s human rights obligations. Under the International Convention the Elimination of All Forms of Racial Discrimination this includes undertaking measures such as the following:</w:t>
      </w:r>
      <w:r w:rsidR="009A3668">
        <w:rPr>
          <w:rFonts w:cs="Open Sans"/>
          <w:lang w:val="en-GB"/>
        </w:rPr>
        <w:br/>
      </w:r>
    </w:p>
    <w:p w14:paraId="5C3DA03E" w14:textId="77777777" w:rsidR="00451F12" w:rsidRDefault="00451F12" w:rsidP="00842B54">
      <w:pPr>
        <w:pStyle w:val="ListParagraph"/>
        <w:numPr>
          <w:ilvl w:val="0"/>
          <w:numId w:val="23"/>
        </w:numPr>
        <w:spacing w:before="0" w:after="160" w:line="259" w:lineRule="auto"/>
        <w:contextualSpacing/>
        <w:rPr>
          <w:rFonts w:cs="Open Sans"/>
          <w:lang w:val="en-GB"/>
        </w:rPr>
      </w:pPr>
      <w:r>
        <w:rPr>
          <w:rFonts w:cs="Open Sans"/>
          <w:lang w:val="en-GB"/>
        </w:rPr>
        <w:t>Art 2.1 (a): Governments take measures to ensure that no public authority or institution engages in racial discrimination</w:t>
      </w:r>
    </w:p>
    <w:p w14:paraId="43394BDB" w14:textId="77777777" w:rsidR="00451F12" w:rsidRDefault="00451F12" w:rsidP="00842B54">
      <w:pPr>
        <w:pStyle w:val="ListParagraph"/>
        <w:numPr>
          <w:ilvl w:val="0"/>
          <w:numId w:val="23"/>
        </w:numPr>
        <w:spacing w:before="0" w:after="160" w:line="259" w:lineRule="auto"/>
        <w:contextualSpacing/>
        <w:rPr>
          <w:rFonts w:cs="Open Sans"/>
          <w:lang w:val="en-GB"/>
        </w:rPr>
      </w:pPr>
      <w:r>
        <w:rPr>
          <w:rFonts w:cs="Open Sans"/>
          <w:lang w:val="en-GB"/>
        </w:rPr>
        <w:lastRenderedPageBreak/>
        <w:t>Art 2.1(c): regular review of governmental policies that create or perpetuate racial discrimination (such as UK racial audit process)</w:t>
      </w:r>
    </w:p>
    <w:p w14:paraId="081FE887" w14:textId="77777777" w:rsidR="00451F12" w:rsidRDefault="00451F12" w:rsidP="00842B54">
      <w:pPr>
        <w:pStyle w:val="ListParagraph"/>
        <w:numPr>
          <w:ilvl w:val="0"/>
          <w:numId w:val="23"/>
        </w:numPr>
        <w:spacing w:before="0" w:after="160" w:line="259" w:lineRule="auto"/>
        <w:contextualSpacing/>
        <w:rPr>
          <w:rFonts w:cs="Open Sans"/>
          <w:lang w:val="en-GB"/>
        </w:rPr>
      </w:pPr>
      <w:r>
        <w:rPr>
          <w:rFonts w:cs="Open Sans"/>
          <w:lang w:val="en-GB"/>
        </w:rPr>
        <w:t>Art 2.1(d): effective legal prohibitions of racial discrimination</w:t>
      </w:r>
    </w:p>
    <w:p w14:paraId="4B283FF6" w14:textId="77777777" w:rsidR="00451F12" w:rsidRDefault="00451F12" w:rsidP="00842B54">
      <w:pPr>
        <w:pStyle w:val="ListParagraph"/>
        <w:numPr>
          <w:ilvl w:val="0"/>
          <w:numId w:val="23"/>
        </w:numPr>
        <w:spacing w:before="0" w:after="160" w:line="259" w:lineRule="auto"/>
        <w:contextualSpacing/>
        <w:rPr>
          <w:rFonts w:cs="Open Sans"/>
          <w:lang w:val="en-GB"/>
        </w:rPr>
      </w:pPr>
      <w:r>
        <w:rPr>
          <w:rFonts w:cs="Open Sans"/>
          <w:lang w:val="en-GB"/>
        </w:rPr>
        <w:t>Art 2.1(e): strengthening of multiculturalism</w:t>
      </w:r>
    </w:p>
    <w:p w14:paraId="622A8DB1" w14:textId="77777777" w:rsidR="00451F12" w:rsidRDefault="00451F12" w:rsidP="00842B54">
      <w:pPr>
        <w:pStyle w:val="ListParagraph"/>
        <w:numPr>
          <w:ilvl w:val="0"/>
          <w:numId w:val="23"/>
        </w:numPr>
        <w:spacing w:before="0" w:after="160" w:line="259" w:lineRule="auto"/>
        <w:contextualSpacing/>
        <w:rPr>
          <w:rFonts w:cs="Open Sans"/>
          <w:lang w:val="en-GB"/>
        </w:rPr>
      </w:pPr>
      <w:r>
        <w:rPr>
          <w:rFonts w:cs="Open Sans"/>
          <w:lang w:val="en-GB"/>
        </w:rPr>
        <w:t>Art 2.2: Adoption of positive or special measures to address inequalities experienced on the basis of race</w:t>
      </w:r>
    </w:p>
    <w:p w14:paraId="158AAA87" w14:textId="77777777" w:rsidR="00451F12" w:rsidRDefault="00451F12" w:rsidP="00842B54">
      <w:pPr>
        <w:pStyle w:val="ListParagraph"/>
        <w:numPr>
          <w:ilvl w:val="0"/>
          <w:numId w:val="23"/>
        </w:numPr>
        <w:spacing w:before="0" w:after="160" w:line="259" w:lineRule="auto"/>
        <w:contextualSpacing/>
        <w:rPr>
          <w:rFonts w:cs="Open Sans"/>
          <w:lang w:val="en-GB"/>
        </w:rPr>
      </w:pPr>
      <w:r>
        <w:rPr>
          <w:rFonts w:cs="Open Sans"/>
          <w:lang w:val="en-GB"/>
        </w:rPr>
        <w:t>Art 4: protection against dissemination of racial propaganda and race hate</w:t>
      </w:r>
    </w:p>
    <w:p w14:paraId="03BCADC0" w14:textId="77777777" w:rsidR="00451F12" w:rsidRDefault="00451F12" w:rsidP="00842B54">
      <w:pPr>
        <w:pStyle w:val="ListParagraph"/>
        <w:numPr>
          <w:ilvl w:val="0"/>
          <w:numId w:val="23"/>
        </w:numPr>
        <w:spacing w:before="0" w:after="160" w:line="259" w:lineRule="auto"/>
        <w:contextualSpacing/>
        <w:rPr>
          <w:rFonts w:cs="Open Sans"/>
          <w:lang w:val="en-GB"/>
        </w:rPr>
      </w:pPr>
      <w:r>
        <w:rPr>
          <w:rFonts w:cs="Open Sans"/>
          <w:lang w:val="en-GB"/>
        </w:rPr>
        <w:t>Art 5: guarantees of equality before the law on the basis of race in relation to civil and political and economic, social and cultural rights</w:t>
      </w:r>
    </w:p>
    <w:p w14:paraId="786254C5" w14:textId="77777777" w:rsidR="00451F12" w:rsidRDefault="00451F12" w:rsidP="00842B54">
      <w:pPr>
        <w:pStyle w:val="ListParagraph"/>
        <w:numPr>
          <w:ilvl w:val="0"/>
          <w:numId w:val="23"/>
        </w:numPr>
        <w:spacing w:before="0" w:after="160" w:line="259" w:lineRule="auto"/>
        <w:contextualSpacing/>
        <w:rPr>
          <w:rFonts w:cs="Open Sans"/>
          <w:lang w:val="en-GB"/>
        </w:rPr>
      </w:pPr>
      <w:r>
        <w:rPr>
          <w:rFonts w:cs="Open Sans"/>
          <w:lang w:val="en-GB"/>
        </w:rPr>
        <w:t>Art 6: guarantee of effective protection against racial discrimination and remedies</w:t>
      </w:r>
    </w:p>
    <w:p w14:paraId="125BFEB3" w14:textId="3E7379E5" w:rsidR="00451F12" w:rsidRPr="002C19E0" w:rsidRDefault="00451F12" w:rsidP="00842B54">
      <w:pPr>
        <w:pStyle w:val="ListParagraph"/>
        <w:numPr>
          <w:ilvl w:val="0"/>
          <w:numId w:val="23"/>
        </w:numPr>
        <w:spacing w:before="0" w:after="160" w:line="259" w:lineRule="auto"/>
        <w:contextualSpacing/>
        <w:rPr>
          <w:rFonts w:cs="Open Sans"/>
          <w:lang w:val="en-GB"/>
        </w:rPr>
      </w:pPr>
      <w:r>
        <w:rPr>
          <w:rFonts w:cs="Open Sans"/>
          <w:lang w:val="en-GB"/>
        </w:rPr>
        <w:t>Art 7: measures to combat prejudices (through teaching, education, culture and information) and to promote understanding, tolerance and friendship.</w:t>
      </w:r>
      <w:r w:rsidR="002C19E0">
        <w:rPr>
          <w:rFonts w:cs="Open Sans"/>
          <w:lang w:val="en-GB"/>
        </w:rPr>
        <w:br/>
      </w:r>
    </w:p>
    <w:p w14:paraId="2D4E4078" w14:textId="34C4049F" w:rsidR="00451F12" w:rsidRPr="002C19E0" w:rsidRDefault="00451F12" w:rsidP="00842B54">
      <w:pPr>
        <w:pStyle w:val="ListParagraph"/>
        <w:numPr>
          <w:ilvl w:val="0"/>
          <w:numId w:val="37"/>
        </w:numPr>
        <w:spacing w:before="0" w:after="160" w:line="259" w:lineRule="auto"/>
        <w:ind w:left="720"/>
        <w:contextualSpacing/>
        <w:rPr>
          <w:rFonts w:cs="Open Sans"/>
          <w:lang w:val="en-GB"/>
        </w:rPr>
      </w:pPr>
      <w:r w:rsidRPr="46611AC7">
        <w:rPr>
          <w:rFonts w:cs="Open Sans"/>
          <w:lang w:val="en-GB"/>
        </w:rPr>
        <w:t>The most recent concluding observations of the UN Committee on the Elimination of Racial Discrimination sets out a range of key issues to be addressed in relation to Australia’s obligations under the ICERD. It includes:</w:t>
      </w:r>
      <w:r w:rsidR="002C19E0">
        <w:rPr>
          <w:rFonts w:cs="Open Sans"/>
          <w:lang w:val="en-GB"/>
        </w:rPr>
        <w:br/>
      </w:r>
    </w:p>
    <w:p w14:paraId="2E0BF990" w14:textId="77777777" w:rsidR="00451F12" w:rsidRDefault="00451F12" w:rsidP="00842B54">
      <w:pPr>
        <w:pStyle w:val="ListParagraph"/>
        <w:numPr>
          <w:ilvl w:val="0"/>
          <w:numId w:val="38"/>
        </w:numPr>
        <w:spacing w:before="0" w:after="160" w:line="259" w:lineRule="auto"/>
        <w:contextualSpacing/>
        <w:rPr>
          <w:rFonts w:cs="Open Sans"/>
          <w:lang w:val="en-GB"/>
        </w:rPr>
      </w:pPr>
      <w:r>
        <w:rPr>
          <w:rFonts w:cs="Open Sans"/>
          <w:lang w:val="en-GB"/>
        </w:rPr>
        <w:t>Incorporation of the Convention into law</w:t>
      </w:r>
    </w:p>
    <w:p w14:paraId="1C71C51C" w14:textId="77777777" w:rsidR="00451F12" w:rsidRDefault="00451F12" w:rsidP="00842B54">
      <w:pPr>
        <w:pStyle w:val="ListParagraph"/>
        <w:numPr>
          <w:ilvl w:val="0"/>
          <w:numId w:val="38"/>
        </w:numPr>
        <w:spacing w:before="0" w:after="160" w:line="259" w:lineRule="auto"/>
        <w:contextualSpacing/>
        <w:rPr>
          <w:rFonts w:cs="Open Sans"/>
          <w:lang w:val="en-GB"/>
        </w:rPr>
      </w:pPr>
      <w:r>
        <w:rPr>
          <w:rFonts w:cs="Open Sans"/>
          <w:lang w:val="en-GB"/>
        </w:rPr>
        <w:t>Disaggregated data</w:t>
      </w:r>
    </w:p>
    <w:p w14:paraId="53A374B3" w14:textId="77777777" w:rsidR="00451F12" w:rsidRDefault="00451F12" w:rsidP="00842B54">
      <w:pPr>
        <w:pStyle w:val="ListParagraph"/>
        <w:numPr>
          <w:ilvl w:val="0"/>
          <w:numId w:val="38"/>
        </w:numPr>
        <w:spacing w:before="0" w:after="160" w:line="259" w:lineRule="auto"/>
        <w:contextualSpacing/>
        <w:rPr>
          <w:rFonts w:cs="Open Sans"/>
          <w:lang w:val="en-GB"/>
        </w:rPr>
      </w:pPr>
      <w:r>
        <w:rPr>
          <w:rFonts w:cs="Open Sans"/>
          <w:lang w:val="en-GB"/>
        </w:rPr>
        <w:t>Anti-racism campaigns</w:t>
      </w:r>
    </w:p>
    <w:p w14:paraId="40C0D357" w14:textId="77777777" w:rsidR="00451F12" w:rsidRDefault="00451F12" w:rsidP="00842B54">
      <w:pPr>
        <w:pStyle w:val="ListParagraph"/>
        <w:numPr>
          <w:ilvl w:val="0"/>
          <w:numId w:val="38"/>
        </w:numPr>
        <w:spacing w:before="0" w:after="160" w:line="259" w:lineRule="auto"/>
        <w:contextualSpacing/>
        <w:rPr>
          <w:rFonts w:cs="Open Sans"/>
          <w:lang w:val="en-GB"/>
        </w:rPr>
      </w:pPr>
      <w:r>
        <w:rPr>
          <w:rFonts w:cs="Open Sans"/>
          <w:lang w:val="en-GB"/>
        </w:rPr>
        <w:t>Education and training of public officials</w:t>
      </w:r>
    </w:p>
    <w:p w14:paraId="4078820E" w14:textId="77777777" w:rsidR="00451F12" w:rsidRDefault="00451F12" w:rsidP="00842B54">
      <w:pPr>
        <w:pStyle w:val="ListParagraph"/>
        <w:numPr>
          <w:ilvl w:val="0"/>
          <w:numId w:val="38"/>
        </w:numPr>
        <w:spacing w:before="0" w:after="160" w:line="259" w:lineRule="auto"/>
        <w:contextualSpacing/>
        <w:rPr>
          <w:rFonts w:cs="Open Sans"/>
          <w:lang w:val="en-GB"/>
        </w:rPr>
      </w:pPr>
      <w:r>
        <w:rPr>
          <w:rFonts w:cs="Open Sans"/>
          <w:lang w:val="en-GB"/>
        </w:rPr>
        <w:t>Recognition of Indigenous peoples</w:t>
      </w:r>
    </w:p>
    <w:p w14:paraId="6A221791" w14:textId="77777777" w:rsidR="00451F12" w:rsidRDefault="00451F12" w:rsidP="00842B54">
      <w:pPr>
        <w:pStyle w:val="ListParagraph"/>
        <w:numPr>
          <w:ilvl w:val="0"/>
          <w:numId w:val="38"/>
        </w:numPr>
        <w:spacing w:before="0" w:after="160" w:line="259" w:lineRule="auto"/>
        <w:contextualSpacing/>
        <w:rPr>
          <w:rFonts w:cs="Open Sans"/>
          <w:lang w:val="en-GB"/>
        </w:rPr>
      </w:pPr>
      <w:r>
        <w:rPr>
          <w:rFonts w:cs="Open Sans"/>
          <w:lang w:val="en-GB"/>
        </w:rPr>
        <w:t>Special measures to address inequality experienced by Indigenous people</w:t>
      </w:r>
    </w:p>
    <w:p w14:paraId="38EF16A1" w14:textId="77777777" w:rsidR="00451F12" w:rsidRDefault="00451F12" w:rsidP="00842B54">
      <w:pPr>
        <w:pStyle w:val="ListParagraph"/>
        <w:numPr>
          <w:ilvl w:val="0"/>
          <w:numId w:val="38"/>
        </w:numPr>
        <w:spacing w:before="0" w:after="160" w:line="259" w:lineRule="auto"/>
        <w:contextualSpacing/>
        <w:rPr>
          <w:rFonts w:cs="Open Sans"/>
          <w:lang w:val="en-GB"/>
        </w:rPr>
      </w:pPr>
      <w:r>
        <w:rPr>
          <w:rFonts w:cs="Open Sans"/>
          <w:lang w:val="en-GB"/>
        </w:rPr>
        <w:t>Support for migrant workers about their rights</w:t>
      </w:r>
    </w:p>
    <w:p w14:paraId="4743E91E" w14:textId="77777777" w:rsidR="00451F12" w:rsidRDefault="00451F12" w:rsidP="00842B54">
      <w:pPr>
        <w:pStyle w:val="ListParagraph"/>
        <w:numPr>
          <w:ilvl w:val="0"/>
          <w:numId w:val="38"/>
        </w:numPr>
        <w:spacing w:before="0" w:after="160" w:line="259" w:lineRule="auto"/>
        <w:contextualSpacing/>
        <w:rPr>
          <w:rFonts w:cs="Open Sans"/>
          <w:lang w:val="en-GB"/>
        </w:rPr>
      </w:pPr>
      <w:r>
        <w:rPr>
          <w:rFonts w:cs="Open Sans"/>
          <w:lang w:val="en-GB"/>
        </w:rPr>
        <w:t>Culturally appropriate service delivery.</w:t>
      </w:r>
    </w:p>
    <w:p w14:paraId="1352FA72" w14:textId="77777777" w:rsidR="00451F12" w:rsidRPr="00DD6262" w:rsidRDefault="00451F12" w:rsidP="00451F12">
      <w:pPr>
        <w:pStyle w:val="ListParagraph"/>
        <w:ind w:left="1080"/>
        <w:rPr>
          <w:rFonts w:cs="Open Sans"/>
          <w:lang w:val="en-GB"/>
        </w:rPr>
      </w:pPr>
    </w:p>
    <w:p w14:paraId="543B1C14" w14:textId="11E081EC" w:rsidR="00451F12" w:rsidRPr="002C19E0" w:rsidRDefault="00451F12" w:rsidP="00842B54">
      <w:pPr>
        <w:pStyle w:val="ListParagraph"/>
        <w:numPr>
          <w:ilvl w:val="0"/>
          <w:numId w:val="37"/>
        </w:numPr>
        <w:spacing w:before="0" w:after="160" w:line="259" w:lineRule="auto"/>
        <w:ind w:left="810"/>
        <w:contextualSpacing/>
        <w:rPr>
          <w:rFonts w:cs="Open Sans"/>
          <w:lang w:val="en-GB"/>
        </w:rPr>
      </w:pPr>
      <w:r w:rsidRPr="46611AC7">
        <w:rPr>
          <w:rFonts w:cs="Open Sans"/>
          <w:lang w:val="en-GB"/>
        </w:rPr>
        <w:t xml:space="preserve">The national framework should also be informed by Australia’s other relevant obligations under international law including obligations under the Convention on the Elimination of all Forms of Discrimination against Women, the Convention on the Rights of the Child and the Convention on the Rights of Persons with Disabilities.  </w:t>
      </w:r>
      <w:r w:rsidRPr="46611AC7">
        <w:rPr>
          <w:rFonts w:cs="Open Sans"/>
        </w:rPr>
        <w:t xml:space="preserve">These human rights instruments elaborate standards that are relevant to intersectional experiences of </w:t>
      </w:r>
      <w:r w:rsidRPr="46611AC7">
        <w:rPr>
          <w:rFonts w:cs="Open Sans"/>
        </w:rPr>
        <w:lastRenderedPageBreak/>
        <w:t xml:space="preserve">racism. </w:t>
      </w:r>
      <w:r w:rsidR="002C19E0">
        <w:rPr>
          <w:rFonts w:cs="Open Sans"/>
        </w:rPr>
        <w:br/>
      </w:r>
    </w:p>
    <w:p w14:paraId="7AB10F71" w14:textId="77777777" w:rsidR="00451F12" w:rsidRPr="00D14F8C" w:rsidRDefault="00451F12" w:rsidP="00842B54">
      <w:pPr>
        <w:pStyle w:val="ListParagraph"/>
        <w:numPr>
          <w:ilvl w:val="0"/>
          <w:numId w:val="37"/>
        </w:numPr>
        <w:spacing w:before="0" w:after="160" w:line="259" w:lineRule="auto"/>
        <w:ind w:left="720"/>
        <w:contextualSpacing/>
        <w:rPr>
          <w:rFonts w:cs="Open Sans"/>
        </w:rPr>
      </w:pPr>
      <w:r w:rsidRPr="46611AC7">
        <w:rPr>
          <w:rFonts w:cs="Open Sans"/>
        </w:rPr>
        <w:t>The national framework should also be guided by the United Nations Declaration on the Rights of Indigenous Peoples (UNDRIP). This requires that mechanisms and structural reforms be in place to guarantee that Aboriginal and Torres Strait Islander peoples can meaningfully participate in, and have control over, the policy and legislative decision-making that affects them. (see Article 18 and Articles 19, 3 and 4). This is particularly relevant to ensuring the national framework can tackle experiences of systemic discrimination against Indigenous peoples.</w:t>
      </w:r>
      <w:r>
        <w:rPr>
          <w:rFonts w:cs="Open Sans"/>
        </w:rPr>
        <w:br/>
      </w:r>
    </w:p>
    <w:p w14:paraId="75AA5CA1" w14:textId="77777777" w:rsidR="00451F12" w:rsidRDefault="00451F12" w:rsidP="00842B54">
      <w:pPr>
        <w:pStyle w:val="ListParagraph"/>
        <w:numPr>
          <w:ilvl w:val="0"/>
          <w:numId w:val="37"/>
        </w:numPr>
        <w:spacing w:before="0" w:after="160" w:line="259" w:lineRule="auto"/>
        <w:ind w:left="810"/>
        <w:contextualSpacing/>
        <w:rPr>
          <w:rFonts w:cs="Open Sans"/>
          <w:lang w:val="en-GB"/>
        </w:rPr>
      </w:pPr>
      <w:r w:rsidRPr="46611AC7">
        <w:rPr>
          <w:rFonts w:cs="Open Sans"/>
          <w:lang w:val="en-GB"/>
        </w:rPr>
        <w:t xml:space="preserve">The Commission’s </w:t>
      </w:r>
      <w:r w:rsidRPr="46611AC7">
        <w:rPr>
          <w:rFonts w:cs="Open Sans"/>
          <w:i/>
          <w:iCs/>
          <w:lang w:val="en-GB"/>
        </w:rPr>
        <w:t xml:space="preserve">Free and Equal </w:t>
      </w:r>
      <w:r w:rsidRPr="46611AC7">
        <w:rPr>
          <w:rFonts w:cs="Open Sans"/>
          <w:lang w:val="en-GB"/>
        </w:rPr>
        <w:t>process identifies an approach to human rights more broadly that is proactive and preventative in focus. In relation to racism, a rights-based approach requires governments to:</w:t>
      </w:r>
    </w:p>
    <w:p w14:paraId="23B092FD" w14:textId="77777777" w:rsidR="00451F12" w:rsidRDefault="00451F12" w:rsidP="00842B54">
      <w:pPr>
        <w:pStyle w:val="ListParagraph"/>
        <w:numPr>
          <w:ilvl w:val="0"/>
          <w:numId w:val="19"/>
        </w:numPr>
        <w:spacing w:before="0" w:after="160" w:line="259" w:lineRule="auto"/>
        <w:contextualSpacing/>
        <w:rPr>
          <w:rFonts w:cs="Open Sans"/>
          <w:lang w:val="en-GB"/>
        </w:rPr>
      </w:pPr>
      <w:r w:rsidRPr="00FD5325">
        <w:rPr>
          <w:rFonts w:cs="Open Sans"/>
          <w:b/>
          <w:bCs/>
          <w:lang w:val="en-GB"/>
        </w:rPr>
        <w:t>Respect:</w:t>
      </w:r>
      <w:r>
        <w:rPr>
          <w:rFonts w:cs="Open Sans"/>
          <w:lang w:val="en-GB"/>
        </w:rPr>
        <w:t xml:space="preserve"> Governments do not discriminate through their own actions</w:t>
      </w:r>
    </w:p>
    <w:p w14:paraId="4803A92F" w14:textId="77777777" w:rsidR="00451F12" w:rsidRDefault="00451F12" w:rsidP="00842B54">
      <w:pPr>
        <w:pStyle w:val="ListParagraph"/>
        <w:numPr>
          <w:ilvl w:val="0"/>
          <w:numId w:val="19"/>
        </w:numPr>
        <w:spacing w:before="0" w:after="160" w:line="259" w:lineRule="auto"/>
        <w:contextualSpacing/>
        <w:rPr>
          <w:rFonts w:cs="Open Sans"/>
          <w:lang w:val="en-GB"/>
        </w:rPr>
      </w:pPr>
      <w:r w:rsidRPr="00FD5325">
        <w:rPr>
          <w:rFonts w:cs="Open Sans"/>
          <w:b/>
          <w:bCs/>
          <w:lang w:val="en-GB"/>
        </w:rPr>
        <w:t>Protect:</w:t>
      </w:r>
      <w:r>
        <w:rPr>
          <w:rFonts w:cs="Open Sans"/>
          <w:lang w:val="en-GB"/>
        </w:rPr>
        <w:t xml:space="preserve"> Governments put in place protective measures (such as laws, educative measures) to prevent others from breaching human rights, and provide effective remedies where breaches occur</w:t>
      </w:r>
    </w:p>
    <w:p w14:paraId="3BBDFDFB" w14:textId="3A4C2929" w:rsidR="00451F12" w:rsidRPr="002C19E0" w:rsidRDefault="00451F12" w:rsidP="00842B54">
      <w:pPr>
        <w:pStyle w:val="ListParagraph"/>
        <w:numPr>
          <w:ilvl w:val="0"/>
          <w:numId w:val="19"/>
        </w:numPr>
        <w:spacing w:before="0" w:after="160" w:line="259" w:lineRule="auto"/>
        <w:contextualSpacing/>
        <w:rPr>
          <w:rFonts w:cs="Open Sans"/>
          <w:lang w:val="en-GB"/>
        </w:rPr>
      </w:pPr>
      <w:r w:rsidRPr="00FD5325">
        <w:rPr>
          <w:rFonts w:cs="Open Sans"/>
          <w:b/>
          <w:bCs/>
          <w:lang w:val="en-GB"/>
        </w:rPr>
        <w:t>Fulfil:</w:t>
      </w:r>
      <w:r>
        <w:rPr>
          <w:rFonts w:cs="Open Sans"/>
          <w:lang w:val="en-GB"/>
        </w:rPr>
        <w:t xml:space="preserve"> Governments take measures to ensure equal enjoyment of human rights and address inequality (especially structural or institutional discrimination).</w:t>
      </w:r>
    </w:p>
    <w:p w14:paraId="02C55D67" w14:textId="62A26113" w:rsidR="00451F12" w:rsidRPr="009A3668" w:rsidRDefault="00451F12" w:rsidP="009A3668">
      <w:pPr>
        <w:pStyle w:val="Heading1"/>
        <w:tabs>
          <w:tab w:val="clear" w:pos="851"/>
        </w:tabs>
        <w:ind w:left="426" w:hanging="426"/>
        <w:rPr>
          <w:rFonts w:eastAsiaTheme="minorEastAsia"/>
          <w:lang w:val="en-GB"/>
        </w:rPr>
      </w:pPr>
      <w:bookmarkStart w:id="6" w:name="_Toc66719692"/>
      <w:r w:rsidRPr="009A3668">
        <w:rPr>
          <w:lang w:val="en-GB"/>
        </w:rPr>
        <w:t xml:space="preserve">How would the </w:t>
      </w:r>
      <w:r w:rsidR="0093583B">
        <w:rPr>
          <w:lang w:val="en-GB"/>
        </w:rPr>
        <w:t>N</w:t>
      </w:r>
      <w:r w:rsidRPr="009A3668">
        <w:rPr>
          <w:lang w:val="en-GB"/>
        </w:rPr>
        <w:t xml:space="preserve">ational </w:t>
      </w:r>
      <w:r w:rsidR="0093583B">
        <w:rPr>
          <w:lang w:val="en-GB"/>
        </w:rPr>
        <w:t>F</w:t>
      </w:r>
      <w:r w:rsidRPr="009A3668">
        <w:rPr>
          <w:lang w:val="en-GB"/>
        </w:rPr>
        <w:t>ramework be developed?</w:t>
      </w:r>
      <w:bookmarkEnd w:id="6"/>
    </w:p>
    <w:p w14:paraId="689CFC60" w14:textId="6F39E593" w:rsidR="00451F12" w:rsidRDefault="00693C0B" w:rsidP="00451F12">
      <w:pPr>
        <w:ind w:left="720" w:hanging="360"/>
        <w:rPr>
          <w:rFonts w:cs="Open Sans"/>
          <w:lang w:val="en-GB"/>
        </w:rPr>
      </w:pPr>
      <w:r>
        <w:rPr>
          <w:rFonts w:cs="Open Sans"/>
          <w:lang w:val="en-GB"/>
        </w:rPr>
        <w:t>26</w:t>
      </w:r>
      <w:r w:rsidR="00451F12" w:rsidRPr="46611AC7">
        <w:rPr>
          <w:rFonts w:cs="Open Sans"/>
          <w:lang w:val="en-GB"/>
        </w:rPr>
        <w:t>.</w:t>
      </w:r>
      <w:r w:rsidR="00451F12">
        <w:tab/>
      </w:r>
      <w:r w:rsidR="00451F12" w:rsidRPr="46611AC7">
        <w:rPr>
          <w:rFonts w:cs="Open Sans"/>
          <w:lang w:val="en-GB"/>
        </w:rPr>
        <w:t xml:space="preserve">The Race Discrimination Commissioner intends to use his statutory functions under the </w:t>
      </w:r>
      <w:r w:rsidR="00451F12" w:rsidRPr="46611AC7">
        <w:rPr>
          <w:rFonts w:cs="Open Sans"/>
          <w:i/>
          <w:iCs/>
          <w:lang w:val="en-GB"/>
        </w:rPr>
        <w:t>Racial Discrimination Act 1975</w:t>
      </w:r>
      <w:r w:rsidR="00451F12" w:rsidRPr="46611AC7">
        <w:rPr>
          <w:rFonts w:cs="Open Sans"/>
          <w:lang w:val="en-GB"/>
        </w:rPr>
        <w:t xml:space="preserve"> (</w:t>
      </w:r>
      <w:proofErr w:type="spellStart"/>
      <w:r w:rsidR="00451F12" w:rsidRPr="46611AC7">
        <w:rPr>
          <w:rFonts w:cs="Open Sans"/>
          <w:lang w:val="en-GB"/>
        </w:rPr>
        <w:t>Cth</w:t>
      </w:r>
      <w:proofErr w:type="spellEnd"/>
      <w:r w:rsidR="00451F12" w:rsidRPr="46611AC7">
        <w:rPr>
          <w:rFonts w:cs="Open Sans"/>
          <w:lang w:val="en-GB"/>
        </w:rPr>
        <w:t>) to conduct national consultations on the scope and design of a draft national anti-racism framework.</w:t>
      </w:r>
    </w:p>
    <w:p w14:paraId="698AE569" w14:textId="42A6EA60" w:rsidR="00451F12" w:rsidRPr="00676382" w:rsidRDefault="00451F12" w:rsidP="00676382">
      <w:pPr>
        <w:pStyle w:val="ListParagraph"/>
        <w:numPr>
          <w:ilvl w:val="0"/>
          <w:numId w:val="41"/>
        </w:numPr>
        <w:spacing w:before="0" w:after="160" w:line="259" w:lineRule="auto"/>
        <w:ind w:left="851" w:hanging="425"/>
        <w:contextualSpacing/>
        <w:rPr>
          <w:rFonts w:cs="Open Sans"/>
        </w:rPr>
      </w:pPr>
      <w:r w:rsidRPr="00676382">
        <w:rPr>
          <w:rFonts w:cs="Open Sans"/>
        </w:rPr>
        <w:t xml:space="preserve">The development process will involve engagement from: </w:t>
      </w:r>
    </w:p>
    <w:p w14:paraId="108FEBA0" w14:textId="77777777" w:rsidR="00451F12" w:rsidRDefault="00451F12" w:rsidP="00842B54">
      <w:pPr>
        <w:pStyle w:val="ListParagraph"/>
        <w:numPr>
          <w:ilvl w:val="0"/>
          <w:numId w:val="18"/>
        </w:numPr>
        <w:spacing w:before="0" w:after="160" w:line="259" w:lineRule="auto"/>
        <w:contextualSpacing/>
        <w:rPr>
          <w:rFonts w:cs="Open Sans"/>
        </w:rPr>
      </w:pPr>
      <w:r w:rsidRPr="00B71FC5">
        <w:rPr>
          <w:rFonts w:cs="Open Sans"/>
          <w:lang w:val="en-GB"/>
        </w:rPr>
        <w:t>community and civil society</w:t>
      </w:r>
      <w:r>
        <w:rPr>
          <w:rFonts w:cs="Open Sans"/>
          <w:lang w:val="en-GB"/>
        </w:rPr>
        <w:t xml:space="preserve"> </w:t>
      </w:r>
      <w:r w:rsidRPr="004E1E45">
        <w:rPr>
          <w:rFonts w:cs="Open Sans"/>
        </w:rPr>
        <w:t>peak</w:t>
      </w:r>
      <w:r>
        <w:rPr>
          <w:rFonts w:cs="Open Sans"/>
        </w:rPr>
        <w:t xml:space="preserve"> organisations including peak</w:t>
      </w:r>
      <w:r w:rsidRPr="004E1E45">
        <w:rPr>
          <w:rFonts w:cs="Open Sans"/>
        </w:rPr>
        <w:t xml:space="preserve"> Indigenous and multicultural community stakeholders</w:t>
      </w:r>
      <w:r>
        <w:rPr>
          <w:rFonts w:cs="Open Sans"/>
        </w:rPr>
        <w:t>, and researchers</w:t>
      </w:r>
      <w:r w:rsidRPr="004E1E45">
        <w:rPr>
          <w:rFonts w:cs="Open Sans"/>
        </w:rPr>
        <w:t xml:space="preserve"> </w:t>
      </w:r>
    </w:p>
    <w:p w14:paraId="7C4F23FA" w14:textId="77777777" w:rsidR="00451F12" w:rsidRDefault="00451F12" w:rsidP="00842B54">
      <w:pPr>
        <w:pStyle w:val="ListParagraph"/>
        <w:numPr>
          <w:ilvl w:val="0"/>
          <w:numId w:val="18"/>
        </w:numPr>
        <w:spacing w:before="0" w:after="160" w:line="259" w:lineRule="auto"/>
        <w:contextualSpacing/>
        <w:rPr>
          <w:rFonts w:cs="Open Sans"/>
        </w:rPr>
      </w:pPr>
      <w:r>
        <w:rPr>
          <w:rFonts w:cs="Open Sans"/>
        </w:rPr>
        <w:t>a public submission process (through the Commission’s ‘Have your say’ consultation hub)</w:t>
      </w:r>
    </w:p>
    <w:p w14:paraId="1AEA31D4" w14:textId="45704E1C" w:rsidR="00451F12" w:rsidRPr="002C19E0" w:rsidRDefault="00451F12" w:rsidP="00842B54">
      <w:pPr>
        <w:pStyle w:val="ListParagraph"/>
        <w:numPr>
          <w:ilvl w:val="0"/>
          <w:numId w:val="18"/>
        </w:numPr>
        <w:spacing w:before="0" w:after="160" w:line="259" w:lineRule="auto"/>
        <w:contextualSpacing/>
        <w:rPr>
          <w:rFonts w:cs="Open Sans"/>
          <w:lang w:val="en-GB"/>
        </w:rPr>
      </w:pPr>
      <w:r w:rsidRPr="46611AC7">
        <w:rPr>
          <w:rFonts w:cs="Open Sans"/>
          <w:lang w:val="en-GB"/>
        </w:rPr>
        <w:lastRenderedPageBreak/>
        <w:t>government representatives from across departments and layers of government.</w:t>
      </w:r>
      <w:r w:rsidR="002C19E0">
        <w:rPr>
          <w:rFonts w:cs="Open Sans"/>
          <w:lang w:val="en-GB"/>
        </w:rPr>
        <w:br/>
      </w:r>
    </w:p>
    <w:p w14:paraId="2586499E" w14:textId="1EB94605" w:rsidR="00451F12" w:rsidRPr="00676382" w:rsidRDefault="00451F12" w:rsidP="00676382">
      <w:pPr>
        <w:pStyle w:val="ListParagraph"/>
        <w:numPr>
          <w:ilvl w:val="0"/>
          <w:numId w:val="41"/>
        </w:numPr>
        <w:spacing w:before="0" w:after="160" w:line="259" w:lineRule="auto"/>
        <w:ind w:left="810"/>
        <w:contextualSpacing/>
        <w:rPr>
          <w:rFonts w:asciiTheme="minorHAnsi" w:hAnsiTheme="minorHAnsi" w:cstheme="minorBidi"/>
        </w:rPr>
      </w:pPr>
      <w:r w:rsidRPr="46611AC7">
        <w:rPr>
          <w:rFonts w:cs="Open Sans"/>
          <w:lang w:val="en-GB"/>
        </w:rPr>
        <w:t xml:space="preserve">The Commissioner will work collegiately with his colleague commissioners at the Australian Human Rights Commission, especially as relates to Aboriginal and Torres Strait Islander Social Justice, Sex Discrimination and Children. </w:t>
      </w:r>
    </w:p>
    <w:p w14:paraId="44BFEC3B" w14:textId="77777777" w:rsidR="00676382" w:rsidRPr="009E5AC2" w:rsidRDefault="00676382" w:rsidP="00676382">
      <w:pPr>
        <w:pStyle w:val="ListParagraph"/>
        <w:spacing w:before="0" w:after="160" w:line="259" w:lineRule="auto"/>
        <w:ind w:left="810"/>
        <w:contextualSpacing/>
        <w:rPr>
          <w:rFonts w:asciiTheme="minorHAnsi" w:hAnsiTheme="minorHAnsi" w:cstheme="minorBidi"/>
        </w:rPr>
      </w:pPr>
    </w:p>
    <w:p w14:paraId="71245B16" w14:textId="46F1893D" w:rsidR="00451F12" w:rsidRPr="002C19E0" w:rsidRDefault="00451F12" w:rsidP="00676382">
      <w:pPr>
        <w:pStyle w:val="ListParagraph"/>
        <w:numPr>
          <w:ilvl w:val="0"/>
          <w:numId w:val="41"/>
        </w:numPr>
        <w:spacing w:before="0" w:after="160" w:line="259" w:lineRule="auto"/>
        <w:ind w:left="810"/>
        <w:contextualSpacing/>
      </w:pPr>
      <w:r w:rsidRPr="46611AC7">
        <w:rPr>
          <w:rFonts w:cs="Open Sans"/>
          <w:lang w:val="en-GB"/>
        </w:rPr>
        <w:t xml:space="preserve">Guidance in developing the framework should be taken from other national frameworks (e.g. </w:t>
      </w:r>
      <w:hyperlink r:id="rId22">
        <w:r w:rsidRPr="46611AC7">
          <w:rPr>
            <w:rStyle w:val="Hyperlink"/>
            <w:rFonts w:cs="Open Sans"/>
            <w:lang w:val="en-GB"/>
          </w:rPr>
          <w:t>National Plan to reduce violence against women and their children</w:t>
        </w:r>
      </w:hyperlink>
      <w:r w:rsidRPr="46611AC7">
        <w:rPr>
          <w:rStyle w:val="Hyperlink"/>
          <w:rFonts w:cs="Open Sans"/>
          <w:lang w:val="en-GB"/>
        </w:rPr>
        <w:t xml:space="preserve">; </w:t>
      </w:r>
      <w:hyperlink r:id="rId23">
        <w:r w:rsidRPr="46611AC7">
          <w:rPr>
            <w:rStyle w:val="Hyperlink"/>
            <w:rFonts w:cs="Open Sans"/>
            <w:lang w:val="en-GB"/>
          </w:rPr>
          <w:t>National framework for protecting Australia’s children</w:t>
        </w:r>
      </w:hyperlink>
      <w:r w:rsidRPr="46611AC7">
        <w:rPr>
          <w:rFonts w:cs="Open Sans"/>
          <w:lang w:val="en-GB"/>
        </w:rPr>
        <w:t xml:space="preserve">) as these will identify a range of core elements for inclusion in any framework (e.g. data collection). </w:t>
      </w:r>
      <w:r w:rsidR="002C19E0">
        <w:rPr>
          <w:rFonts w:cs="Open Sans"/>
          <w:lang w:val="en-GB"/>
        </w:rPr>
        <w:br/>
      </w:r>
    </w:p>
    <w:p w14:paraId="68BB3042" w14:textId="74BA528B" w:rsidR="00451F12" w:rsidRPr="002C19E0" w:rsidRDefault="00451F12" w:rsidP="00676382">
      <w:pPr>
        <w:pStyle w:val="ListParagraph"/>
        <w:numPr>
          <w:ilvl w:val="0"/>
          <w:numId w:val="41"/>
        </w:numPr>
        <w:spacing w:before="0" w:after="160" w:line="259" w:lineRule="auto"/>
        <w:ind w:left="810"/>
        <w:contextualSpacing/>
        <w:rPr>
          <w:rFonts w:cs="Open Sans"/>
          <w:lang w:val="en-GB"/>
        </w:rPr>
      </w:pPr>
      <w:r w:rsidRPr="46611AC7">
        <w:rPr>
          <w:rFonts w:cs="Open Sans"/>
          <w:lang w:val="en-GB"/>
        </w:rPr>
        <w:t>The Commission will also invite governments to identify the key thematic action areas that they see as priorities for such a framework.</w:t>
      </w:r>
      <w:r w:rsidR="002C19E0">
        <w:rPr>
          <w:rFonts w:cs="Open Sans"/>
          <w:lang w:val="en-GB"/>
        </w:rPr>
        <w:br/>
      </w:r>
    </w:p>
    <w:p w14:paraId="70373887" w14:textId="77777777" w:rsidR="00451F12" w:rsidRPr="009E5AC2" w:rsidRDefault="00451F12" w:rsidP="00676382">
      <w:pPr>
        <w:pStyle w:val="ListParagraph"/>
        <w:numPr>
          <w:ilvl w:val="0"/>
          <w:numId w:val="41"/>
        </w:numPr>
        <w:spacing w:before="0" w:after="160" w:line="259" w:lineRule="auto"/>
        <w:ind w:left="810"/>
        <w:contextualSpacing/>
        <w:rPr>
          <w:rFonts w:cs="Open Sans"/>
          <w:lang w:val="en-GB"/>
        </w:rPr>
      </w:pPr>
      <w:r w:rsidRPr="46611AC7">
        <w:rPr>
          <w:rFonts w:cs="Open Sans"/>
          <w:lang w:val="en-GB"/>
        </w:rPr>
        <w:t>A report setting out the Race Discrimination Commissioner’s views on what an effective national framework would look like will then be provided to the federal government and publicly released. This will identify actions that should be taken by different sectors of society and government.</w:t>
      </w:r>
      <w:r>
        <w:rPr>
          <w:rFonts w:cs="Open Sans"/>
          <w:lang w:val="en-GB"/>
        </w:rPr>
        <w:br/>
      </w:r>
    </w:p>
    <w:p w14:paraId="0B3EF96A" w14:textId="5C855CD0" w:rsidR="00451F12" w:rsidRPr="002C19E0" w:rsidRDefault="00451F12" w:rsidP="00676382">
      <w:pPr>
        <w:pStyle w:val="ListParagraph"/>
        <w:numPr>
          <w:ilvl w:val="0"/>
          <w:numId w:val="41"/>
        </w:numPr>
        <w:spacing w:before="0" w:after="160" w:line="259" w:lineRule="auto"/>
        <w:ind w:left="810"/>
        <w:contextualSpacing/>
        <w:rPr>
          <w:lang w:val="en-GB"/>
        </w:rPr>
      </w:pPr>
      <w:r w:rsidRPr="46611AC7">
        <w:rPr>
          <w:rFonts w:cs="Open Sans"/>
          <w:lang w:val="en-GB"/>
        </w:rPr>
        <w:t>Throughout the consultation and development process, the Race Discrimination Commissioner intends to maintain close discussions and cooperation with the Australian Government to ensure that the framework proposal and individual priorities identified within it are known to the government, in order for the government to commit to implementing the framework and its proposed actions.</w:t>
      </w:r>
      <w:r w:rsidR="002C19E0">
        <w:rPr>
          <w:rFonts w:cs="Open Sans"/>
          <w:lang w:val="en-GB"/>
        </w:rPr>
        <w:br/>
      </w:r>
    </w:p>
    <w:p w14:paraId="6F908B50" w14:textId="16D3D760" w:rsidR="00451F12" w:rsidRPr="009A3668" w:rsidRDefault="00451F12" w:rsidP="00676382">
      <w:pPr>
        <w:pStyle w:val="ListParagraph"/>
        <w:numPr>
          <w:ilvl w:val="0"/>
          <w:numId w:val="41"/>
        </w:numPr>
        <w:spacing w:before="0" w:after="160" w:line="259" w:lineRule="auto"/>
        <w:ind w:left="810"/>
        <w:contextualSpacing/>
        <w:rPr>
          <w:rFonts w:cs="Open Sans"/>
          <w:lang w:val="en-GB"/>
        </w:rPr>
      </w:pPr>
      <w:r w:rsidRPr="46611AC7">
        <w:rPr>
          <w:rFonts w:cs="Open Sans"/>
          <w:lang w:val="en-GB"/>
        </w:rPr>
        <w:t xml:space="preserve">The framework would provide a longer-term basis for actions on anti-racism. Inevitably, it would require funding and other commitments that would progressively be pursued over time. </w:t>
      </w:r>
    </w:p>
    <w:p w14:paraId="2D424989" w14:textId="6BF7ABC2" w:rsidR="00451F12" w:rsidRPr="009A3668" w:rsidRDefault="00451F12" w:rsidP="009A3668">
      <w:pPr>
        <w:pStyle w:val="Heading1"/>
        <w:ind w:left="426" w:hanging="426"/>
        <w:rPr>
          <w:rFonts w:eastAsiaTheme="minorEastAsia"/>
        </w:rPr>
      </w:pPr>
      <w:bookmarkStart w:id="7" w:name="_Toc66719693"/>
      <w:r w:rsidRPr="009A3668">
        <w:t>Examples of what a National Framework might look like</w:t>
      </w:r>
      <w:bookmarkEnd w:id="7"/>
    </w:p>
    <w:p w14:paraId="5B1C1A86" w14:textId="600CDCA1" w:rsidR="00451F12" w:rsidRPr="009A3668" w:rsidRDefault="00451F12" w:rsidP="00676382">
      <w:pPr>
        <w:pStyle w:val="ListParagraph"/>
        <w:numPr>
          <w:ilvl w:val="0"/>
          <w:numId w:val="41"/>
        </w:numPr>
        <w:spacing w:before="0" w:after="160" w:line="259" w:lineRule="auto"/>
        <w:ind w:left="900"/>
        <w:contextualSpacing/>
        <w:rPr>
          <w:rFonts w:cs="Open Sans"/>
          <w:lang w:val="en-GB"/>
        </w:rPr>
      </w:pPr>
      <w:r w:rsidRPr="46611AC7">
        <w:rPr>
          <w:rFonts w:cs="Open Sans"/>
        </w:rPr>
        <w:t xml:space="preserve">There are many ways that a national framework could be devised. </w:t>
      </w:r>
    </w:p>
    <w:p w14:paraId="6878F190" w14:textId="77777777" w:rsidR="009A3668" w:rsidRPr="009A3668" w:rsidRDefault="009A3668" w:rsidP="009A3668">
      <w:pPr>
        <w:pStyle w:val="ListParagraph"/>
        <w:spacing w:before="0" w:after="160" w:line="259" w:lineRule="auto"/>
        <w:ind w:left="900"/>
        <w:contextualSpacing/>
        <w:rPr>
          <w:rFonts w:cs="Open Sans"/>
          <w:lang w:val="en-GB"/>
        </w:rPr>
      </w:pPr>
    </w:p>
    <w:p w14:paraId="7ECD8EF3" w14:textId="2DF23CCB" w:rsidR="003977F9" w:rsidRPr="003977F9" w:rsidRDefault="00451F12" w:rsidP="00676382">
      <w:pPr>
        <w:pStyle w:val="ListParagraph"/>
        <w:numPr>
          <w:ilvl w:val="0"/>
          <w:numId w:val="41"/>
        </w:numPr>
        <w:spacing w:before="0" w:after="160" w:line="259" w:lineRule="auto"/>
        <w:ind w:left="900"/>
        <w:contextualSpacing/>
        <w:rPr>
          <w:rFonts w:cs="Open Sans"/>
          <w:lang w:val="en-GB"/>
        </w:rPr>
      </w:pPr>
      <w:r w:rsidRPr="46611AC7">
        <w:rPr>
          <w:rFonts w:cs="Open Sans"/>
          <w:lang w:val="en-GB"/>
        </w:rPr>
        <w:t>As an example, below is an extract from a previous racial equality framework developed by the former Race Discrimination C</w:t>
      </w:r>
      <w:r>
        <w:rPr>
          <w:rFonts w:cs="Open Sans"/>
          <w:lang w:val="en-GB"/>
        </w:rPr>
        <w:t>o</w:t>
      </w:r>
      <w:r w:rsidRPr="46611AC7">
        <w:rPr>
          <w:rFonts w:cs="Open Sans"/>
          <w:lang w:val="en-GB"/>
        </w:rPr>
        <w:t xml:space="preserve">mmissioner, Dr Helen </w:t>
      </w:r>
      <w:proofErr w:type="spellStart"/>
      <w:r w:rsidRPr="46611AC7">
        <w:rPr>
          <w:rFonts w:cs="Open Sans"/>
          <w:lang w:val="en-GB"/>
        </w:rPr>
        <w:t>Szoke</w:t>
      </w:r>
      <w:proofErr w:type="spellEnd"/>
      <w:r w:rsidRPr="46611AC7">
        <w:rPr>
          <w:rFonts w:cs="Open Sans"/>
          <w:lang w:val="en-GB"/>
        </w:rPr>
        <w:t>, in 2012. As she explained in the framework document ‘we need to focus not just on eliminating racism, but also on how to build racial equality.’</w:t>
      </w: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6"/>
        <w:gridCol w:w="3023"/>
        <w:gridCol w:w="2989"/>
      </w:tblGrid>
      <w:tr w:rsidR="00451F12" w14:paraId="21D5A1BF" w14:textId="77777777" w:rsidTr="008F6844">
        <w:tc>
          <w:tcPr>
            <w:tcW w:w="2476" w:type="dxa"/>
            <w:tcBorders>
              <w:top w:val="single" w:sz="12" w:space="0" w:color="auto"/>
              <w:left w:val="single" w:sz="12" w:space="0" w:color="auto"/>
              <w:bottom w:val="single" w:sz="12" w:space="0" w:color="auto"/>
              <w:right w:val="single" w:sz="4" w:space="0" w:color="auto"/>
            </w:tcBorders>
            <w:hideMark/>
          </w:tcPr>
          <w:p w14:paraId="329A33AA" w14:textId="77777777" w:rsidR="00451F12" w:rsidRDefault="00451F12" w:rsidP="000954C1">
            <w:pPr>
              <w:rPr>
                <w:rFonts w:eastAsia="Times New Roman"/>
                <w:b/>
                <w:sz w:val="28"/>
                <w:szCs w:val="28"/>
              </w:rPr>
            </w:pPr>
            <w:r>
              <w:rPr>
                <w:rFonts w:cs="Open Sans"/>
                <w:lang w:val="en-GB"/>
              </w:rPr>
              <w:br w:type="page"/>
            </w:r>
            <w:r>
              <w:rPr>
                <w:rFonts w:eastAsia="Times New Roman"/>
                <w:b/>
                <w:sz w:val="28"/>
                <w:szCs w:val="28"/>
              </w:rPr>
              <w:t>Aims</w:t>
            </w:r>
          </w:p>
        </w:tc>
        <w:tc>
          <w:tcPr>
            <w:tcW w:w="3023" w:type="dxa"/>
            <w:tcBorders>
              <w:top w:val="single" w:sz="12" w:space="0" w:color="auto"/>
              <w:left w:val="single" w:sz="4" w:space="0" w:color="auto"/>
              <w:bottom w:val="single" w:sz="12" w:space="0" w:color="auto"/>
              <w:right w:val="single" w:sz="4" w:space="0" w:color="auto"/>
            </w:tcBorders>
            <w:hideMark/>
          </w:tcPr>
          <w:p w14:paraId="60BCC637" w14:textId="77777777" w:rsidR="00451F12" w:rsidRDefault="00451F12" w:rsidP="000954C1">
            <w:pPr>
              <w:rPr>
                <w:rFonts w:eastAsia="Times New Roman"/>
                <w:b/>
                <w:sz w:val="28"/>
                <w:szCs w:val="28"/>
              </w:rPr>
            </w:pPr>
            <w:r>
              <w:rPr>
                <w:rFonts w:eastAsia="Times New Roman"/>
                <w:b/>
                <w:sz w:val="28"/>
                <w:szCs w:val="28"/>
              </w:rPr>
              <w:t>Areas of effort</w:t>
            </w:r>
          </w:p>
        </w:tc>
        <w:tc>
          <w:tcPr>
            <w:tcW w:w="2989" w:type="dxa"/>
            <w:tcBorders>
              <w:top w:val="single" w:sz="12" w:space="0" w:color="auto"/>
              <w:left w:val="single" w:sz="4" w:space="0" w:color="auto"/>
              <w:bottom w:val="single" w:sz="12" w:space="0" w:color="auto"/>
              <w:right w:val="single" w:sz="12" w:space="0" w:color="auto"/>
            </w:tcBorders>
          </w:tcPr>
          <w:p w14:paraId="450D146E" w14:textId="77777777" w:rsidR="00451F12" w:rsidRDefault="00451F12" w:rsidP="000954C1">
            <w:pPr>
              <w:rPr>
                <w:rFonts w:eastAsia="Times New Roman"/>
                <w:b/>
                <w:sz w:val="28"/>
                <w:szCs w:val="28"/>
              </w:rPr>
            </w:pPr>
            <w:r>
              <w:rPr>
                <w:rFonts w:eastAsia="Times New Roman"/>
                <w:b/>
                <w:sz w:val="28"/>
                <w:szCs w:val="28"/>
              </w:rPr>
              <w:t>Priorities</w:t>
            </w:r>
          </w:p>
        </w:tc>
      </w:tr>
      <w:tr w:rsidR="00451F12" w14:paraId="0BC22C6F" w14:textId="77777777" w:rsidTr="008F6844">
        <w:tc>
          <w:tcPr>
            <w:tcW w:w="2476" w:type="dxa"/>
            <w:vMerge w:val="restart"/>
            <w:tcBorders>
              <w:top w:val="single" w:sz="12" w:space="0" w:color="auto"/>
              <w:left w:val="single" w:sz="12" w:space="0" w:color="auto"/>
              <w:bottom w:val="single" w:sz="12" w:space="0" w:color="auto"/>
              <w:right w:val="single" w:sz="4" w:space="0" w:color="auto"/>
            </w:tcBorders>
            <w:vAlign w:val="center"/>
          </w:tcPr>
          <w:p w14:paraId="1BAAD170" w14:textId="77777777" w:rsidR="00451F12" w:rsidRDefault="00451F12" w:rsidP="000954C1">
            <w:pPr>
              <w:jc w:val="center"/>
              <w:rPr>
                <w:rFonts w:eastAsia="Times New Roman"/>
                <w:b/>
                <w:sz w:val="28"/>
                <w:szCs w:val="28"/>
              </w:rPr>
            </w:pPr>
            <w:r>
              <w:rPr>
                <w:rFonts w:eastAsia="Times New Roman"/>
                <w:b/>
                <w:sz w:val="28"/>
                <w:szCs w:val="28"/>
              </w:rPr>
              <w:t>Ensuring social and economic outcomes</w:t>
            </w:r>
          </w:p>
          <w:p w14:paraId="0331803F" w14:textId="77777777" w:rsidR="00451F12" w:rsidRDefault="00451F12" w:rsidP="000954C1">
            <w:pPr>
              <w:jc w:val="center"/>
              <w:rPr>
                <w:rFonts w:eastAsia="Times New Roman"/>
              </w:rPr>
            </w:pPr>
          </w:p>
          <w:p w14:paraId="1D119A1A" w14:textId="77777777" w:rsidR="00451F12" w:rsidRDefault="00451F12" w:rsidP="000954C1">
            <w:pPr>
              <w:jc w:val="center"/>
              <w:rPr>
                <w:rFonts w:eastAsia="Times New Roman"/>
              </w:rPr>
            </w:pPr>
          </w:p>
          <w:p w14:paraId="4751872D" w14:textId="77777777" w:rsidR="00451F12" w:rsidRDefault="00451F12" w:rsidP="000954C1">
            <w:pPr>
              <w:jc w:val="center"/>
              <w:rPr>
                <w:rFonts w:eastAsia="Times New Roman"/>
              </w:rPr>
            </w:pPr>
          </w:p>
          <w:p w14:paraId="1DBBAEE1" w14:textId="77777777" w:rsidR="00451F12" w:rsidRDefault="00451F12" w:rsidP="000954C1">
            <w:pPr>
              <w:jc w:val="center"/>
              <w:rPr>
                <w:rFonts w:eastAsia="Times New Roman"/>
              </w:rPr>
            </w:pPr>
          </w:p>
          <w:p w14:paraId="4430A5EF" w14:textId="77777777" w:rsidR="00451F12" w:rsidRDefault="00451F12" w:rsidP="000954C1">
            <w:pPr>
              <w:jc w:val="center"/>
              <w:rPr>
                <w:rFonts w:eastAsia="Times New Roman"/>
              </w:rPr>
            </w:pPr>
          </w:p>
          <w:p w14:paraId="195AA482" w14:textId="77777777" w:rsidR="00451F12" w:rsidRDefault="00451F12" w:rsidP="000954C1">
            <w:pPr>
              <w:jc w:val="center"/>
              <w:rPr>
                <w:rFonts w:eastAsia="Times New Roman"/>
              </w:rPr>
            </w:pPr>
          </w:p>
          <w:p w14:paraId="4565CB2B" w14:textId="77777777" w:rsidR="00451F12" w:rsidRDefault="00451F12" w:rsidP="000954C1">
            <w:pPr>
              <w:jc w:val="center"/>
              <w:rPr>
                <w:rFonts w:eastAsia="Times New Roman"/>
              </w:rPr>
            </w:pPr>
          </w:p>
          <w:p w14:paraId="6D301672" w14:textId="77777777" w:rsidR="00451F12" w:rsidRDefault="00451F12" w:rsidP="000954C1">
            <w:pPr>
              <w:jc w:val="center"/>
              <w:rPr>
                <w:rFonts w:eastAsia="Times New Roman"/>
              </w:rPr>
            </w:pPr>
          </w:p>
          <w:p w14:paraId="68DA0DD8" w14:textId="77777777" w:rsidR="00451F12" w:rsidRDefault="00451F12" w:rsidP="000954C1">
            <w:pPr>
              <w:jc w:val="center"/>
              <w:rPr>
                <w:rFonts w:eastAsia="Times New Roman"/>
              </w:rPr>
            </w:pPr>
          </w:p>
          <w:p w14:paraId="1052102E" w14:textId="77777777" w:rsidR="00451F12" w:rsidRDefault="00451F12" w:rsidP="000954C1">
            <w:pPr>
              <w:jc w:val="center"/>
              <w:rPr>
                <w:rFonts w:eastAsia="Times New Roman"/>
              </w:rPr>
            </w:pPr>
          </w:p>
          <w:p w14:paraId="37438017" w14:textId="77777777" w:rsidR="00451F12" w:rsidRDefault="00451F12" w:rsidP="000954C1">
            <w:pPr>
              <w:jc w:val="center"/>
              <w:rPr>
                <w:rFonts w:eastAsia="Times New Roman"/>
              </w:rPr>
            </w:pPr>
          </w:p>
          <w:p w14:paraId="3395C1DB" w14:textId="77777777" w:rsidR="00451F12" w:rsidRDefault="00451F12" w:rsidP="000954C1">
            <w:pPr>
              <w:jc w:val="center"/>
              <w:rPr>
                <w:rFonts w:eastAsia="Times New Roman"/>
              </w:rPr>
            </w:pPr>
          </w:p>
          <w:p w14:paraId="133ABDB0" w14:textId="77777777" w:rsidR="00451F12" w:rsidRDefault="00451F12" w:rsidP="000954C1">
            <w:pPr>
              <w:jc w:val="center"/>
              <w:rPr>
                <w:rFonts w:eastAsia="Times New Roman"/>
              </w:rPr>
            </w:pPr>
          </w:p>
          <w:p w14:paraId="4F8BB538" w14:textId="77777777" w:rsidR="00451F12" w:rsidRDefault="00451F12" w:rsidP="000954C1">
            <w:pPr>
              <w:jc w:val="center"/>
              <w:rPr>
                <w:rFonts w:eastAsia="Times New Roman"/>
              </w:rPr>
            </w:pPr>
          </w:p>
          <w:p w14:paraId="3DB40C98" w14:textId="77777777" w:rsidR="00451F12" w:rsidRDefault="00451F12" w:rsidP="000954C1">
            <w:pPr>
              <w:jc w:val="center"/>
              <w:rPr>
                <w:rFonts w:eastAsia="Times New Roman"/>
              </w:rPr>
            </w:pPr>
          </w:p>
          <w:p w14:paraId="3F540899" w14:textId="77777777" w:rsidR="00451F12" w:rsidRDefault="00451F12" w:rsidP="000954C1">
            <w:pPr>
              <w:jc w:val="center"/>
              <w:rPr>
                <w:rFonts w:eastAsia="Times New Roman"/>
              </w:rPr>
            </w:pPr>
          </w:p>
          <w:p w14:paraId="15DAA635" w14:textId="77777777" w:rsidR="00451F12" w:rsidRDefault="00451F12" w:rsidP="000954C1">
            <w:pPr>
              <w:jc w:val="center"/>
              <w:rPr>
                <w:rFonts w:eastAsia="Times New Roman"/>
              </w:rPr>
            </w:pPr>
          </w:p>
          <w:p w14:paraId="002703D1" w14:textId="77777777" w:rsidR="00451F12" w:rsidRDefault="00451F12" w:rsidP="000954C1">
            <w:pPr>
              <w:jc w:val="center"/>
              <w:rPr>
                <w:rFonts w:eastAsia="Times New Roman"/>
              </w:rPr>
            </w:pPr>
          </w:p>
          <w:p w14:paraId="73CA241E" w14:textId="77777777" w:rsidR="00451F12" w:rsidRDefault="00451F12" w:rsidP="000954C1">
            <w:pPr>
              <w:jc w:val="center"/>
              <w:rPr>
                <w:rFonts w:eastAsia="Times New Roman"/>
              </w:rPr>
            </w:pPr>
          </w:p>
          <w:p w14:paraId="2CD87FC6" w14:textId="77777777" w:rsidR="00451F12" w:rsidRDefault="00451F12" w:rsidP="000954C1">
            <w:pPr>
              <w:jc w:val="center"/>
              <w:rPr>
                <w:rFonts w:eastAsia="Times New Roman"/>
              </w:rPr>
            </w:pPr>
          </w:p>
          <w:p w14:paraId="08AA8DF3" w14:textId="77777777" w:rsidR="00451F12" w:rsidRDefault="00451F12" w:rsidP="000954C1">
            <w:pPr>
              <w:jc w:val="center"/>
              <w:rPr>
                <w:rFonts w:eastAsia="Times New Roman"/>
              </w:rPr>
            </w:pPr>
          </w:p>
        </w:tc>
        <w:tc>
          <w:tcPr>
            <w:tcW w:w="3023" w:type="dxa"/>
            <w:tcBorders>
              <w:top w:val="single" w:sz="12" w:space="0" w:color="auto"/>
              <w:left w:val="single" w:sz="4" w:space="0" w:color="auto"/>
              <w:bottom w:val="single" w:sz="4" w:space="0" w:color="auto"/>
              <w:right w:val="single" w:sz="4" w:space="0" w:color="auto"/>
            </w:tcBorders>
            <w:vAlign w:val="center"/>
          </w:tcPr>
          <w:p w14:paraId="12144D8A" w14:textId="77777777" w:rsidR="00451F12" w:rsidRDefault="00451F12" w:rsidP="000954C1">
            <w:pPr>
              <w:rPr>
                <w:rFonts w:eastAsia="Times New Roman"/>
                <w:b/>
              </w:rPr>
            </w:pPr>
            <w:r>
              <w:rPr>
                <w:rFonts w:eastAsia="Times New Roman"/>
                <w:b/>
              </w:rPr>
              <w:lastRenderedPageBreak/>
              <w:t>Reducing inequality and improving life chances</w:t>
            </w:r>
          </w:p>
          <w:p w14:paraId="2FEF6BB2" w14:textId="77777777" w:rsidR="00451F12" w:rsidRDefault="00451F12" w:rsidP="000954C1">
            <w:pPr>
              <w:rPr>
                <w:rFonts w:cs="Arial"/>
              </w:rPr>
            </w:pPr>
          </w:p>
        </w:tc>
        <w:tc>
          <w:tcPr>
            <w:tcW w:w="2989" w:type="dxa"/>
            <w:tcBorders>
              <w:top w:val="single" w:sz="12" w:space="0" w:color="auto"/>
              <w:left w:val="single" w:sz="4" w:space="0" w:color="auto"/>
              <w:bottom w:val="single" w:sz="4" w:space="0" w:color="auto"/>
              <w:right w:val="single" w:sz="12" w:space="0" w:color="auto"/>
            </w:tcBorders>
            <w:hideMark/>
          </w:tcPr>
          <w:p w14:paraId="0F0346DC" w14:textId="77777777" w:rsidR="00451F12" w:rsidRDefault="00451F12" w:rsidP="000954C1">
            <w:r>
              <w:t>Advocate for Government policies and programs to be implemented in ways which protect and promote the human rights of all racial and ethnic groups in Australia</w:t>
            </w:r>
          </w:p>
        </w:tc>
      </w:tr>
      <w:tr w:rsidR="00451F12" w14:paraId="497EC2AC" w14:textId="77777777" w:rsidTr="008F6844">
        <w:tc>
          <w:tcPr>
            <w:tcW w:w="2476" w:type="dxa"/>
            <w:vMerge/>
            <w:tcBorders>
              <w:top w:val="single" w:sz="12" w:space="0" w:color="auto"/>
              <w:left w:val="single" w:sz="12" w:space="0" w:color="auto"/>
              <w:bottom w:val="single" w:sz="12" w:space="0" w:color="auto"/>
              <w:right w:val="single" w:sz="4" w:space="0" w:color="auto"/>
            </w:tcBorders>
            <w:vAlign w:val="center"/>
            <w:hideMark/>
          </w:tcPr>
          <w:p w14:paraId="332F4EE1" w14:textId="77777777" w:rsidR="00451F12" w:rsidRDefault="00451F12" w:rsidP="000954C1">
            <w:pPr>
              <w:spacing w:after="0"/>
              <w:rPr>
                <w:rFonts w:ascii="Arial" w:eastAsia="Times New Roman" w:hAnsi="Arial"/>
              </w:rPr>
            </w:pPr>
          </w:p>
        </w:tc>
        <w:tc>
          <w:tcPr>
            <w:tcW w:w="3023" w:type="dxa"/>
            <w:tcBorders>
              <w:top w:val="single" w:sz="4" w:space="0" w:color="auto"/>
              <w:left w:val="single" w:sz="4" w:space="0" w:color="auto"/>
              <w:bottom w:val="single" w:sz="4" w:space="0" w:color="auto"/>
              <w:right w:val="single" w:sz="4" w:space="0" w:color="auto"/>
            </w:tcBorders>
            <w:vAlign w:val="center"/>
          </w:tcPr>
          <w:p w14:paraId="38F1DC30" w14:textId="77777777" w:rsidR="00451F12" w:rsidRDefault="00451F12" w:rsidP="000954C1">
            <w:pPr>
              <w:rPr>
                <w:rFonts w:eastAsia="Times New Roman"/>
                <w:b/>
              </w:rPr>
            </w:pPr>
            <w:r>
              <w:rPr>
                <w:rFonts w:eastAsia="Times New Roman"/>
                <w:b/>
              </w:rPr>
              <w:t>Supporting sustainable employment outcomes</w:t>
            </w:r>
          </w:p>
          <w:p w14:paraId="3198FE19" w14:textId="77777777" w:rsidR="00451F12" w:rsidRDefault="00451F12" w:rsidP="000954C1">
            <w:pPr>
              <w:rPr>
                <w:rFonts w:eastAsia="Times New Roman"/>
              </w:rPr>
            </w:pPr>
          </w:p>
        </w:tc>
        <w:tc>
          <w:tcPr>
            <w:tcW w:w="2989" w:type="dxa"/>
            <w:tcBorders>
              <w:top w:val="single" w:sz="4" w:space="0" w:color="auto"/>
              <w:left w:val="single" w:sz="4" w:space="0" w:color="auto"/>
              <w:bottom w:val="single" w:sz="4" w:space="0" w:color="auto"/>
              <w:right w:val="single" w:sz="12" w:space="0" w:color="auto"/>
            </w:tcBorders>
            <w:hideMark/>
          </w:tcPr>
          <w:p w14:paraId="5558C4B2" w14:textId="77777777" w:rsidR="00451F12" w:rsidRDefault="00451F12" w:rsidP="000954C1">
            <w:pPr>
              <w:rPr>
                <w:rFonts w:eastAsia="Times New Roman"/>
              </w:rPr>
            </w:pPr>
            <w:r>
              <w:rPr>
                <w:rFonts w:eastAsia="Times New Roman"/>
              </w:rPr>
              <w:t>Identify opportunities to support and promote good practice initiatives to achieve employment outcomes for vulnerable racial and ethnic groups</w:t>
            </w:r>
          </w:p>
        </w:tc>
      </w:tr>
      <w:tr w:rsidR="00451F12" w14:paraId="50DDD73B" w14:textId="77777777" w:rsidTr="008F6844">
        <w:tc>
          <w:tcPr>
            <w:tcW w:w="2476" w:type="dxa"/>
            <w:vMerge/>
            <w:tcBorders>
              <w:top w:val="single" w:sz="12" w:space="0" w:color="auto"/>
              <w:left w:val="single" w:sz="12" w:space="0" w:color="auto"/>
              <w:bottom w:val="single" w:sz="12" w:space="0" w:color="auto"/>
              <w:right w:val="single" w:sz="4" w:space="0" w:color="auto"/>
            </w:tcBorders>
            <w:vAlign w:val="center"/>
            <w:hideMark/>
          </w:tcPr>
          <w:p w14:paraId="1EFF0A71" w14:textId="77777777" w:rsidR="00451F12" w:rsidRDefault="00451F12" w:rsidP="000954C1">
            <w:pPr>
              <w:spacing w:after="0"/>
              <w:rPr>
                <w:rFonts w:ascii="Arial" w:eastAsia="Times New Roman" w:hAnsi="Arial"/>
              </w:rPr>
            </w:pPr>
          </w:p>
        </w:tc>
        <w:tc>
          <w:tcPr>
            <w:tcW w:w="3023" w:type="dxa"/>
            <w:tcBorders>
              <w:top w:val="single" w:sz="4" w:space="0" w:color="auto"/>
              <w:left w:val="single" w:sz="4" w:space="0" w:color="auto"/>
              <w:bottom w:val="single" w:sz="4" w:space="0" w:color="auto"/>
              <w:right w:val="single" w:sz="4" w:space="0" w:color="auto"/>
            </w:tcBorders>
            <w:vAlign w:val="center"/>
          </w:tcPr>
          <w:p w14:paraId="39404F3E" w14:textId="77777777" w:rsidR="00451F12" w:rsidRDefault="00451F12" w:rsidP="000954C1">
            <w:pPr>
              <w:rPr>
                <w:rFonts w:eastAsia="Times New Roman"/>
                <w:b/>
              </w:rPr>
            </w:pPr>
            <w:r>
              <w:rPr>
                <w:rFonts w:eastAsia="Times New Roman"/>
                <w:b/>
              </w:rPr>
              <w:t>Recognition of overseas qualifications</w:t>
            </w:r>
          </w:p>
          <w:p w14:paraId="732CCE38" w14:textId="77777777" w:rsidR="00451F12" w:rsidRDefault="00451F12" w:rsidP="000954C1">
            <w:pPr>
              <w:rPr>
                <w:rFonts w:eastAsia="Times New Roman"/>
              </w:rPr>
            </w:pPr>
          </w:p>
        </w:tc>
        <w:tc>
          <w:tcPr>
            <w:tcW w:w="2989" w:type="dxa"/>
            <w:tcBorders>
              <w:top w:val="single" w:sz="4" w:space="0" w:color="auto"/>
              <w:left w:val="single" w:sz="4" w:space="0" w:color="auto"/>
              <w:bottom w:val="single" w:sz="4" w:space="0" w:color="auto"/>
              <w:right w:val="single" w:sz="12" w:space="0" w:color="auto"/>
            </w:tcBorders>
            <w:hideMark/>
          </w:tcPr>
          <w:p w14:paraId="18F02C3D" w14:textId="77777777" w:rsidR="00451F12" w:rsidRDefault="00451F12" w:rsidP="000954C1">
            <w:r>
              <w:t>Work with bodies that regulate professions to identify and address any systemic inequalities in the recognition of overseas qualifications</w:t>
            </w:r>
          </w:p>
        </w:tc>
      </w:tr>
      <w:tr w:rsidR="00451F12" w14:paraId="711B226A" w14:textId="77777777" w:rsidTr="008F6844">
        <w:tc>
          <w:tcPr>
            <w:tcW w:w="2476" w:type="dxa"/>
            <w:vMerge/>
            <w:tcBorders>
              <w:top w:val="single" w:sz="12" w:space="0" w:color="auto"/>
              <w:left w:val="single" w:sz="12" w:space="0" w:color="auto"/>
              <w:bottom w:val="single" w:sz="12" w:space="0" w:color="auto"/>
              <w:right w:val="single" w:sz="4" w:space="0" w:color="auto"/>
            </w:tcBorders>
            <w:vAlign w:val="center"/>
            <w:hideMark/>
          </w:tcPr>
          <w:p w14:paraId="6996DFAD" w14:textId="77777777" w:rsidR="00451F12" w:rsidRDefault="00451F12" w:rsidP="000954C1">
            <w:pPr>
              <w:spacing w:after="0"/>
              <w:rPr>
                <w:rFonts w:ascii="Arial" w:eastAsia="Times New Roman" w:hAnsi="Arial"/>
              </w:rPr>
            </w:pPr>
          </w:p>
        </w:tc>
        <w:tc>
          <w:tcPr>
            <w:tcW w:w="3023" w:type="dxa"/>
            <w:tcBorders>
              <w:top w:val="single" w:sz="4" w:space="0" w:color="auto"/>
              <w:left w:val="single" w:sz="4" w:space="0" w:color="auto"/>
              <w:bottom w:val="single" w:sz="4" w:space="0" w:color="auto"/>
              <w:right w:val="single" w:sz="4" w:space="0" w:color="auto"/>
            </w:tcBorders>
            <w:vAlign w:val="center"/>
          </w:tcPr>
          <w:p w14:paraId="5C0FE99B" w14:textId="77777777" w:rsidR="00451F12" w:rsidRDefault="00451F12" w:rsidP="000954C1">
            <w:pPr>
              <w:rPr>
                <w:rFonts w:eastAsia="Times New Roman"/>
                <w:b/>
              </w:rPr>
            </w:pPr>
            <w:r>
              <w:rPr>
                <w:rFonts w:eastAsia="Times New Roman"/>
                <w:b/>
              </w:rPr>
              <w:t xml:space="preserve">Supporting inclusive education </w:t>
            </w:r>
          </w:p>
          <w:p w14:paraId="6981BF84" w14:textId="77777777" w:rsidR="00451F12" w:rsidRDefault="00451F12" w:rsidP="000954C1">
            <w:pPr>
              <w:rPr>
                <w:rFonts w:eastAsia="Times New Roman"/>
              </w:rPr>
            </w:pPr>
          </w:p>
        </w:tc>
        <w:tc>
          <w:tcPr>
            <w:tcW w:w="2989" w:type="dxa"/>
            <w:tcBorders>
              <w:top w:val="single" w:sz="4" w:space="0" w:color="auto"/>
              <w:left w:val="single" w:sz="4" w:space="0" w:color="auto"/>
              <w:bottom w:val="single" w:sz="4" w:space="0" w:color="auto"/>
              <w:right w:val="single" w:sz="12" w:space="0" w:color="auto"/>
            </w:tcBorders>
            <w:hideMark/>
          </w:tcPr>
          <w:p w14:paraId="319D0D7C" w14:textId="77777777" w:rsidR="00451F12" w:rsidRDefault="00451F12" w:rsidP="000954C1">
            <w:pPr>
              <w:rPr>
                <w:rFonts w:cs="Arial"/>
              </w:rPr>
            </w:pPr>
            <w:r>
              <w:rPr>
                <w:rFonts w:cs="Arial"/>
              </w:rPr>
              <w:t xml:space="preserve">Identify opportunities for partnerships to support the inclusiveness of the education system for young people of all </w:t>
            </w:r>
            <w:r>
              <w:rPr>
                <w:rFonts w:cs="Arial"/>
              </w:rPr>
              <w:lastRenderedPageBreak/>
              <w:t>racial and ethnic backgrounds</w:t>
            </w:r>
          </w:p>
        </w:tc>
      </w:tr>
      <w:tr w:rsidR="00451F12" w14:paraId="24D533FA" w14:textId="77777777" w:rsidTr="008F6844">
        <w:tc>
          <w:tcPr>
            <w:tcW w:w="2476" w:type="dxa"/>
            <w:vMerge/>
            <w:tcBorders>
              <w:top w:val="single" w:sz="12" w:space="0" w:color="auto"/>
              <w:left w:val="single" w:sz="12" w:space="0" w:color="auto"/>
              <w:bottom w:val="single" w:sz="12" w:space="0" w:color="auto"/>
              <w:right w:val="single" w:sz="4" w:space="0" w:color="auto"/>
            </w:tcBorders>
            <w:vAlign w:val="center"/>
            <w:hideMark/>
          </w:tcPr>
          <w:p w14:paraId="39042A94" w14:textId="77777777" w:rsidR="00451F12" w:rsidRDefault="00451F12" w:rsidP="000954C1">
            <w:pPr>
              <w:spacing w:after="0"/>
              <w:rPr>
                <w:rFonts w:ascii="Arial" w:eastAsia="Times New Roman" w:hAnsi="Arial"/>
              </w:rPr>
            </w:pPr>
          </w:p>
        </w:tc>
        <w:tc>
          <w:tcPr>
            <w:tcW w:w="3023" w:type="dxa"/>
            <w:tcBorders>
              <w:top w:val="single" w:sz="4" w:space="0" w:color="auto"/>
              <w:left w:val="single" w:sz="4" w:space="0" w:color="auto"/>
              <w:bottom w:val="single" w:sz="4" w:space="0" w:color="auto"/>
              <w:right w:val="single" w:sz="4" w:space="0" w:color="auto"/>
            </w:tcBorders>
            <w:vAlign w:val="center"/>
            <w:hideMark/>
          </w:tcPr>
          <w:p w14:paraId="6FE24329" w14:textId="77777777" w:rsidR="00451F12" w:rsidRDefault="00451F12" w:rsidP="000954C1">
            <w:pPr>
              <w:rPr>
                <w:rFonts w:eastAsia="Times New Roman"/>
                <w:b/>
              </w:rPr>
            </w:pPr>
            <w:r>
              <w:rPr>
                <w:rFonts w:eastAsia="Times New Roman"/>
                <w:b/>
              </w:rPr>
              <w:t>Investing in language proficiency and competency</w:t>
            </w:r>
          </w:p>
        </w:tc>
        <w:tc>
          <w:tcPr>
            <w:tcW w:w="2989" w:type="dxa"/>
            <w:tcBorders>
              <w:top w:val="single" w:sz="4" w:space="0" w:color="auto"/>
              <w:left w:val="single" w:sz="4" w:space="0" w:color="auto"/>
              <w:bottom w:val="single" w:sz="4" w:space="0" w:color="auto"/>
              <w:right w:val="single" w:sz="12" w:space="0" w:color="auto"/>
            </w:tcBorders>
            <w:hideMark/>
          </w:tcPr>
          <w:p w14:paraId="56375C1A" w14:textId="77777777" w:rsidR="00451F12" w:rsidRDefault="00451F12" w:rsidP="000954C1">
            <w:r>
              <w:t>Engage with the settlement sector to address barriers to the use of qualified interpreters in service delivery</w:t>
            </w:r>
          </w:p>
        </w:tc>
      </w:tr>
      <w:tr w:rsidR="00451F12" w14:paraId="5D489B19" w14:textId="77777777" w:rsidTr="008F6844">
        <w:tc>
          <w:tcPr>
            <w:tcW w:w="2476" w:type="dxa"/>
            <w:vMerge/>
            <w:tcBorders>
              <w:top w:val="single" w:sz="12" w:space="0" w:color="auto"/>
              <w:left w:val="single" w:sz="12" w:space="0" w:color="auto"/>
              <w:bottom w:val="single" w:sz="12" w:space="0" w:color="auto"/>
              <w:right w:val="single" w:sz="4" w:space="0" w:color="auto"/>
            </w:tcBorders>
            <w:vAlign w:val="center"/>
            <w:hideMark/>
          </w:tcPr>
          <w:p w14:paraId="2237D231" w14:textId="77777777" w:rsidR="00451F12" w:rsidRDefault="00451F12" w:rsidP="000954C1">
            <w:pPr>
              <w:spacing w:after="0"/>
              <w:rPr>
                <w:rFonts w:ascii="Arial" w:eastAsia="Times New Roman" w:hAnsi="Arial"/>
              </w:rPr>
            </w:pPr>
          </w:p>
        </w:tc>
        <w:tc>
          <w:tcPr>
            <w:tcW w:w="3023" w:type="dxa"/>
            <w:tcBorders>
              <w:top w:val="single" w:sz="4" w:space="0" w:color="auto"/>
              <w:left w:val="single" w:sz="4" w:space="0" w:color="auto"/>
              <w:bottom w:val="single" w:sz="12" w:space="0" w:color="auto"/>
              <w:right w:val="single" w:sz="4" w:space="0" w:color="auto"/>
            </w:tcBorders>
            <w:vAlign w:val="center"/>
          </w:tcPr>
          <w:p w14:paraId="52876982" w14:textId="77777777" w:rsidR="00451F12" w:rsidRDefault="00451F12" w:rsidP="000954C1">
            <w:pPr>
              <w:rPr>
                <w:rFonts w:eastAsia="Times New Roman"/>
              </w:rPr>
            </w:pPr>
            <w:r>
              <w:rPr>
                <w:rFonts w:eastAsia="Times New Roman"/>
                <w:b/>
              </w:rPr>
              <w:t>Improving cultural competence for appropriate and quality service provision</w:t>
            </w:r>
          </w:p>
        </w:tc>
        <w:tc>
          <w:tcPr>
            <w:tcW w:w="2989" w:type="dxa"/>
            <w:tcBorders>
              <w:top w:val="single" w:sz="4" w:space="0" w:color="auto"/>
              <w:left w:val="single" w:sz="4" w:space="0" w:color="auto"/>
              <w:bottom w:val="single" w:sz="12" w:space="0" w:color="auto"/>
              <w:right w:val="single" w:sz="12" w:space="0" w:color="auto"/>
            </w:tcBorders>
            <w:hideMark/>
          </w:tcPr>
          <w:p w14:paraId="2FE7738C" w14:textId="77777777" w:rsidR="00451F12" w:rsidRDefault="00451F12" w:rsidP="000954C1">
            <w:pPr>
              <w:rPr>
                <w:rFonts w:eastAsia="Times New Roman"/>
              </w:rPr>
            </w:pPr>
            <w:r>
              <w:rPr>
                <w:rFonts w:eastAsia="Times New Roman"/>
              </w:rPr>
              <w:t>Partner with public sector agencies to improve cultural competency in the delivery of government services</w:t>
            </w:r>
          </w:p>
        </w:tc>
      </w:tr>
      <w:tr w:rsidR="00451F12" w14:paraId="1C36F4A0" w14:textId="77777777" w:rsidTr="008F6844">
        <w:tc>
          <w:tcPr>
            <w:tcW w:w="2476" w:type="dxa"/>
            <w:vMerge w:val="restart"/>
            <w:tcBorders>
              <w:top w:val="single" w:sz="12" w:space="0" w:color="auto"/>
              <w:left w:val="single" w:sz="12" w:space="0" w:color="auto"/>
              <w:bottom w:val="single" w:sz="12" w:space="0" w:color="auto"/>
              <w:right w:val="single" w:sz="4" w:space="0" w:color="auto"/>
            </w:tcBorders>
            <w:vAlign w:val="center"/>
          </w:tcPr>
          <w:p w14:paraId="4572F4BC" w14:textId="77777777" w:rsidR="00451F12" w:rsidRDefault="00451F12" w:rsidP="000954C1">
            <w:pPr>
              <w:jc w:val="center"/>
              <w:rPr>
                <w:rFonts w:eastAsia="Times New Roman"/>
                <w:b/>
                <w:sz w:val="28"/>
                <w:szCs w:val="28"/>
              </w:rPr>
            </w:pPr>
          </w:p>
          <w:p w14:paraId="6623A44A" w14:textId="77777777" w:rsidR="00451F12" w:rsidRDefault="00451F12" w:rsidP="000954C1">
            <w:pPr>
              <w:jc w:val="center"/>
              <w:rPr>
                <w:rFonts w:eastAsia="Times New Roman"/>
                <w:b/>
                <w:sz w:val="28"/>
                <w:szCs w:val="28"/>
              </w:rPr>
            </w:pPr>
            <w:r>
              <w:rPr>
                <w:rFonts w:eastAsia="Times New Roman"/>
                <w:b/>
                <w:sz w:val="28"/>
                <w:szCs w:val="28"/>
              </w:rPr>
              <w:t>Building a strong legal framework</w:t>
            </w:r>
          </w:p>
          <w:p w14:paraId="00629C7A" w14:textId="77777777" w:rsidR="00451F12" w:rsidRDefault="00451F12" w:rsidP="000954C1">
            <w:pPr>
              <w:widowControl w:val="0"/>
              <w:autoSpaceDE w:val="0"/>
              <w:autoSpaceDN w:val="0"/>
              <w:adjustRightInd w:val="0"/>
              <w:jc w:val="center"/>
              <w:rPr>
                <w:rFonts w:eastAsia="Times New Roman"/>
              </w:rPr>
            </w:pPr>
          </w:p>
        </w:tc>
        <w:tc>
          <w:tcPr>
            <w:tcW w:w="3023" w:type="dxa"/>
            <w:tcBorders>
              <w:top w:val="single" w:sz="12" w:space="0" w:color="auto"/>
              <w:left w:val="single" w:sz="4" w:space="0" w:color="auto"/>
              <w:bottom w:val="single" w:sz="4" w:space="0" w:color="auto"/>
              <w:right w:val="single" w:sz="4" w:space="0" w:color="auto"/>
            </w:tcBorders>
            <w:vAlign w:val="center"/>
          </w:tcPr>
          <w:p w14:paraId="6219B5E1" w14:textId="77777777" w:rsidR="00451F12" w:rsidRDefault="00451F12" w:rsidP="000954C1">
            <w:pPr>
              <w:rPr>
                <w:rFonts w:eastAsia="Times New Roman"/>
                <w:b/>
              </w:rPr>
            </w:pPr>
          </w:p>
          <w:p w14:paraId="0F637679" w14:textId="77777777" w:rsidR="00451F12" w:rsidRDefault="00451F12" w:rsidP="000954C1">
            <w:pPr>
              <w:rPr>
                <w:rFonts w:eastAsia="Times New Roman"/>
                <w:b/>
              </w:rPr>
            </w:pPr>
            <w:r>
              <w:rPr>
                <w:rFonts w:eastAsia="Times New Roman"/>
                <w:b/>
              </w:rPr>
              <w:t>Improving protections against discrimination</w:t>
            </w:r>
          </w:p>
          <w:p w14:paraId="75C4B9E0" w14:textId="77777777" w:rsidR="00451F12" w:rsidRDefault="00451F12" w:rsidP="000954C1">
            <w:pPr>
              <w:rPr>
                <w:rFonts w:eastAsia="Times New Roman"/>
              </w:rPr>
            </w:pPr>
          </w:p>
        </w:tc>
        <w:tc>
          <w:tcPr>
            <w:tcW w:w="2989" w:type="dxa"/>
            <w:tcBorders>
              <w:top w:val="single" w:sz="12" w:space="0" w:color="auto"/>
              <w:left w:val="single" w:sz="4" w:space="0" w:color="auto"/>
              <w:bottom w:val="single" w:sz="4" w:space="0" w:color="auto"/>
              <w:right w:val="single" w:sz="12" w:space="0" w:color="auto"/>
            </w:tcBorders>
            <w:hideMark/>
          </w:tcPr>
          <w:p w14:paraId="171BAFE0" w14:textId="77777777" w:rsidR="00451F12" w:rsidRDefault="00451F12" w:rsidP="000954C1">
            <w:pPr>
              <w:rPr>
                <w:rFonts w:eastAsia="Times New Roman"/>
              </w:rPr>
            </w:pPr>
            <w:r>
              <w:rPr>
                <w:rFonts w:eastAsia="Times New Roman"/>
              </w:rPr>
              <w:t>Develop resources to help business understand and comply with their obligations regarding racial discrimination under Federal law</w:t>
            </w:r>
          </w:p>
        </w:tc>
      </w:tr>
      <w:tr w:rsidR="00451F12" w14:paraId="6FA8B631" w14:textId="77777777" w:rsidTr="008F6844">
        <w:tc>
          <w:tcPr>
            <w:tcW w:w="2476" w:type="dxa"/>
            <w:vMerge/>
            <w:tcBorders>
              <w:top w:val="single" w:sz="12" w:space="0" w:color="auto"/>
              <w:left w:val="single" w:sz="12" w:space="0" w:color="auto"/>
              <w:bottom w:val="single" w:sz="12" w:space="0" w:color="auto"/>
              <w:right w:val="single" w:sz="4" w:space="0" w:color="auto"/>
            </w:tcBorders>
            <w:vAlign w:val="center"/>
            <w:hideMark/>
          </w:tcPr>
          <w:p w14:paraId="03536636" w14:textId="77777777" w:rsidR="00451F12" w:rsidRDefault="00451F12" w:rsidP="000954C1">
            <w:pPr>
              <w:spacing w:after="0"/>
              <w:rPr>
                <w:rFonts w:ascii="Arial" w:eastAsia="Times New Roman" w:hAnsi="Arial"/>
              </w:rPr>
            </w:pPr>
          </w:p>
        </w:tc>
        <w:tc>
          <w:tcPr>
            <w:tcW w:w="3023" w:type="dxa"/>
            <w:tcBorders>
              <w:top w:val="single" w:sz="4" w:space="0" w:color="auto"/>
              <w:left w:val="single" w:sz="4" w:space="0" w:color="auto"/>
              <w:bottom w:val="single" w:sz="4" w:space="0" w:color="auto"/>
              <w:right w:val="single" w:sz="4" w:space="0" w:color="auto"/>
            </w:tcBorders>
            <w:vAlign w:val="center"/>
          </w:tcPr>
          <w:p w14:paraId="3184CF0E" w14:textId="77777777" w:rsidR="00451F12" w:rsidRDefault="00451F12" w:rsidP="000954C1">
            <w:pPr>
              <w:rPr>
                <w:rFonts w:eastAsia="Times New Roman"/>
                <w:b/>
              </w:rPr>
            </w:pPr>
          </w:p>
          <w:p w14:paraId="4F0810B9" w14:textId="77777777" w:rsidR="00451F12" w:rsidRDefault="00451F12" w:rsidP="000954C1">
            <w:pPr>
              <w:rPr>
                <w:rFonts w:eastAsia="Times New Roman"/>
                <w:b/>
              </w:rPr>
            </w:pPr>
            <w:r>
              <w:rPr>
                <w:rFonts w:eastAsia="Times New Roman"/>
                <w:b/>
              </w:rPr>
              <w:t>Constitutional Recognition of Aboriginal and Torres Strait Islander peoples</w:t>
            </w:r>
          </w:p>
        </w:tc>
        <w:tc>
          <w:tcPr>
            <w:tcW w:w="2989" w:type="dxa"/>
            <w:tcBorders>
              <w:top w:val="single" w:sz="4" w:space="0" w:color="auto"/>
              <w:left w:val="single" w:sz="4" w:space="0" w:color="auto"/>
              <w:bottom w:val="single" w:sz="4" w:space="0" w:color="auto"/>
              <w:right w:val="single" w:sz="12" w:space="0" w:color="auto"/>
            </w:tcBorders>
            <w:hideMark/>
          </w:tcPr>
          <w:p w14:paraId="03766260" w14:textId="77777777" w:rsidR="00451F12" w:rsidRDefault="00451F12" w:rsidP="000954C1">
            <w:pPr>
              <w:rPr>
                <w:rFonts w:eastAsia="Times New Roman"/>
              </w:rPr>
            </w:pPr>
            <w:r>
              <w:rPr>
                <w:rFonts w:eastAsia="Times New Roman"/>
              </w:rPr>
              <w:t>Support the community education campaign for constitutional recognition of Aboriginal and Torres Strait Islander peoples</w:t>
            </w:r>
          </w:p>
        </w:tc>
      </w:tr>
      <w:tr w:rsidR="00451F12" w14:paraId="646372C4" w14:textId="77777777" w:rsidTr="008F6844">
        <w:tc>
          <w:tcPr>
            <w:tcW w:w="2476" w:type="dxa"/>
            <w:vMerge/>
            <w:tcBorders>
              <w:top w:val="single" w:sz="12" w:space="0" w:color="auto"/>
              <w:left w:val="single" w:sz="12" w:space="0" w:color="auto"/>
              <w:bottom w:val="single" w:sz="12" w:space="0" w:color="auto"/>
              <w:right w:val="single" w:sz="4" w:space="0" w:color="auto"/>
            </w:tcBorders>
            <w:vAlign w:val="center"/>
            <w:hideMark/>
          </w:tcPr>
          <w:p w14:paraId="36627448" w14:textId="77777777" w:rsidR="00451F12" w:rsidRDefault="00451F12" w:rsidP="000954C1">
            <w:pPr>
              <w:spacing w:after="0"/>
              <w:rPr>
                <w:rFonts w:ascii="Arial" w:eastAsia="Times New Roman" w:hAnsi="Arial"/>
              </w:rPr>
            </w:pPr>
          </w:p>
        </w:tc>
        <w:tc>
          <w:tcPr>
            <w:tcW w:w="3023" w:type="dxa"/>
            <w:tcBorders>
              <w:top w:val="single" w:sz="4" w:space="0" w:color="auto"/>
              <w:left w:val="single" w:sz="4" w:space="0" w:color="auto"/>
              <w:bottom w:val="single" w:sz="4" w:space="0" w:color="auto"/>
              <w:right w:val="single" w:sz="4" w:space="0" w:color="auto"/>
            </w:tcBorders>
            <w:vAlign w:val="center"/>
          </w:tcPr>
          <w:p w14:paraId="7A13B902" w14:textId="77777777" w:rsidR="00451F12" w:rsidRDefault="00451F12" w:rsidP="000954C1">
            <w:pPr>
              <w:rPr>
                <w:rFonts w:eastAsia="Times New Roman"/>
                <w:b/>
              </w:rPr>
            </w:pPr>
            <w:r>
              <w:rPr>
                <w:rFonts w:eastAsia="Times New Roman"/>
                <w:b/>
              </w:rPr>
              <w:t xml:space="preserve">Implementation of the Declaration of the Rights of Indigenous Peoples </w:t>
            </w:r>
          </w:p>
          <w:p w14:paraId="61AD6D2C" w14:textId="77777777" w:rsidR="00451F12" w:rsidRDefault="00451F12" w:rsidP="000954C1">
            <w:pPr>
              <w:rPr>
                <w:rFonts w:eastAsia="Times New Roman"/>
              </w:rPr>
            </w:pPr>
          </w:p>
        </w:tc>
        <w:tc>
          <w:tcPr>
            <w:tcW w:w="2989" w:type="dxa"/>
            <w:tcBorders>
              <w:top w:val="single" w:sz="4" w:space="0" w:color="auto"/>
              <w:left w:val="single" w:sz="4" w:space="0" w:color="auto"/>
              <w:bottom w:val="single" w:sz="4" w:space="0" w:color="auto"/>
              <w:right w:val="single" w:sz="12" w:space="0" w:color="auto"/>
            </w:tcBorders>
            <w:hideMark/>
          </w:tcPr>
          <w:p w14:paraId="55421D1B" w14:textId="77777777" w:rsidR="00451F12" w:rsidRDefault="00451F12" w:rsidP="000954C1">
            <w:pPr>
              <w:rPr>
                <w:rFonts w:eastAsia="Times New Roman"/>
              </w:rPr>
            </w:pPr>
            <w:r>
              <w:rPr>
                <w:rFonts w:eastAsia="Times New Roman"/>
              </w:rPr>
              <w:lastRenderedPageBreak/>
              <w:t>Advocate for the implementation of the Declaration of the Rights of Indigenous Peoples.</w:t>
            </w:r>
          </w:p>
        </w:tc>
      </w:tr>
      <w:tr w:rsidR="00451F12" w14:paraId="3B54B384" w14:textId="77777777" w:rsidTr="008F6844">
        <w:tc>
          <w:tcPr>
            <w:tcW w:w="2476" w:type="dxa"/>
            <w:vMerge/>
            <w:tcBorders>
              <w:top w:val="single" w:sz="12" w:space="0" w:color="auto"/>
              <w:left w:val="single" w:sz="12" w:space="0" w:color="auto"/>
              <w:bottom w:val="single" w:sz="12" w:space="0" w:color="auto"/>
              <w:right w:val="single" w:sz="4" w:space="0" w:color="auto"/>
            </w:tcBorders>
            <w:vAlign w:val="center"/>
            <w:hideMark/>
          </w:tcPr>
          <w:p w14:paraId="5636C0DD" w14:textId="77777777" w:rsidR="00451F12" w:rsidRDefault="00451F12" w:rsidP="000954C1">
            <w:pPr>
              <w:spacing w:after="0"/>
              <w:rPr>
                <w:rFonts w:ascii="Arial" w:eastAsia="Times New Roman" w:hAnsi="Arial"/>
              </w:rPr>
            </w:pPr>
          </w:p>
        </w:tc>
        <w:tc>
          <w:tcPr>
            <w:tcW w:w="3023" w:type="dxa"/>
            <w:tcBorders>
              <w:top w:val="single" w:sz="4" w:space="0" w:color="auto"/>
              <w:left w:val="single" w:sz="4" w:space="0" w:color="auto"/>
              <w:bottom w:val="single" w:sz="12" w:space="0" w:color="auto"/>
              <w:right w:val="single" w:sz="4" w:space="0" w:color="auto"/>
            </w:tcBorders>
            <w:vAlign w:val="center"/>
            <w:hideMark/>
          </w:tcPr>
          <w:p w14:paraId="0D91BB33" w14:textId="77777777" w:rsidR="00451F12" w:rsidRDefault="00451F12" w:rsidP="000954C1">
            <w:pPr>
              <w:rPr>
                <w:rFonts w:eastAsia="Times New Roman"/>
                <w:b/>
              </w:rPr>
            </w:pPr>
            <w:r>
              <w:rPr>
                <w:rFonts w:eastAsia="Times New Roman"/>
                <w:b/>
              </w:rPr>
              <w:t>Protection of workplace rights for all people, including temporary migrant workers</w:t>
            </w:r>
          </w:p>
        </w:tc>
        <w:tc>
          <w:tcPr>
            <w:tcW w:w="2989" w:type="dxa"/>
            <w:tcBorders>
              <w:top w:val="single" w:sz="4" w:space="0" w:color="auto"/>
              <w:left w:val="single" w:sz="4" w:space="0" w:color="auto"/>
              <w:bottom w:val="single" w:sz="12" w:space="0" w:color="auto"/>
              <w:right w:val="single" w:sz="12" w:space="0" w:color="auto"/>
            </w:tcBorders>
            <w:hideMark/>
          </w:tcPr>
          <w:p w14:paraId="2AC74FFF" w14:textId="77777777" w:rsidR="00451F12" w:rsidRDefault="00451F12" w:rsidP="000954C1">
            <w:pPr>
              <w:widowControl w:val="0"/>
              <w:autoSpaceDE w:val="0"/>
              <w:autoSpaceDN w:val="0"/>
              <w:adjustRightInd w:val="0"/>
              <w:rPr>
                <w:rFonts w:cs="Arial"/>
              </w:rPr>
            </w:pPr>
            <w:r>
              <w:rPr>
                <w:rFonts w:cs="Arial"/>
              </w:rPr>
              <w:t>Work with employer bodies, unions, and other regulators to identify and address practices which may contribute to employment discrimination</w:t>
            </w:r>
          </w:p>
        </w:tc>
      </w:tr>
      <w:tr w:rsidR="00451F12" w14:paraId="38E7EEAF" w14:textId="77777777" w:rsidTr="008F6844">
        <w:tc>
          <w:tcPr>
            <w:tcW w:w="2476" w:type="dxa"/>
            <w:vMerge w:val="restart"/>
            <w:tcBorders>
              <w:top w:val="single" w:sz="12" w:space="0" w:color="auto"/>
              <w:left w:val="single" w:sz="12" w:space="0" w:color="auto"/>
              <w:bottom w:val="single" w:sz="12" w:space="0" w:color="auto"/>
              <w:right w:val="single" w:sz="4" w:space="0" w:color="auto"/>
            </w:tcBorders>
            <w:vAlign w:val="center"/>
          </w:tcPr>
          <w:p w14:paraId="3B77AC8A" w14:textId="77777777" w:rsidR="00451F12" w:rsidRDefault="00451F12" w:rsidP="000954C1">
            <w:pPr>
              <w:jc w:val="center"/>
              <w:rPr>
                <w:rFonts w:eastAsia="Times New Roman"/>
                <w:b/>
                <w:sz w:val="28"/>
                <w:szCs w:val="28"/>
              </w:rPr>
            </w:pPr>
          </w:p>
          <w:p w14:paraId="7922FEF3" w14:textId="77777777" w:rsidR="00451F12" w:rsidRDefault="00451F12" w:rsidP="000954C1">
            <w:pPr>
              <w:jc w:val="center"/>
              <w:rPr>
                <w:rFonts w:eastAsia="Times New Roman"/>
                <w:b/>
                <w:sz w:val="28"/>
                <w:szCs w:val="28"/>
              </w:rPr>
            </w:pPr>
          </w:p>
          <w:p w14:paraId="4E9BA1CB" w14:textId="77777777" w:rsidR="00451F12" w:rsidRDefault="00451F12" w:rsidP="000954C1">
            <w:pPr>
              <w:rPr>
                <w:rFonts w:eastAsia="Times New Roman"/>
                <w:b/>
                <w:sz w:val="28"/>
                <w:szCs w:val="28"/>
              </w:rPr>
            </w:pPr>
          </w:p>
          <w:p w14:paraId="439AC9C7" w14:textId="77777777" w:rsidR="00451F12" w:rsidRDefault="00451F12" w:rsidP="000954C1">
            <w:pPr>
              <w:jc w:val="center"/>
              <w:rPr>
                <w:rFonts w:eastAsia="Times New Roman"/>
                <w:b/>
                <w:sz w:val="28"/>
                <w:szCs w:val="28"/>
              </w:rPr>
            </w:pPr>
          </w:p>
          <w:p w14:paraId="243BB9C0" w14:textId="77777777" w:rsidR="00451F12" w:rsidRDefault="00451F12" w:rsidP="000954C1">
            <w:pPr>
              <w:jc w:val="center"/>
              <w:rPr>
                <w:rFonts w:eastAsia="Times New Roman"/>
                <w:b/>
                <w:sz w:val="28"/>
                <w:szCs w:val="28"/>
              </w:rPr>
            </w:pPr>
            <w:r>
              <w:rPr>
                <w:rFonts w:eastAsia="Times New Roman"/>
                <w:b/>
                <w:sz w:val="28"/>
                <w:szCs w:val="28"/>
              </w:rPr>
              <w:t>Preventing racism and racial hatred</w:t>
            </w:r>
          </w:p>
          <w:p w14:paraId="2251C827" w14:textId="77777777" w:rsidR="00451F12" w:rsidRDefault="00451F12" w:rsidP="000954C1">
            <w:pPr>
              <w:jc w:val="center"/>
              <w:rPr>
                <w:rFonts w:eastAsia="Times New Roman"/>
              </w:rPr>
            </w:pPr>
          </w:p>
          <w:p w14:paraId="36784BFF" w14:textId="77777777" w:rsidR="00451F12" w:rsidRDefault="00451F12" w:rsidP="000954C1">
            <w:pPr>
              <w:jc w:val="center"/>
              <w:rPr>
                <w:rFonts w:eastAsia="Times New Roman"/>
              </w:rPr>
            </w:pPr>
          </w:p>
          <w:p w14:paraId="40084895" w14:textId="77777777" w:rsidR="00451F12" w:rsidRDefault="00451F12" w:rsidP="000954C1">
            <w:pPr>
              <w:jc w:val="center"/>
              <w:rPr>
                <w:rFonts w:eastAsia="Times New Roman"/>
              </w:rPr>
            </w:pPr>
          </w:p>
          <w:p w14:paraId="18D558E5" w14:textId="77777777" w:rsidR="00451F12" w:rsidRDefault="00451F12" w:rsidP="000954C1">
            <w:pPr>
              <w:jc w:val="center"/>
              <w:rPr>
                <w:rFonts w:eastAsia="Times New Roman"/>
              </w:rPr>
            </w:pPr>
          </w:p>
          <w:p w14:paraId="4BBFF7B9" w14:textId="77777777" w:rsidR="00451F12" w:rsidRDefault="00451F12" w:rsidP="000954C1">
            <w:pPr>
              <w:rPr>
                <w:rFonts w:eastAsia="Times New Roman"/>
              </w:rPr>
            </w:pPr>
          </w:p>
          <w:p w14:paraId="1E8F4655" w14:textId="77777777" w:rsidR="00451F12" w:rsidRDefault="00451F12" w:rsidP="000954C1">
            <w:pPr>
              <w:jc w:val="center"/>
              <w:rPr>
                <w:rFonts w:eastAsia="Times New Roman"/>
              </w:rPr>
            </w:pPr>
          </w:p>
        </w:tc>
        <w:tc>
          <w:tcPr>
            <w:tcW w:w="3023" w:type="dxa"/>
            <w:tcBorders>
              <w:top w:val="single" w:sz="12" w:space="0" w:color="auto"/>
              <w:left w:val="single" w:sz="4" w:space="0" w:color="auto"/>
              <w:bottom w:val="single" w:sz="4" w:space="0" w:color="auto"/>
              <w:right w:val="single" w:sz="4" w:space="0" w:color="auto"/>
            </w:tcBorders>
            <w:vAlign w:val="center"/>
          </w:tcPr>
          <w:p w14:paraId="7989E159" w14:textId="77777777" w:rsidR="00451F12" w:rsidRDefault="00451F12" w:rsidP="000954C1">
            <w:pPr>
              <w:rPr>
                <w:rFonts w:eastAsia="Times New Roman"/>
                <w:b/>
                <w:sz w:val="28"/>
                <w:szCs w:val="28"/>
              </w:rPr>
            </w:pPr>
            <w:r>
              <w:rPr>
                <w:rFonts w:eastAsia="Times New Roman"/>
                <w:b/>
              </w:rPr>
              <w:t>Raising awareness of racism and supporting responses to it</w:t>
            </w:r>
          </w:p>
          <w:p w14:paraId="3997158F" w14:textId="77777777" w:rsidR="00451F12" w:rsidRDefault="00451F12" w:rsidP="000954C1">
            <w:pPr>
              <w:rPr>
                <w:rFonts w:eastAsia="Times New Roman"/>
                <w:b/>
              </w:rPr>
            </w:pPr>
          </w:p>
          <w:p w14:paraId="7422DD19" w14:textId="77777777" w:rsidR="00451F12" w:rsidRDefault="00451F12" w:rsidP="000954C1">
            <w:pPr>
              <w:rPr>
                <w:rFonts w:eastAsia="Times New Roman"/>
              </w:rPr>
            </w:pPr>
          </w:p>
        </w:tc>
        <w:tc>
          <w:tcPr>
            <w:tcW w:w="2989" w:type="dxa"/>
            <w:tcBorders>
              <w:top w:val="single" w:sz="12" w:space="0" w:color="auto"/>
              <w:left w:val="single" w:sz="4" w:space="0" w:color="auto"/>
              <w:bottom w:val="single" w:sz="4" w:space="0" w:color="auto"/>
              <w:right w:val="single" w:sz="12" w:space="0" w:color="auto"/>
            </w:tcBorders>
            <w:hideMark/>
          </w:tcPr>
          <w:p w14:paraId="7888F33A" w14:textId="77777777" w:rsidR="00451F12" w:rsidRDefault="00451F12" w:rsidP="000954C1">
            <w:pPr>
              <w:rPr>
                <w:rFonts w:eastAsia="Times New Roman" w:cs="Arial"/>
              </w:rPr>
            </w:pPr>
            <w:r>
              <w:rPr>
                <w:rFonts w:eastAsia="Times New Roman" w:cs="Arial"/>
              </w:rPr>
              <w:t>Implementation of the National Anti-Racism Strategy with a particular focus on young people</w:t>
            </w:r>
          </w:p>
        </w:tc>
      </w:tr>
      <w:tr w:rsidR="00451F12" w14:paraId="593ACAD1" w14:textId="77777777" w:rsidTr="008F6844">
        <w:tc>
          <w:tcPr>
            <w:tcW w:w="2476" w:type="dxa"/>
            <w:vMerge/>
            <w:tcBorders>
              <w:top w:val="single" w:sz="12" w:space="0" w:color="auto"/>
              <w:left w:val="single" w:sz="12" w:space="0" w:color="auto"/>
              <w:bottom w:val="single" w:sz="12" w:space="0" w:color="auto"/>
              <w:right w:val="single" w:sz="4" w:space="0" w:color="auto"/>
            </w:tcBorders>
            <w:vAlign w:val="center"/>
            <w:hideMark/>
          </w:tcPr>
          <w:p w14:paraId="34BC77BB" w14:textId="77777777" w:rsidR="00451F12" w:rsidRDefault="00451F12" w:rsidP="000954C1">
            <w:pPr>
              <w:spacing w:after="0"/>
              <w:rPr>
                <w:rFonts w:ascii="Arial" w:eastAsia="Times New Roman" w:hAnsi="Arial"/>
              </w:rPr>
            </w:pPr>
          </w:p>
        </w:tc>
        <w:tc>
          <w:tcPr>
            <w:tcW w:w="3023" w:type="dxa"/>
            <w:tcBorders>
              <w:top w:val="single" w:sz="4" w:space="0" w:color="auto"/>
              <w:left w:val="single" w:sz="4" w:space="0" w:color="auto"/>
              <w:bottom w:val="single" w:sz="4" w:space="0" w:color="auto"/>
              <w:right w:val="single" w:sz="4" w:space="0" w:color="auto"/>
            </w:tcBorders>
            <w:vAlign w:val="center"/>
            <w:hideMark/>
          </w:tcPr>
          <w:p w14:paraId="3D4A17B3" w14:textId="77777777" w:rsidR="00451F12" w:rsidRDefault="00451F12" w:rsidP="000954C1">
            <w:pPr>
              <w:rPr>
                <w:rFonts w:eastAsia="Times New Roman"/>
              </w:rPr>
            </w:pPr>
            <w:r>
              <w:rPr>
                <w:rFonts w:eastAsia="Times New Roman"/>
                <w:b/>
              </w:rPr>
              <w:t>Combating cyber racism as an emerging form of bullying and racial hatred</w:t>
            </w:r>
          </w:p>
        </w:tc>
        <w:tc>
          <w:tcPr>
            <w:tcW w:w="2989" w:type="dxa"/>
            <w:tcBorders>
              <w:top w:val="single" w:sz="4" w:space="0" w:color="auto"/>
              <w:left w:val="single" w:sz="4" w:space="0" w:color="auto"/>
              <w:bottom w:val="single" w:sz="4" w:space="0" w:color="auto"/>
              <w:right w:val="single" w:sz="12" w:space="0" w:color="auto"/>
            </w:tcBorders>
            <w:hideMark/>
          </w:tcPr>
          <w:p w14:paraId="5E7C14E7" w14:textId="77777777" w:rsidR="00451F12" w:rsidRDefault="00451F12" w:rsidP="000954C1">
            <w:pPr>
              <w:rPr>
                <w:rFonts w:eastAsia="Times New Roman"/>
              </w:rPr>
            </w:pPr>
            <w:r>
              <w:rPr>
                <w:rFonts w:eastAsia="Times New Roman"/>
              </w:rPr>
              <w:t>Build on previous work of the Commission to improve industry, regulatory and community responses to cyber-racism</w:t>
            </w:r>
          </w:p>
        </w:tc>
      </w:tr>
      <w:tr w:rsidR="00451F12" w14:paraId="52C4C7CD" w14:textId="77777777" w:rsidTr="008F6844">
        <w:trPr>
          <w:trHeight w:val="1146"/>
        </w:trPr>
        <w:tc>
          <w:tcPr>
            <w:tcW w:w="2476" w:type="dxa"/>
            <w:vMerge/>
            <w:tcBorders>
              <w:top w:val="single" w:sz="12" w:space="0" w:color="auto"/>
              <w:left w:val="single" w:sz="12" w:space="0" w:color="auto"/>
              <w:bottom w:val="single" w:sz="12" w:space="0" w:color="auto"/>
              <w:right w:val="single" w:sz="4" w:space="0" w:color="auto"/>
            </w:tcBorders>
            <w:vAlign w:val="center"/>
            <w:hideMark/>
          </w:tcPr>
          <w:p w14:paraId="3F839927" w14:textId="77777777" w:rsidR="00451F12" w:rsidRDefault="00451F12" w:rsidP="000954C1">
            <w:pPr>
              <w:spacing w:after="0"/>
              <w:rPr>
                <w:rFonts w:ascii="Arial" w:eastAsia="Times New Roman" w:hAnsi="Arial"/>
              </w:rPr>
            </w:pPr>
          </w:p>
        </w:tc>
        <w:tc>
          <w:tcPr>
            <w:tcW w:w="3023" w:type="dxa"/>
            <w:tcBorders>
              <w:top w:val="single" w:sz="4" w:space="0" w:color="auto"/>
              <w:left w:val="single" w:sz="4" w:space="0" w:color="auto"/>
              <w:bottom w:val="single" w:sz="12" w:space="0" w:color="auto"/>
              <w:right w:val="single" w:sz="4" w:space="0" w:color="auto"/>
            </w:tcBorders>
            <w:vAlign w:val="center"/>
          </w:tcPr>
          <w:p w14:paraId="36975638" w14:textId="77777777" w:rsidR="00451F12" w:rsidRDefault="00451F12" w:rsidP="000954C1">
            <w:pPr>
              <w:rPr>
                <w:rFonts w:eastAsia="Times New Roman"/>
                <w:b/>
              </w:rPr>
            </w:pPr>
            <w:r>
              <w:rPr>
                <w:rFonts w:eastAsia="Times New Roman"/>
                <w:b/>
              </w:rPr>
              <w:t>Improving responses to racial hatred and violence</w:t>
            </w:r>
          </w:p>
          <w:p w14:paraId="66D36F25" w14:textId="77777777" w:rsidR="00451F12" w:rsidRDefault="00451F12" w:rsidP="000954C1">
            <w:pPr>
              <w:rPr>
                <w:rFonts w:eastAsia="Times New Roman"/>
              </w:rPr>
            </w:pPr>
          </w:p>
        </w:tc>
        <w:tc>
          <w:tcPr>
            <w:tcW w:w="2989" w:type="dxa"/>
            <w:tcBorders>
              <w:top w:val="single" w:sz="4" w:space="0" w:color="auto"/>
              <w:left w:val="single" w:sz="4" w:space="0" w:color="auto"/>
              <w:bottom w:val="single" w:sz="12" w:space="0" w:color="auto"/>
              <w:right w:val="single" w:sz="12" w:space="0" w:color="auto"/>
            </w:tcBorders>
            <w:hideMark/>
          </w:tcPr>
          <w:p w14:paraId="585BBF3F" w14:textId="77777777" w:rsidR="00451F12" w:rsidRDefault="00451F12" w:rsidP="000954C1">
            <w:pPr>
              <w:rPr>
                <w:rFonts w:eastAsia="Times New Roman"/>
              </w:rPr>
            </w:pPr>
            <w:r>
              <w:rPr>
                <w:rFonts w:eastAsia="Times New Roman"/>
              </w:rPr>
              <w:t>Contribute to any consideration of changes to Australia’s legal protections in relation to racial hatred and violence</w:t>
            </w:r>
          </w:p>
        </w:tc>
      </w:tr>
      <w:tr w:rsidR="00451F12" w14:paraId="5BB0BDF5" w14:textId="77777777" w:rsidTr="008F6844">
        <w:tc>
          <w:tcPr>
            <w:tcW w:w="2476" w:type="dxa"/>
            <w:vMerge w:val="restart"/>
            <w:tcBorders>
              <w:top w:val="single" w:sz="12" w:space="0" w:color="auto"/>
              <w:left w:val="single" w:sz="12" w:space="0" w:color="auto"/>
              <w:bottom w:val="single" w:sz="12" w:space="0" w:color="auto"/>
              <w:right w:val="single" w:sz="2" w:space="0" w:color="auto"/>
            </w:tcBorders>
            <w:vAlign w:val="center"/>
            <w:hideMark/>
          </w:tcPr>
          <w:p w14:paraId="6231DD3C" w14:textId="77777777" w:rsidR="00451F12" w:rsidRDefault="00451F12" w:rsidP="000954C1">
            <w:pPr>
              <w:jc w:val="center"/>
              <w:rPr>
                <w:rFonts w:eastAsia="Times New Roman"/>
                <w:b/>
                <w:sz w:val="28"/>
                <w:szCs w:val="28"/>
              </w:rPr>
            </w:pPr>
            <w:r>
              <w:rPr>
                <w:rFonts w:eastAsia="Times New Roman"/>
                <w:b/>
                <w:sz w:val="28"/>
                <w:szCs w:val="28"/>
              </w:rPr>
              <w:t>Leadership in support of Australia’s diverse communities</w:t>
            </w:r>
          </w:p>
        </w:tc>
        <w:tc>
          <w:tcPr>
            <w:tcW w:w="3023" w:type="dxa"/>
            <w:tcBorders>
              <w:top w:val="single" w:sz="12" w:space="0" w:color="auto"/>
              <w:left w:val="single" w:sz="2" w:space="0" w:color="auto"/>
              <w:bottom w:val="single" w:sz="2" w:space="0" w:color="auto"/>
              <w:right w:val="single" w:sz="2" w:space="0" w:color="auto"/>
            </w:tcBorders>
            <w:vAlign w:val="center"/>
            <w:hideMark/>
          </w:tcPr>
          <w:p w14:paraId="2E0137DD" w14:textId="77777777" w:rsidR="00451F12" w:rsidRDefault="00451F12" w:rsidP="000954C1">
            <w:pPr>
              <w:rPr>
                <w:rFonts w:eastAsia="Times New Roman"/>
                <w:b/>
              </w:rPr>
            </w:pPr>
            <w:r>
              <w:rPr>
                <w:rFonts w:eastAsia="Times New Roman"/>
                <w:b/>
              </w:rPr>
              <w:t>Encouraging leadership in employment to support equal participation at all levels</w:t>
            </w:r>
          </w:p>
        </w:tc>
        <w:tc>
          <w:tcPr>
            <w:tcW w:w="2989" w:type="dxa"/>
            <w:tcBorders>
              <w:top w:val="single" w:sz="12" w:space="0" w:color="auto"/>
              <w:left w:val="single" w:sz="2" w:space="0" w:color="auto"/>
              <w:bottom w:val="single" w:sz="2" w:space="0" w:color="auto"/>
              <w:right w:val="single" w:sz="12" w:space="0" w:color="auto"/>
            </w:tcBorders>
            <w:hideMark/>
          </w:tcPr>
          <w:p w14:paraId="7FC8F6CB" w14:textId="77777777" w:rsidR="00451F12" w:rsidRDefault="00451F12" w:rsidP="000954C1">
            <w:pPr>
              <w:rPr>
                <w:rFonts w:eastAsia="Times New Roman"/>
              </w:rPr>
            </w:pPr>
            <w:r>
              <w:rPr>
                <w:rFonts w:eastAsia="Times New Roman"/>
              </w:rPr>
              <w:t>Support initiatives to improve cultural diversity in the leadership of private and public sector agencies.</w:t>
            </w:r>
          </w:p>
        </w:tc>
      </w:tr>
      <w:tr w:rsidR="00451F12" w14:paraId="7B8FA83F" w14:textId="77777777" w:rsidTr="008F6844">
        <w:tc>
          <w:tcPr>
            <w:tcW w:w="2476" w:type="dxa"/>
            <w:vMerge/>
            <w:tcBorders>
              <w:top w:val="single" w:sz="12" w:space="0" w:color="auto"/>
              <w:left w:val="single" w:sz="12" w:space="0" w:color="auto"/>
              <w:bottom w:val="single" w:sz="12" w:space="0" w:color="auto"/>
              <w:right w:val="single" w:sz="2" w:space="0" w:color="auto"/>
            </w:tcBorders>
            <w:vAlign w:val="center"/>
            <w:hideMark/>
          </w:tcPr>
          <w:p w14:paraId="267455B8" w14:textId="77777777" w:rsidR="00451F12" w:rsidRDefault="00451F12" w:rsidP="000954C1">
            <w:pPr>
              <w:spacing w:after="0"/>
              <w:rPr>
                <w:rFonts w:ascii="Arial" w:eastAsia="Times New Roman" w:hAnsi="Arial"/>
                <w:b/>
                <w:sz w:val="28"/>
                <w:szCs w:val="28"/>
              </w:rPr>
            </w:pPr>
          </w:p>
        </w:tc>
        <w:tc>
          <w:tcPr>
            <w:tcW w:w="3023" w:type="dxa"/>
            <w:tcBorders>
              <w:top w:val="single" w:sz="2" w:space="0" w:color="auto"/>
              <w:left w:val="single" w:sz="2" w:space="0" w:color="auto"/>
              <w:bottom w:val="single" w:sz="2" w:space="0" w:color="auto"/>
              <w:right w:val="single" w:sz="2" w:space="0" w:color="auto"/>
            </w:tcBorders>
            <w:vAlign w:val="center"/>
            <w:hideMark/>
          </w:tcPr>
          <w:p w14:paraId="58093508" w14:textId="77777777" w:rsidR="00451F12" w:rsidRDefault="00451F12" w:rsidP="000954C1">
            <w:pPr>
              <w:rPr>
                <w:rFonts w:eastAsia="Times New Roman"/>
                <w:b/>
              </w:rPr>
            </w:pPr>
            <w:r>
              <w:rPr>
                <w:rFonts w:eastAsia="Times New Roman"/>
                <w:b/>
              </w:rPr>
              <w:t>Enhancing diversity of representation in the entertainment industry</w:t>
            </w:r>
          </w:p>
        </w:tc>
        <w:tc>
          <w:tcPr>
            <w:tcW w:w="2989" w:type="dxa"/>
            <w:tcBorders>
              <w:top w:val="single" w:sz="2" w:space="0" w:color="auto"/>
              <w:left w:val="single" w:sz="2" w:space="0" w:color="auto"/>
              <w:bottom w:val="single" w:sz="2" w:space="0" w:color="auto"/>
              <w:right w:val="single" w:sz="12" w:space="0" w:color="auto"/>
            </w:tcBorders>
            <w:hideMark/>
          </w:tcPr>
          <w:p w14:paraId="74444ECB" w14:textId="77777777" w:rsidR="00451F12" w:rsidRDefault="00451F12" w:rsidP="000954C1">
            <w:pPr>
              <w:rPr>
                <w:rFonts w:eastAsia="Times New Roman"/>
              </w:rPr>
            </w:pPr>
            <w:r>
              <w:rPr>
                <w:rFonts w:eastAsia="Times New Roman"/>
              </w:rPr>
              <w:t>Identify opportunities to work with industry and its representative bodies to encourage its diversification</w:t>
            </w:r>
          </w:p>
        </w:tc>
      </w:tr>
      <w:tr w:rsidR="00451F12" w14:paraId="5C53A243" w14:textId="77777777" w:rsidTr="008F6844">
        <w:trPr>
          <w:trHeight w:val="1743"/>
        </w:trPr>
        <w:tc>
          <w:tcPr>
            <w:tcW w:w="2476" w:type="dxa"/>
            <w:vMerge/>
            <w:tcBorders>
              <w:top w:val="single" w:sz="12" w:space="0" w:color="auto"/>
              <w:left w:val="single" w:sz="12" w:space="0" w:color="auto"/>
              <w:bottom w:val="single" w:sz="12" w:space="0" w:color="auto"/>
              <w:right w:val="single" w:sz="2" w:space="0" w:color="auto"/>
            </w:tcBorders>
            <w:vAlign w:val="center"/>
            <w:hideMark/>
          </w:tcPr>
          <w:p w14:paraId="5136654F" w14:textId="77777777" w:rsidR="00451F12" w:rsidRDefault="00451F12" w:rsidP="000954C1">
            <w:pPr>
              <w:spacing w:after="0"/>
              <w:rPr>
                <w:rFonts w:ascii="Arial" w:eastAsia="Times New Roman" w:hAnsi="Arial"/>
                <w:b/>
                <w:sz w:val="28"/>
                <w:szCs w:val="28"/>
              </w:rPr>
            </w:pPr>
          </w:p>
        </w:tc>
        <w:tc>
          <w:tcPr>
            <w:tcW w:w="3023" w:type="dxa"/>
            <w:tcBorders>
              <w:top w:val="single" w:sz="2" w:space="0" w:color="auto"/>
              <w:left w:val="single" w:sz="2" w:space="0" w:color="auto"/>
              <w:bottom w:val="single" w:sz="12" w:space="0" w:color="auto"/>
              <w:right w:val="single" w:sz="2" w:space="0" w:color="auto"/>
            </w:tcBorders>
            <w:vAlign w:val="center"/>
          </w:tcPr>
          <w:p w14:paraId="2ED95B3F" w14:textId="77777777" w:rsidR="00451F12" w:rsidRDefault="00451F12" w:rsidP="000954C1">
            <w:pPr>
              <w:rPr>
                <w:rFonts w:eastAsia="Times New Roman"/>
                <w:b/>
              </w:rPr>
            </w:pPr>
            <w:r>
              <w:rPr>
                <w:rFonts w:eastAsia="Times New Roman"/>
                <w:b/>
              </w:rPr>
              <w:t>Building collaboration and cooperation through the media</w:t>
            </w:r>
          </w:p>
          <w:p w14:paraId="638E47AB" w14:textId="77777777" w:rsidR="00451F12" w:rsidRDefault="00451F12" w:rsidP="000954C1">
            <w:pPr>
              <w:rPr>
                <w:rFonts w:eastAsia="Times New Roman"/>
              </w:rPr>
            </w:pPr>
          </w:p>
        </w:tc>
        <w:tc>
          <w:tcPr>
            <w:tcW w:w="2989" w:type="dxa"/>
            <w:tcBorders>
              <w:top w:val="single" w:sz="2" w:space="0" w:color="auto"/>
              <w:left w:val="single" w:sz="2" w:space="0" w:color="auto"/>
              <w:bottom w:val="single" w:sz="12" w:space="0" w:color="auto"/>
              <w:right w:val="single" w:sz="12" w:space="0" w:color="auto"/>
            </w:tcBorders>
            <w:hideMark/>
          </w:tcPr>
          <w:p w14:paraId="64604568" w14:textId="77777777" w:rsidR="00451F12" w:rsidRDefault="00451F12" w:rsidP="000954C1">
            <w:pPr>
              <w:rPr>
                <w:rFonts w:cs="Arial"/>
              </w:rPr>
            </w:pPr>
            <w:r>
              <w:rPr>
                <w:rFonts w:cs="Arial"/>
              </w:rPr>
              <w:t>Work with the media industry and regulatory bodies to address reporting of race issues</w:t>
            </w:r>
          </w:p>
        </w:tc>
      </w:tr>
    </w:tbl>
    <w:p w14:paraId="2CB7D743" w14:textId="77777777" w:rsidR="00C61D0F" w:rsidRDefault="00C61D0F" w:rsidP="00C61D0F">
      <w:pPr>
        <w:pStyle w:val="ListParagraph"/>
        <w:spacing w:before="0" w:after="160" w:line="259" w:lineRule="auto"/>
        <w:ind w:left="540"/>
        <w:contextualSpacing/>
        <w:rPr>
          <w:rFonts w:cs="Open Sans"/>
          <w:lang w:val="en-GB"/>
        </w:rPr>
      </w:pPr>
    </w:p>
    <w:p w14:paraId="747AA59E" w14:textId="73CD796A" w:rsidR="00451F12" w:rsidRDefault="00451F12" w:rsidP="00676382">
      <w:pPr>
        <w:pStyle w:val="ListParagraph"/>
        <w:numPr>
          <w:ilvl w:val="0"/>
          <w:numId w:val="41"/>
        </w:numPr>
        <w:spacing w:before="0" w:after="160" w:line="259" w:lineRule="auto"/>
        <w:ind w:left="540" w:hanging="180"/>
        <w:contextualSpacing/>
        <w:rPr>
          <w:rFonts w:cs="Open Sans"/>
          <w:lang w:val="en-GB"/>
        </w:rPr>
      </w:pPr>
      <w:r w:rsidRPr="46611AC7">
        <w:rPr>
          <w:rFonts w:cs="Open Sans"/>
          <w:lang w:val="en-GB"/>
        </w:rPr>
        <w:t xml:space="preserve">The Commission’s Free and Equal Issues paper sets out actions that might form part of a rights-based approach and which may also form the basis for actions in a national anti-racism framework. </w:t>
      </w:r>
    </w:p>
    <w:p w14:paraId="008FCA32" w14:textId="5B2793BF" w:rsidR="008B0B63" w:rsidRPr="00645815" w:rsidRDefault="003977F9" w:rsidP="008B0B63">
      <w:pPr>
        <w:pStyle w:val="ListParagraph"/>
        <w:spacing w:before="0" w:after="160" w:line="259" w:lineRule="auto"/>
        <w:ind w:left="540"/>
        <w:contextualSpacing/>
        <w:rPr>
          <w:rFonts w:cs="Open Sans"/>
          <w:lang w:val="en-GB"/>
        </w:rPr>
      </w:pPr>
      <w:r>
        <w:rPr>
          <w:noProof/>
          <w:color w:val="2B579A"/>
          <w:shd w:val="clear" w:color="auto" w:fill="E6E6E6"/>
        </w:rPr>
        <w:drawing>
          <wp:inline distT="0" distB="0" distL="0" distR="0" wp14:anchorId="185BE0D4" wp14:editId="3039CCC3">
            <wp:extent cx="4613244" cy="4950612"/>
            <wp:effectExtent l="0" t="0" r="0" b="0"/>
            <wp:docPr id="10263770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4">
                      <a:extLst>
                        <a:ext uri="{28A0092B-C50C-407E-A947-70E740481C1C}">
                          <a14:useLocalDpi xmlns:a14="http://schemas.microsoft.com/office/drawing/2010/main" val="0"/>
                        </a:ext>
                      </a:extLst>
                    </a:blip>
                    <a:stretch>
                      <a:fillRect/>
                    </a:stretch>
                  </pic:blipFill>
                  <pic:spPr>
                    <a:xfrm>
                      <a:off x="0" y="0"/>
                      <a:ext cx="4613244" cy="4950612"/>
                    </a:xfrm>
                    <a:prstGeom prst="rect">
                      <a:avLst/>
                    </a:prstGeom>
                  </pic:spPr>
                </pic:pic>
              </a:graphicData>
            </a:graphic>
          </wp:inline>
        </w:drawing>
      </w:r>
    </w:p>
    <w:p w14:paraId="2030A1C0" w14:textId="3F4E16AE" w:rsidR="00451F12" w:rsidRDefault="00451F12" w:rsidP="00451F12">
      <w:pPr>
        <w:rPr>
          <w:rFonts w:cs="Open Sans"/>
          <w:lang w:val="en-GB"/>
        </w:rPr>
      </w:pPr>
    </w:p>
    <w:p w14:paraId="6F8F0510" w14:textId="77777777" w:rsidR="00451F12" w:rsidRDefault="00451F12" w:rsidP="00676382">
      <w:pPr>
        <w:pStyle w:val="ListParagraph"/>
        <w:numPr>
          <w:ilvl w:val="0"/>
          <w:numId w:val="41"/>
        </w:numPr>
        <w:spacing w:before="0" w:after="160" w:line="259" w:lineRule="auto"/>
        <w:ind w:left="900" w:hanging="450"/>
        <w:contextualSpacing/>
        <w:rPr>
          <w:rFonts w:cs="Open Sans"/>
        </w:rPr>
      </w:pPr>
      <w:r w:rsidRPr="46611AC7">
        <w:rPr>
          <w:rFonts w:cs="Open Sans"/>
        </w:rPr>
        <w:t>International anti-racism initiatives also provide useful reference for the development of an Australian anti-racism framework.</w:t>
      </w:r>
    </w:p>
    <w:p w14:paraId="2CEE92E3" w14:textId="3A777982" w:rsidR="00451F12" w:rsidRPr="002C19E0" w:rsidRDefault="00451F12" w:rsidP="002C19E0">
      <w:pPr>
        <w:pStyle w:val="ListParagraph"/>
        <w:ind w:left="900" w:hanging="450"/>
        <w:rPr>
          <w:rFonts w:cstheme="minorHAnsi"/>
          <w:b/>
          <w:bCs/>
          <w:sz w:val="28"/>
          <w:szCs w:val="28"/>
        </w:rPr>
      </w:pPr>
      <w:r>
        <w:rPr>
          <w:rFonts w:cstheme="minorHAnsi"/>
          <w:b/>
          <w:bCs/>
          <w:sz w:val="28"/>
          <w:szCs w:val="28"/>
        </w:rPr>
        <w:t>Canada’s Anti-Racism Strategy 2019-22</w:t>
      </w:r>
    </w:p>
    <w:p w14:paraId="44D2252B" w14:textId="26D4E5B4" w:rsidR="00451F12" w:rsidRPr="002C19E0" w:rsidRDefault="00451F12" w:rsidP="00676382">
      <w:pPr>
        <w:pStyle w:val="ListParagraph"/>
        <w:numPr>
          <w:ilvl w:val="0"/>
          <w:numId w:val="41"/>
        </w:numPr>
        <w:spacing w:before="0" w:after="160" w:line="259" w:lineRule="auto"/>
        <w:ind w:left="900" w:hanging="450"/>
        <w:contextualSpacing/>
        <w:rPr>
          <w:rFonts w:cs="Open Sans"/>
        </w:rPr>
      </w:pPr>
      <w:r w:rsidRPr="46611AC7">
        <w:rPr>
          <w:rFonts w:cs="Open Sans"/>
        </w:rPr>
        <w:t xml:space="preserve">Canada has developed a three-year anti-racism strategic plan - </w:t>
      </w:r>
      <w:hyperlink r:id="rId25">
        <w:r w:rsidRPr="46611AC7">
          <w:rPr>
            <w:rStyle w:val="Hyperlink"/>
            <w:rFonts w:cs="Open Sans"/>
            <w:i/>
            <w:iCs/>
          </w:rPr>
          <w:t>Building a Foundation for Change: Canada’s Anti-Racism Strategy 2019-2022</w:t>
        </w:r>
      </w:hyperlink>
      <w:r w:rsidRPr="46611AC7">
        <w:rPr>
          <w:rFonts w:cs="Open Sans"/>
        </w:rPr>
        <w:t xml:space="preserve">. </w:t>
      </w:r>
      <w:r w:rsidR="002C19E0">
        <w:rPr>
          <w:rFonts w:cs="Open Sans"/>
        </w:rPr>
        <w:br/>
      </w:r>
    </w:p>
    <w:p w14:paraId="14F7EA8C" w14:textId="5F2101BA" w:rsidR="00451F12" w:rsidRPr="002C19E0" w:rsidRDefault="00451F12" w:rsidP="00676382">
      <w:pPr>
        <w:pStyle w:val="ListParagraph"/>
        <w:numPr>
          <w:ilvl w:val="0"/>
          <w:numId w:val="41"/>
        </w:numPr>
        <w:spacing w:before="0" w:after="160" w:line="259" w:lineRule="auto"/>
        <w:ind w:left="900" w:hanging="450"/>
        <w:contextualSpacing/>
        <w:rPr>
          <w:rFonts w:cs="Open Sans"/>
        </w:rPr>
      </w:pPr>
      <w:r w:rsidRPr="46611AC7">
        <w:rPr>
          <w:rFonts w:cs="Open Sans"/>
        </w:rPr>
        <w:t>The Strategy states it is guided by a vision of Canada where all Canadians benefit from equitable access to and participation in the economic, cultural, social, and political spheres.</w:t>
      </w:r>
      <w:r w:rsidR="002C19E0">
        <w:rPr>
          <w:rFonts w:cs="Open Sans"/>
        </w:rPr>
        <w:br/>
      </w:r>
    </w:p>
    <w:p w14:paraId="05EDACE4" w14:textId="77777777" w:rsidR="00451F12" w:rsidRPr="009B6C52" w:rsidRDefault="00451F12" w:rsidP="00676382">
      <w:pPr>
        <w:pStyle w:val="ListParagraph"/>
        <w:numPr>
          <w:ilvl w:val="0"/>
          <w:numId w:val="41"/>
        </w:numPr>
        <w:spacing w:before="0" w:after="160" w:line="259" w:lineRule="auto"/>
        <w:ind w:left="900" w:hanging="450"/>
        <w:contextualSpacing/>
        <w:rPr>
          <w:rFonts w:cs="Open Sans"/>
        </w:rPr>
      </w:pPr>
      <w:r w:rsidRPr="46611AC7">
        <w:rPr>
          <w:rFonts w:eastAsia="Times New Roman" w:cs="Open Sans"/>
          <w:color w:val="222222"/>
        </w:rPr>
        <w:t>The Strategy takes a human rights approach which is reflected in its guiding principles:</w:t>
      </w:r>
    </w:p>
    <w:p w14:paraId="0A0E6ADE" w14:textId="4A4D6290" w:rsidR="00451F12" w:rsidRPr="00EB6B04" w:rsidRDefault="00451F12" w:rsidP="00842B54">
      <w:pPr>
        <w:pStyle w:val="ListNumber"/>
        <w:numPr>
          <w:ilvl w:val="0"/>
          <w:numId w:val="12"/>
        </w:numPr>
        <w:spacing w:before="0" w:after="160" w:line="259" w:lineRule="auto"/>
        <w:ind w:left="1418" w:hanging="658"/>
      </w:pPr>
      <w:r w:rsidRPr="00EB6B04">
        <w:t>Demonstrating Federal Leadership</w:t>
      </w:r>
      <w:r w:rsidR="002C19E0">
        <w:t>:</w:t>
      </w:r>
    </w:p>
    <w:p w14:paraId="6626776D" w14:textId="77777777" w:rsidR="00451F12" w:rsidRDefault="00451F12" w:rsidP="002C19E0">
      <w:pPr>
        <w:pStyle w:val="ListNumber"/>
        <w:numPr>
          <w:ilvl w:val="0"/>
          <w:numId w:val="0"/>
        </w:numPr>
        <w:tabs>
          <w:tab w:val="clear" w:pos="1134"/>
          <w:tab w:val="left" w:pos="1800"/>
        </w:tabs>
        <w:spacing w:before="0" w:after="160" w:line="259" w:lineRule="auto"/>
        <w:ind w:left="1418"/>
      </w:pPr>
      <w:r w:rsidRPr="00EB6B04">
        <w:t xml:space="preserve">The Government of Canada </w:t>
      </w:r>
      <w:r>
        <w:t>committed itself to</w:t>
      </w:r>
      <w:r w:rsidRPr="00EB6B04">
        <w:t xml:space="preserve"> tak</w:t>
      </w:r>
      <w:r>
        <w:t>ing</w:t>
      </w:r>
      <w:r w:rsidRPr="00EB6B04">
        <w:t xml:space="preserve"> a lead role </w:t>
      </w:r>
      <w:r>
        <w:t xml:space="preserve">in </w:t>
      </w:r>
      <w:r w:rsidRPr="00EB6B04">
        <w:t>addressing systemic racism and discrimination when</w:t>
      </w:r>
      <w:r>
        <w:t xml:space="preserve"> this was</w:t>
      </w:r>
      <w:r w:rsidRPr="00EB6B04">
        <w:t xml:space="preserve"> found to exist within </w:t>
      </w:r>
      <w:r>
        <w:t>national</w:t>
      </w:r>
      <w:r w:rsidRPr="00EB6B04">
        <w:t xml:space="preserve"> institutions and in public policies, programs</w:t>
      </w:r>
      <w:r>
        <w:t>,</w:t>
      </w:r>
      <w:r w:rsidRPr="00EB6B04">
        <w:t xml:space="preserve"> and services. </w:t>
      </w:r>
    </w:p>
    <w:p w14:paraId="6CC073F3" w14:textId="77777777" w:rsidR="00451F12" w:rsidRPr="00EB6B04" w:rsidRDefault="00451F12" w:rsidP="002C19E0">
      <w:pPr>
        <w:pStyle w:val="ListNumber"/>
        <w:numPr>
          <w:ilvl w:val="0"/>
          <w:numId w:val="0"/>
        </w:numPr>
        <w:tabs>
          <w:tab w:val="clear" w:pos="1134"/>
          <w:tab w:val="left" w:pos="1800"/>
        </w:tabs>
        <w:spacing w:before="0" w:after="160" w:line="259" w:lineRule="auto"/>
        <w:ind w:left="1418"/>
      </w:pPr>
      <w:r>
        <w:t>A</w:t>
      </w:r>
      <w:r w:rsidRPr="00EB6B04">
        <w:t xml:space="preserve">n Anti-Racism Secretariat </w:t>
      </w:r>
      <w:r>
        <w:t>was</w:t>
      </w:r>
      <w:r w:rsidRPr="00EB6B04">
        <w:t xml:space="preserve"> established to lead </w:t>
      </w:r>
      <w:r>
        <w:t>a whole of</w:t>
      </w:r>
      <w:r w:rsidRPr="00EB6B04">
        <w:t xml:space="preserve"> government </w:t>
      </w:r>
      <w:r>
        <w:t xml:space="preserve">approach </w:t>
      </w:r>
      <w:r w:rsidRPr="00EB6B04">
        <w:t xml:space="preserve">to coordinate </w:t>
      </w:r>
      <w:r>
        <w:t>national</w:t>
      </w:r>
      <w:r w:rsidRPr="00EB6B04">
        <w:t xml:space="preserve"> action and identify and develop further areas for action through engagement with communities and Indigenous </w:t>
      </w:r>
      <w:r>
        <w:t>p</w:t>
      </w:r>
      <w:r w:rsidRPr="00EB6B04">
        <w:t>eoples, stakeholders, and other levels of government.</w:t>
      </w:r>
    </w:p>
    <w:p w14:paraId="2E2D2BF0" w14:textId="15CB0F59" w:rsidR="00451F12" w:rsidRPr="00EB6B04" w:rsidRDefault="00451F12" w:rsidP="00842B54">
      <w:pPr>
        <w:pStyle w:val="ListNumber"/>
        <w:numPr>
          <w:ilvl w:val="0"/>
          <w:numId w:val="12"/>
        </w:numPr>
        <w:spacing w:before="0" w:after="160" w:line="259" w:lineRule="auto"/>
        <w:ind w:left="1418" w:hanging="658"/>
      </w:pPr>
      <w:r w:rsidRPr="00EB6B04">
        <w:t>Empowering Communities</w:t>
      </w:r>
      <w:r w:rsidR="002C19E0">
        <w:t>:</w:t>
      </w:r>
    </w:p>
    <w:p w14:paraId="15FB5701" w14:textId="77777777" w:rsidR="00451F12" w:rsidRDefault="00451F12" w:rsidP="002C19E0">
      <w:pPr>
        <w:pStyle w:val="ListNumber"/>
        <w:numPr>
          <w:ilvl w:val="0"/>
          <w:numId w:val="0"/>
        </w:numPr>
        <w:tabs>
          <w:tab w:val="clear" w:pos="1134"/>
          <w:tab w:val="left" w:pos="1800"/>
        </w:tabs>
        <w:spacing w:before="0" w:after="160" w:line="259" w:lineRule="auto"/>
        <w:ind w:left="1418"/>
      </w:pPr>
      <w:r w:rsidRPr="00EB6B04">
        <w:t xml:space="preserve">Indigenous </w:t>
      </w:r>
      <w:r>
        <w:t>p</w:t>
      </w:r>
      <w:r w:rsidRPr="00EB6B04">
        <w:t xml:space="preserve">eoples and communities on the ground who have expertise in addressing various forms of racism and discrimination </w:t>
      </w:r>
      <w:r>
        <w:t>will</w:t>
      </w:r>
      <w:r w:rsidRPr="00EB6B04">
        <w:t xml:space="preserve"> be supported. Funding for projects and capacity building at the community level </w:t>
      </w:r>
      <w:r>
        <w:t xml:space="preserve">will be </w:t>
      </w:r>
      <w:r w:rsidRPr="00EB6B04">
        <w:t>recogni</w:t>
      </w:r>
      <w:r>
        <w:t>s</w:t>
      </w:r>
      <w:r w:rsidRPr="00EB6B04">
        <w:t>e</w:t>
      </w:r>
      <w:r>
        <w:t>d</w:t>
      </w:r>
      <w:r w:rsidRPr="00EB6B04">
        <w:t xml:space="preserve"> and </w:t>
      </w:r>
      <w:r>
        <w:t xml:space="preserve">outcomes </w:t>
      </w:r>
      <w:r w:rsidRPr="00EB6B04">
        <w:t>enhance</w:t>
      </w:r>
      <w:r>
        <w:t>d</w:t>
      </w:r>
      <w:r w:rsidRPr="00EB6B04">
        <w:t xml:space="preserve"> </w:t>
      </w:r>
      <w:r>
        <w:t xml:space="preserve">through community </w:t>
      </w:r>
      <w:r w:rsidRPr="00EB6B04">
        <w:t xml:space="preserve">expertise. </w:t>
      </w:r>
    </w:p>
    <w:p w14:paraId="66457968" w14:textId="77777777" w:rsidR="00451F12" w:rsidRPr="00EB6B04" w:rsidRDefault="00451F12" w:rsidP="002C19E0">
      <w:pPr>
        <w:pStyle w:val="ListNumber"/>
        <w:numPr>
          <w:ilvl w:val="0"/>
          <w:numId w:val="0"/>
        </w:numPr>
        <w:tabs>
          <w:tab w:val="clear" w:pos="1134"/>
          <w:tab w:val="left" w:pos="1800"/>
        </w:tabs>
        <w:spacing w:before="0" w:after="160" w:line="259" w:lineRule="auto"/>
        <w:ind w:left="1418"/>
      </w:pPr>
      <w:r>
        <w:t xml:space="preserve">Funding support was committed for local, regional, and national employment, social participation and justice initiatives and outcomes-based activities.  </w:t>
      </w:r>
    </w:p>
    <w:p w14:paraId="124F85E4" w14:textId="2A18856D" w:rsidR="00451F12" w:rsidRPr="00EB6B04" w:rsidRDefault="00451F12" w:rsidP="00842B54">
      <w:pPr>
        <w:pStyle w:val="ListNumber"/>
        <w:numPr>
          <w:ilvl w:val="0"/>
          <w:numId w:val="12"/>
        </w:numPr>
        <w:spacing w:before="0" w:after="160" w:line="259" w:lineRule="auto"/>
        <w:ind w:left="1418" w:hanging="655"/>
      </w:pPr>
      <w:r w:rsidRPr="00EB6B04">
        <w:t>Building Awareness and Changing Attitudes</w:t>
      </w:r>
      <w:r w:rsidR="002C19E0">
        <w:t>:</w:t>
      </w:r>
    </w:p>
    <w:p w14:paraId="0FD04004" w14:textId="77777777" w:rsidR="00451F12" w:rsidRDefault="00451F12" w:rsidP="002C19E0">
      <w:pPr>
        <w:pStyle w:val="ListNumber"/>
        <w:numPr>
          <w:ilvl w:val="0"/>
          <w:numId w:val="0"/>
        </w:numPr>
        <w:tabs>
          <w:tab w:val="clear" w:pos="1134"/>
          <w:tab w:val="left" w:pos="1800"/>
        </w:tabs>
        <w:spacing w:before="0" w:after="160" w:line="259" w:lineRule="auto"/>
        <w:ind w:left="1418"/>
      </w:pPr>
      <w:r>
        <w:t>I</w:t>
      </w:r>
      <w:r w:rsidRPr="00EB6B04">
        <w:t>ncreas</w:t>
      </w:r>
      <w:r>
        <w:t>ing</w:t>
      </w:r>
      <w:r w:rsidRPr="00EB6B04">
        <w:t xml:space="preserve"> awareness of the historical roots of racism and discrimination, and their impacts on communities and Indigenous </w:t>
      </w:r>
      <w:r>
        <w:t>p</w:t>
      </w:r>
      <w:r w:rsidRPr="00EB6B04">
        <w:t>eoples</w:t>
      </w:r>
      <w:r>
        <w:t xml:space="preserve"> was identified as a priority</w:t>
      </w:r>
      <w:r w:rsidRPr="00EB6B04">
        <w:t xml:space="preserve">. </w:t>
      </w:r>
      <w:r>
        <w:t>Public education and awareness, an indigenous focused approach,</w:t>
      </w:r>
      <w:r w:rsidRPr="00CA5665">
        <w:t xml:space="preserve"> </w:t>
      </w:r>
      <w:r>
        <w:t xml:space="preserve">addressing hate </w:t>
      </w:r>
      <w:r>
        <w:lastRenderedPageBreak/>
        <w:t>crimes and combatting online hate and the collection of d</w:t>
      </w:r>
      <w:r w:rsidRPr="00EB6B04">
        <w:t xml:space="preserve">ata and evidence </w:t>
      </w:r>
      <w:r>
        <w:t xml:space="preserve">were identified as activities to progress the Strategy. </w:t>
      </w:r>
    </w:p>
    <w:p w14:paraId="4334982B" w14:textId="17D690B0" w:rsidR="00451F12" w:rsidRPr="002C19E0" w:rsidRDefault="00451F12" w:rsidP="00435839">
      <w:pPr>
        <w:contextualSpacing/>
        <w:rPr>
          <w:rFonts w:cs="Open Sans"/>
          <w:b/>
          <w:bCs/>
          <w:sz w:val="28"/>
          <w:szCs w:val="28"/>
        </w:rPr>
      </w:pPr>
      <w:r w:rsidRPr="002C19E0">
        <w:rPr>
          <w:rFonts w:cs="Open Sans"/>
          <w:b/>
          <w:bCs/>
          <w:sz w:val="28"/>
          <w:szCs w:val="28"/>
        </w:rPr>
        <w:t>The United Kingdom’s Race Disparity Audit</w:t>
      </w:r>
    </w:p>
    <w:p w14:paraId="4EF6F557" w14:textId="7F5C8373" w:rsidR="00451F12" w:rsidRPr="002C19E0" w:rsidRDefault="00451F12" w:rsidP="00676382">
      <w:pPr>
        <w:pStyle w:val="ListParagraph"/>
        <w:numPr>
          <w:ilvl w:val="0"/>
          <w:numId w:val="41"/>
        </w:numPr>
        <w:spacing w:before="0" w:after="160" w:line="259" w:lineRule="auto"/>
        <w:ind w:left="900" w:hanging="540"/>
        <w:contextualSpacing/>
        <w:rPr>
          <w:rFonts w:cs="Open Sans"/>
        </w:rPr>
      </w:pPr>
      <w:r w:rsidRPr="46611AC7">
        <w:rPr>
          <w:rFonts w:cs="Open Sans"/>
        </w:rPr>
        <w:t xml:space="preserve">In the United Kingdom in August 2016 the Prime Minister announced the Race Disparity Audit. The Audit aimed to shine a light on how people of different ethnicities are treated across public services including health, education, employment, and the criminal justice system by publishing data held by the Government. The initial results were </w:t>
      </w:r>
      <w:hyperlink r:id="rId26">
        <w:r w:rsidRPr="46611AC7">
          <w:rPr>
            <w:rStyle w:val="Hyperlink"/>
            <w:rFonts w:cs="Open Sans"/>
          </w:rPr>
          <w:t>reported</w:t>
        </w:r>
      </w:hyperlink>
      <w:r w:rsidRPr="46611AC7">
        <w:rPr>
          <w:rFonts w:cs="Open Sans"/>
        </w:rPr>
        <w:t xml:space="preserve"> in October 2017 and updated in March 2018.</w:t>
      </w:r>
      <w:r w:rsidR="002C19E0">
        <w:rPr>
          <w:rFonts w:cs="Open Sans"/>
        </w:rPr>
        <w:br/>
      </w:r>
    </w:p>
    <w:p w14:paraId="69ED505A" w14:textId="46C8942C" w:rsidR="00451F12" w:rsidRPr="002C19E0" w:rsidRDefault="00451F12" w:rsidP="00676382">
      <w:pPr>
        <w:pStyle w:val="ListParagraph"/>
        <w:numPr>
          <w:ilvl w:val="0"/>
          <w:numId w:val="41"/>
        </w:numPr>
        <w:spacing w:before="0" w:after="160" w:line="259" w:lineRule="auto"/>
        <w:ind w:left="900" w:hanging="450"/>
        <w:contextualSpacing/>
        <w:rPr>
          <w:rFonts w:cs="Open Sans"/>
        </w:rPr>
      </w:pPr>
      <w:r w:rsidRPr="46611AC7">
        <w:rPr>
          <w:rFonts w:cs="Open Sans"/>
        </w:rPr>
        <w:t>The Audit was conducted by a specialist unit, the Race Disparity Unit, working from within the Cabinet Office. A wide range of people helped to produce the Audit, including academics, experts, and external partners.</w:t>
      </w:r>
      <w:r w:rsidR="002C19E0">
        <w:rPr>
          <w:rFonts w:cs="Open Sans"/>
        </w:rPr>
        <w:br/>
      </w:r>
    </w:p>
    <w:p w14:paraId="6C47A286" w14:textId="3F7D6E76" w:rsidR="00451F12" w:rsidRPr="002C19E0" w:rsidRDefault="00451F12" w:rsidP="00676382">
      <w:pPr>
        <w:pStyle w:val="ListParagraph"/>
        <w:numPr>
          <w:ilvl w:val="0"/>
          <w:numId w:val="41"/>
        </w:numPr>
        <w:spacing w:before="0" w:after="160" w:line="259" w:lineRule="auto"/>
        <w:ind w:left="900" w:hanging="450"/>
        <w:contextualSpacing/>
        <w:rPr>
          <w:rFonts w:cs="Open Sans"/>
        </w:rPr>
      </w:pPr>
      <w:r w:rsidRPr="46611AC7">
        <w:rPr>
          <w:rFonts w:cs="Open Sans"/>
        </w:rPr>
        <w:t>The results of the initial Audit showed a complex national picture of racial disparity outcomes in the United Kingdom. Across some measures there were significant disparities between and within ethnic groups, and in others there was a narrowing of the gaps between ethnicities. There were also significant differences in outcomes in different parts of the United Kingdom.</w:t>
      </w:r>
      <w:r w:rsidR="002C19E0">
        <w:rPr>
          <w:rFonts w:cs="Open Sans"/>
        </w:rPr>
        <w:br/>
      </w:r>
    </w:p>
    <w:p w14:paraId="23792C0F" w14:textId="43A2C75D" w:rsidR="00451F12" w:rsidRPr="002C19E0" w:rsidRDefault="00451F12" w:rsidP="00676382">
      <w:pPr>
        <w:pStyle w:val="ListParagraph"/>
        <w:numPr>
          <w:ilvl w:val="0"/>
          <w:numId w:val="41"/>
        </w:numPr>
        <w:spacing w:before="0" w:after="160" w:line="259" w:lineRule="auto"/>
        <w:ind w:left="900" w:hanging="450"/>
        <w:contextualSpacing/>
        <w:rPr>
          <w:rFonts w:cs="Open Sans"/>
        </w:rPr>
      </w:pPr>
      <w:r w:rsidRPr="46611AC7">
        <w:rPr>
          <w:rFonts w:cs="Open Sans"/>
        </w:rPr>
        <w:t>The Audit required all Government Departments to identify what data they held on UK public services that could be analysed by ethnicity. The review identified a vast amount of information, some of which was already published and some that had not yet been analysed for ethnic differences. The data identified by the Audit was very varied in quality and depth. It spanned the Census, published official statistics, numerous Government surveys and Departments’ own administrative records.</w:t>
      </w:r>
      <w:r w:rsidR="002C19E0">
        <w:rPr>
          <w:rFonts w:cs="Open Sans"/>
        </w:rPr>
        <w:br/>
      </w:r>
    </w:p>
    <w:p w14:paraId="4D09D62C" w14:textId="304B5675" w:rsidR="00451F12" w:rsidRPr="002C19E0" w:rsidRDefault="00451F12" w:rsidP="00676382">
      <w:pPr>
        <w:pStyle w:val="ListParagraph"/>
        <w:numPr>
          <w:ilvl w:val="0"/>
          <w:numId w:val="41"/>
        </w:numPr>
        <w:spacing w:before="0" w:after="160" w:line="259" w:lineRule="auto"/>
        <w:ind w:left="900" w:hanging="450"/>
        <w:contextualSpacing/>
        <w:rPr>
          <w:rFonts w:cs="Open Sans"/>
        </w:rPr>
      </w:pPr>
      <w:r w:rsidRPr="46611AC7">
        <w:rPr>
          <w:rFonts w:cs="Open Sans"/>
        </w:rPr>
        <w:t xml:space="preserve">All of the collated data was made available on </w:t>
      </w:r>
      <w:hyperlink r:id="rId27">
        <w:r w:rsidRPr="46611AC7">
          <w:rPr>
            <w:rStyle w:val="Hyperlink"/>
            <w:rFonts w:cs="Open Sans"/>
          </w:rPr>
          <w:t>https://www.ethnicity-facts-figures.service.gov.uk</w:t>
        </w:r>
      </w:hyperlink>
      <w:r w:rsidRPr="46611AC7">
        <w:rPr>
          <w:rFonts w:cs="Open Sans"/>
        </w:rPr>
        <w:t xml:space="preserve">. The Ethnicity Facts and Figures website was developed in parallel with extensive research with different types of user, and with reference to the UK Government’s Digital Service Standard and good practice in presenting UK official statistics. The content seeks to present, in one easily accessible place, the experiences and outcomes </w:t>
      </w:r>
      <w:r w:rsidRPr="46611AC7">
        <w:rPr>
          <w:rFonts w:cs="Open Sans"/>
        </w:rPr>
        <w:lastRenderedPageBreak/>
        <w:t xml:space="preserve">of people of all ethnicities across public services.  </w:t>
      </w:r>
      <w:r w:rsidR="002C19E0">
        <w:rPr>
          <w:rFonts w:cs="Open Sans"/>
        </w:rPr>
        <w:br/>
      </w:r>
    </w:p>
    <w:p w14:paraId="3E043FF6" w14:textId="41D091CE" w:rsidR="00451F12" w:rsidRPr="002C19E0" w:rsidRDefault="00451F12" w:rsidP="00676382">
      <w:pPr>
        <w:pStyle w:val="ListParagraph"/>
        <w:numPr>
          <w:ilvl w:val="0"/>
          <w:numId w:val="41"/>
        </w:numPr>
        <w:spacing w:before="0" w:after="160" w:line="259" w:lineRule="auto"/>
        <w:ind w:left="900" w:hanging="450"/>
        <w:contextualSpacing/>
        <w:rPr>
          <w:rFonts w:cs="Open Sans"/>
        </w:rPr>
      </w:pPr>
      <w:r w:rsidRPr="46611AC7">
        <w:rPr>
          <w:rFonts w:cs="Open Sans"/>
        </w:rPr>
        <w:t xml:space="preserve">The data is presented under themes adapted from the Equality Measurement Framework, developed by the UK’s Equality and Human Rights Commission, to reflect the range of data held by Departments and user research on how it is best organised. </w:t>
      </w:r>
      <w:r w:rsidR="002C19E0">
        <w:rPr>
          <w:rFonts w:cs="Open Sans"/>
        </w:rPr>
        <w:br/>
      </w:r>
    </w:p>
    <w:p w14:paraId="334627FF" w14:textId="762953BA" w:rsidR="00451F12" w:rsidRPr="002C19E0" w:rsidRDefault="00451F12" w:rsidP="00676382">
      <w:pPr>
        <w:pStyle w:val="ListParagraph"/>
        <w:numPr>
          <w:ilvl w:val="0"/>
          <w:numId w:val="41"/>
        </w:numPr>
        <w:spacing w:before="0" w:after="160" w:line="259" w:lineRule="auto"/>
        <w:ind w:left="900" w:hanging="450"/>
        <w:contextualSpacing/>
        <w:rPr>
          <w:rFonts w:cs="Open Sans"/>
        </w:rPr>
      </w:pPr>
      <w:r w:rsidRPr="46611AC7">
        <w:rPr>
          <w:rFonts w:cs="Open Sans"/>
        </w:rPr>
        <w:t>It was intended that the Ethnicity Facts and Figures website be a permanent resource. Since the initial report, the measures have been updated as data changes and new measures have been added over time.</w:t>
      </w:r>
      <w:r w:rsidR="002C19E0">
        <w:rPr>
          <w:rFonts w:cs="Open Sans"/>
        </w:rPr>
        <w:br/>
      </w:r>
    </w:p>
    <w:p w14:paraId="3295FAEA" w14:textId="4BBEA041" w:rsidR="00451F12" w:rsidRPr="002C19E0" w:rsidRDefault="00451F12" w:rsidP="00676382">
      <w:pPr>
        <w:pStyle w:val="ListParagraph"/>
        <w:numPr>
          <w:ilvl w:val="0"/>
          <w:numId w:val="41"/>
        </w:numPr>
        <w:spacing w:before="0" w:after="160" w:line="259" w:lineRule="auto"/>
        <w:ind w:left="900" w:hanging="450"/>
        <w:contextualSpacing/>
        <w:rPr>
          <w:rFonts w:cs="Open Sans"/>
        </w:rPr>
      </w:pPr>
      <w:r w:rsidRPr="46611AC7">
        <w:rPr>
          <w:rFonts w:cs="Open Sans"/>
        </w:rPr>
        <w:t>The above international examples have been drawn on to spark further discussion. Any framing of an Australian framework should be subject to intensive debate and consideration of different options. The model proposed below identifies guiding principles, national outcome areas with key strategies and actions for these.</w:t>
      </w:r>
      <w:bookmarkStart w:id="8" w:name="_Toc395191278"/>
      <w:bookmarkStart w:id="9" w:name="_Toc395172059"/>
    </w:p>
    <w:p w14:paraId="0C7FC6B8" w14:textId="19B115BD" w:rsidR="00451F12" w:rsidRPr="009A3668" w:rsidRDefault="00451F12" w:rsidP="009A3668">
      <w:pPr>
        <w:pStyle w:val="Heading1"/>
        <w:ind w:left="567" w:hanging="567"/>
      </w:pPr>
      <w:bookmarkStart w:id="10" w:name="_Toc66719694"/>
      <w:r w:rsidRPr="009A3668">
        <w:t>Key elements of a proposed National Framework</w:t>
      </w:r>
      <w:bookmarkEnd w:id="10"/>
      <w:r w:rsidRPr="009A3668">
        <w:t xml:space="preserve"> </w:t>
      </w:r>
    </w:p>
    <w:p w14:paraId="24818272" w14:textId="77777777" w:rsidR="00CB2EE2" w:rsidRDefault="00451F12" w:rsidP="00676382">
      <w:pPr>
        <w:pStyle w:val="ListParagraph"/>
        <w:numPr>
          <w:ilvl w:val="0"/>
          <w:numId w:val="41"/>
        </w:numPr>
        <w:spacing w:before="0" w:after="160" w:line="259" w:lineRule="auto"/>
        <w:ind w:left="900" w:hanging="450"/>
        <w:contextualSpacing/>
        <w:rPr>
          <w:rFonts w:cs="Open Sans"/>
        </w:rPr>
      </w:pPr>
      <w:r w:rsidRPr="46611AC7">
        <w:rPr>
          <w:rFonts w:cs="Open Sans"/>
        </w:rPr>
        <w:t xml:space="preserve">The above international examples have been drawn on to spark further discussion. Any framing of an Australian framework should be subject to intensive debate and consideration of different options. </w:t>
      </w:r>
    </w:p>
    <w:p w14:paraId="27F7785E" w14:textId="77777777" w:rsidR="00CB2EE2" w:rsidRDefault="00CB2EE2" w:rsidP="00CB2EE2">
      <w:pPr>
        <w:pStyle w:val="ListParagraph"/>
        <w:spacing w:before="0" w:after="160" w:line="259" w:lineRule="auto"/>
        <w:ind w:left="900"/>
        <w:contextualSpacing/>
        <w:rPr>
          <w:rFonts w:cs="Open Sans"/>
        </w:rPr>
      </w:pPr>
    </w:p>
    <w:p w14:paraId="633BE9F0" w14:textId="7F251212" w:rsidR="00B33C7F" w:rsidRDefault="00451F12" w:rsidP="00396C14">
      <w:pPr>
        <w:pStyle w:val="ListParagraph"/>
        <w:numPr>
          <w:ilvl w:val="0"/>
          <w:numId w:val="41"/>
        </w:numPr>
        <w:spacing w:before="0" w:after="160" w:line="259" w:lineRule="auto"/>
        <w:ind w:left="900" w:hanging="450"/>
        <w:contextualSpacing/>
        <w:rPr>
          <w:rFonts w:cs="Open Sans"/>
        </w:rPr>
      </w:pPr>
      <w:r w:rsidRPr="00CB2EE2">
        <w:rPr>
          <w:rFonts w:cs="Open Sans"/>
        </w:rPr>
        <w:t xml:space="preserve">The Race Discrimination Commissioner has prepared the below model as a starting point for community consultation by the Commission in the coming months. It identifies guiding principles, national outcome areas with key strategies and actions for these. </w:t>
      </w:r>
    </w:p>
    <w:p w14:paraId="2813154E" w14:textId="75053B4E" w:rsidR="00C61D0F" w:rsidRPr="00B33C7F" w:rsidRDefault="00B33C7F" w:rsidP="00B33C7F">
      <w:pPr>
        <w:spacing w:before="0" w:after="0"/>
        <w:rPr>
          <w:rFonts w:cs="Open Sans"/>
        </w:rPr>
      </w:pPr>
      <w:r>
        <w:rPr>
          <w:rFonts w:cs="Open Sans"/>
        </w:rPr>
        <w:br w:type="page"/>
      </w:r>
    </w:p>
    <w:p w14:paraId="39D82961" w14:textId="77777777" w:rsidR="00451F12" w:rsidRDefault="00451F12" w:rsidP="00451F12">
      <w:pPr>
        <w:ind w:left="720"/>
        <w:rPr>
          <w:rFonts w:cs="Open Sans"/>
          <w:b/>
          <w:bCs/>
        </w:rPr>
      </w:pPr>
      <w:r w:rsidRPr="007C417B">
        <w:rPr>
          <w:rFonts w:cs="Open Sans"/>
          <w:b/>
          <w:bCs/>
          <w:noProof/>
          <w:color w:val="2B579A"/>
          <w:shd w:val="clear" w:color="auto" w:fill="E6E6E6"/>
        </w:rPr>
        <w:lastRenderedPageBreak/>
        <w:drawing>
          <wp:inline distT="0" distB="0" distL="0" distR="0" wp14:anchorId="2E50C33D" wp14:editId="7568A38C">
            <wp:extent cx="5273403" cy="3515602"/>
            <wp:effectExtent l="19050" t="19050" r="41910" b="66040"/>
            <wp:docPr id="2" name="Diagram 2">
              <a:extLst xmlns:a="http://schemas.openxmlformats.org/drawingml/2006/main">
                <a:ext uri="{FF2B5EF4-FFF2-40B4-BE49-F238E27FC236}">
                  <a16:creationId xmlns:a16="http://schemas.microsoft.com/office/drawing/2014/main" id="{E2BEBCDE-4DFC-4F7A-8FB1-49ABD6B7B85C}"/>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11E99F47" w14:textId="77777777" w:rsidR="00E61169" w:rsidRPr="00E61169" w:rsidRDefault="00451F12" w:rsidP="00676382">
      <w:pPr>
        <w:pStyle w:val="ListParagraph"/>
        <w:numPr>
          <w:ilvl w:val="0"/>
          <w:numId w:val="41"/>
        </w:numPr>
        <w:spacing w:before="0" w:after="160" w:line="259" w:lineRule="auto"/>
        <w:ind w:left="851" w:hanging="425"/>
        <w:contextualSpacing/>
        <w:rPr>
          <w:rFonts w:eastAsiaTheme="minorEastAsia"/>
        </w:rPr>
      </w:pPr>
      <w:r w:rsidRPr="46611AC7">
        <w:rPr>
          <w:rFonts w:eastAsia="Open Sans" w:cs="Open Sans"/>
        </w:rPr>
        <w:t>The framework should include guiding principles that broadly state the objectives and intent of the framework. It might include the following.</w:t>
      </w:r>
    </w:p>
    <w:p w14:paraId="75D8234D" w14:textId="7A30D431" w:rsidR="00451F12" w:rsidRDefault="00451F12" w:rsidP="52C489C6">
      <w:pPr>
        <w:spacing w:before="0" w:after="160" w:line="259" w:lineRule="auto"/>
        <w:ind w:left="66"/>
        <w:rPr>
          <w:rFonts w:eastAsia="Open Sans" w:cs="Open Sans"/>
        </w:rPr>
      </w:pPr>
    </w:p>
    <w:tbl>
      <w:tblPr>
        <w:tblStyle w:val="TableGrid"/>
        <w:tblW w:w="0" w:type="auto"/>
        <w:tblInd w:w="66" w:type="dxa"/>
        <w:tblLayout w:type="fixed"/>
        <w:tblLook w:val="06A0" w:firstRow="1" w:lastRow="0" w:firstColumn="1" w:lastColumn="0" w:noHBand="1" w:noVBand="1"/>
      </w:tblPr>
      <w:tblGrid>
        <w:gridCol w:w="9000"/>
      </w:tblGrid>
      <w:tr w:rsidR="00B33C7F" w14:paraId="373F9F35" w14:textId="77777777" w:rsidTr="52C489C6">
        <w:tc>
          <w:tcPr>
            <w:tcW w:w="9000" w:type="dxa"/>
          </w:tcPr>
          <w:bookmarkEnd w:id="8"/>
          <w:bookmarkEnd w:id="9"/>
          <w:p w14:paraId="421CACEF" w14:textId="16E25C68" w:rsidR="00B33C7F" w:rsidRPr="007D4C09" w:rsidRDefault="00B33C7F" w:rsidP="000954C1">
            <w:r w:rsidRPr="46611AC7">
              <w:rPr>
                <w:rFonts w:cs="Open Sans"/>
                <w:b/>
                <w:bCs/>
              </w:rPr>
              <w:t xml:space="preserve">Proposed Guiding </w:t>
            </w:r>
            <w:r>
              <w:rPr>
                <w:rFonts w:cs="Open Sans"/>
                <w:b/>
                <w:bCs/>
              </w:rPr>
              <w:t>P</w:t>
            </w:r>
            <w:r w:rsidRPr="46611AC7">
              <w:rPr>
                <w:rFonts w:cs="Open Sans"/>
                <w:b/>
                <w:bCs/>
              </w:rPr>
              <w:t>rinciples</w:t>
            </w:r>
          </w:p>
          <w:p w14:paraId="435612EE" w14:textId="77777777" w:rsidR="00B33C7F" w:rsidRDefault="00B33C7F" w:rsidP="52C489C6">
            <w:pPr>
              <w:pStyle w:val="ListParagraph"/>
              <w:numPr>
                <w:ilvl w:val="0"/>
                <w:numId w:val="26"/>
              </w:numPr>
              <w:spacing w:before="0" w:after="0"/>
              <w:rPr>
                <w:rFonts w:cs="Open Sans"/>
              </w:rPr>
            </w:pPr>
            <w:r w:rsidRPr="46611AC7">
              <w:rPr>
                <w:rFonts w:cs="Open Sans"/>
              </w:rPr>
              <w:t>Acknowledge and recognise Australia’s Indigenous peoples, celebrate their cultures and histories, and champion their rights.</w:t>
            </w:r>
          </w:p>
          <w:p w14:paraId="4EEF5C90" w14:textId="77777777" w:rsidR="00B33C7F" w:rsidRDefault="00B33C7F" w:rsidP="52C489C6">
            <w:pPr>
              <w:pStyle w:val="ListParagraph"/>
              <w:numPr>
                <w:ilvl w:val="0"/>
                <w:numId w:val="26"/>
              </w:numPr>
              <w:spacing w:before="0" w:after="0"/>
              <w:rPr>
                <w:rFonts w:cs="Open Sans"/>
              </w:rPr>
            </w:pPr>
            <w:r w:rsidRPr="46611AC7">
              <w:rPr>
                <w:rFonts w:cs="Open Sans"/>
              </w:rPr>
              <w:t>Acknowledge and recognise Australia’s British and migrant heritage, and the complex nature of the cultural diversity of modern Australia.</w:t>
            </w:r>
          </w:p>
          <w:p w14:paraId="31A371E7" w14:textId="77777777" w:rsidR="00B33C7F" w:rsidRDefault="00B33C7F" w:rsidP="52C489C6">
            <w:pPr>
              <w:pStyle w:val="ListParagraph"/>
              <w:numPr>
                <w:ilvl w:val="0"/>
                <w:numId w:val="26"/>
              </w:numPr>
              <w:spacing w:before="0" w:after="0"/>
              <w:rPr>
                <w:rFonts w:cs="Open Sans"/>
              </w:rPr>
            </w:pPr>
            <w:r w:rsidRPr="46611AC7">
              <w:rPr>
                <w:rFonts w:cs="Open Sans"/>
              </w:rPr>
              <w:t xml:space="preserve">Reflect Australia’s commitment to democracy, the rule of law and upholding human rights and fundamental freedoms. </w:t>
            </w:r>
          </w:p>
          <w:p w14:paraId="0FAE49EA" w14:textId="77777777" w:rsidR="00B33C7F" w:rsidRDefault="00B33C7F" w:rsidP="52C489C6">
            <w:pPr>
              <w:pStyle w:val="ListParagraph"/>
              <w:numPr>
                <w:ilvl w:val="0"/>
                <w:numId w:val="26"/>
              </w:numPr>
              <w:spacing w:before="0" w:after="0"/>
              <w:rPr>
                <w:rFonts w:cs="Open Sans"/>
              </w:rPr>
            </w:pPr>
            <w:r w:rsidRPr="46611AC7">
              <w:rPr>
                <w:rFonts w:cs="Open Sans"/>
              </w:rPr>
              <w:t>Acknowledge the fundamental importance of the right to non-discrimination in Australia.</w:t>
            </w:r>
          </w:p>
          <w:p w14:paraId="40DE1475" w14:textId="77777777" w:rsidR="00B33C7F" w:rsidRDefault="00B33C7F" w:rsidP="52C489C6">
            <w:pPr>
              <w:pStyle w:val="ListParagraph"/>
              <w:numPr>
                <w:ilvl w:val="0"/>
                <w:numId w:val="26"/>
              </w:numPr>
              <w:spacing w:before="0" w:after="0"/>
              <w:rPr>
                <w:rFonts w:cs="Open Sans"/>
              </w:rPr>
            </w:pPr>
            <w:r w:rsidRPr="46611AC7">
              <w:rPr>
                <w:rFonts w:cs="Open Sans"/>
              </w:rPr>
              <w:t>Protect and promote the right of equality before the law and equal opportunity to enjoy all areas of life.</w:t>
            </w:r>
          </w:p>
          <w:p w14:paraId="531B5AA5" w14:textId="77777777" w:rsidR="00B33C7F" w:rsidRDefault="00B33C7F" w:rsidP="52C489C6">
            <w:pPr>
              <w:pStyle w:val="ListParagraph"/>
              <w:numPr>
                <w:ilvl w:val="0"/>
                <w:numId w:val="26"/>
              </w:numPr>
              <w:spacing w:before="0" w:after="0"/>
              <w:rPr>
                <w:rFonts w:cs="Open Sans"/>
              </w:rPr>
            </w:pPr>
            <w:r w:rsidRPr="46611AC7">
              <w:rPr>
                <w:rFonts w:cs="Open Sans"/>
              </w:rPr>
              <w:t>Recognise intersectional experiences of racial discrimination.</w:t>
            </w:r>
          </w:p>
          <w:p w14:paraId="5D69564A" w14:textId="77777777" w:rsidR="00B33C7F" w:rsidRDefault="00B33C7F" w:rsidP="52C489C6">
            <w:pPr>
              <w:pStyle w:val="ListParagraph"/>
              <w:numPr>
                <w:ilvl w:val="0"/>
                <w:numId w:val="26"/>
              </w:numPr>
              <w:spacing w:before="0" w:after="0"/>
              <w:rPr>
                <w:rFonts w:cs="Open Sans"/>
              </w:rPr>
            </w:pPr>
            <w:r w:rsidRPr="46611AC7">
              <w:rPr>
                <w:rFonts w:cs="Open Sans"/>
              </w:rPr>
              <w:t>Racism and racial discrimination cause significant harm to individuals, communities, and Australian society.</w:t>
            </w:r>
          </w:p>
          <w:p w14:paraId="29B98063" w14:textId="2992B221" w:rsidR="00B33C7F" w:rsidRPr="002C19E0" w:rsidRDefault="00B33C7F" w:rsidP="52C489C6">
            <w:pPr>
              <w:pStyle w:val="ListParagraph"/>
              <w:numPr>
                <w:ilvl w:val="0"/>
                <w:numId w:val="26"/>
              </w:numPr>
              <w:spacing w:before="0" w:after="0"/>
              <w:rPr>
                <w:rFonts w:cs="Open Sans"/>
              </w:rPr>
            </w:pPr>
            <w:r w:rsidRPr="46611AC7">
              <w:rPr>
                <w:rFonts w:cs="Open Sans"/>
              </w:rPr>
              <w:t>Racism takes many forms (</w:t>
            </w:r>
            <w:proofErr w:type="gramStart"/>
            <w:r w:rsidRPr="46611AC7">
              <w:rPr>
                <w:rFonts w:cs="Open Sans"/>
              </w:rPr>
              <w:t>e.g.</w:t>
            </w:r>
            <w:proofErr w:type="gramEnd"/>
            <w:r w:rsidRPr="46611AC7">
              <w:rPr>
                <w:rFonts w:cs="Open Sans"/>
              </w:rPr>
              <w:t xml:space="preserve"> individual, vilification / abuse, institutional or systemic) and is experienced and impacts on people in different ways.</w:t>
            </w:r>
          </w:p>
        </w:tc>
      </w:tr>
    </w:tbl>
    <w:p w14:paraId="0859C779" w14:textId="1ED50F1B" w:rsidR="52C489C6" w:rsidRDefault="52C489C6" w:rsidP="52C489C6">
      <w:pPr>
        <w:spacing w:before="0" w:after="160" w:line="259" w:lineRule="auto"/>
        <w:ind w:left="66"/>
        <w:rPr>
          <w:rFonts w:eastAsia="Open Sans" w:cs="Open Sans"/>
        </w:rPr>
      </w:pPr>
    </w:p>
    <w:p w14:paraId="298F1A53" w14:textId="0F9779B7" w:rsidR="00B33C7F" w:rsidRPr="00105A4A" w:rsidRDefault="00E61169" w:rsidP="52C489C6">
      <w:pPr>
        <w:pStyle w:val="ListParagraph"/>
        <w:numPr>
          <w:ilvl w:val="0"/>
          <w:numId w:val="41"/>
        </w:numPr>
        <w:spacing w:before="0" w:after="160" w:line="259" w:lineRule="auto"/>
        <w:ind w:left="851" w:hanging="425"/>
        <w:rPr>
          <w:rFonts w:eastAsiaTheme="minorEastAsia"/>
        </w:rPr>
      </w:pPr>
      <w:r w:rsidRPr="52C489C6">
        <w:rPr>
          <w:rFonts w:cs="Open Sans"/>
        </w:rPr>
        <w:lastRenderedPageBreak/>
        <w:t>Actions in the national framework should be built around outcome areas. The following eight action areas are proposed.</w:t>
      </w:r>
    </w:p>
    <w:tbl>
      <w:tblPr>
        <w:tblStyle w:val="TableGrid"/>
        <w:tblW w:w="8939" w:type="dxa"/>
        <w:tblInd w:w="421" w:type="dxa"/>
        <w:tblLayout w:type="fixed"/>
        <w:tblLook w:val="06A0" w:firstRow="1" w:lastRow="0" w:firstColumn="1" w:lastColumn="0" w:noHBand="1" w:noVBand="1"/>
      </w:tblPr>
      <w:tblGrid>
        <w:gridCol w:w="8939"/>
      </w:tblGrid>
      <w:tr w:rsidR="00451F12" w14:paraId="7FD16366" w14:textId="77777777" w:rsidTr="00CB2EE2">
        <w:tc>
          <w:tcPr>
            <w:tcW w:w="8939" w:type="dxa"/>
          </w:tcPr>
          <w:p w14:paraId="2C99B150" w14:textId="7099389F" w:rsidR="00451F12" w:rsidRPr="00E700E3" w:rsidRDefault="00451F12" w:rsidP="007D4C09">
            <w:pPr>
              <w:rPr>
                <w:b/>
                <w:bCs/>
              </w:rPr>
            </w:pPr>
            <w:r w:rsidRPr="00E700E3">
              <w:rPr>
                <w:b/>
                <w:bCs/>
              </w:rPr>
              <w:t xml:space="preserve">Proposed National Outcomes </w:t>
            </w:r>
          </w:p>
          <w:p w14:paraId="1F3425A1" w14:textId="77777777" w:rsidR="00451F12" w:rsidRDefault="00451F12" w:rsidP="007D4C09">
            <w:pPr>
              <w:rPr>
                <w:rStyle w:val="Heading2Char"/>
                <w:rFonts w:eastAsiaTheme="minorEastAsia" w:cs="Open Sans"/>
                <w:b w:val="0"/>
                <w:i/>
                <w:sz w:val="24"/>
                <w:szCs w:val="24"/>
                <w:lang w:val="en-GB" w:eastAsia="en-US"/>
              </w:rPr>
            </w:pPr>
            <w:r w:rsidRPr="007D4C09">
              <w:rPr>
                <w:b/>
                <w:bCs/>
                <w:i/>
                <w:iCs/>
              </w:rPr>
              <w:t>National Outcome 1</w:t>
            </w:r>
            <w:r w:rsidRPr="46611AC7">
              <w:rPr>
                <w:i/>
                <w:iCs/>
              </w:rPr>
              <w:t xml:space="preserve"> – </w:t>
            </w:r>
            <w:r w:rsidRPr="46611AC7">
              <w:t>The nature, prevalence, and incidence of racism in Australia is understood.</w:t>
            </w:r>
          </w:p>
          <w:p w14:paraId="2E94439E" w14:textId="77777777" w:rsidR="00451F12" w:rsidRDefault="00451F12" w:rsidP="007D4C09">
            <w:pPr>
              <w:rPr>
                <w:lang w:val="en-GB"/>
              </w:rPr>
            </w:pPr>
            <w:bookmarkStart w:id="11" w:name="_Toc66713102"/>
            <w:bookmarkStart w:id="12" w:name="_Toc66713173"/>
            <w:bookmarkStart w:id="13" w:name="_Toc66713330"/>
            <w:r w:rsidRPr="007D4C09">
              <w:rPr>
                <w:b/>
                <w:bCs/>
              </w:rPr>
              <w:t>National Outcome 2</w:t>
            </w:r>
            <w:bookmarkEnd w:id="11"/>
            <w:bookmarkEnd w:id="12"/>
            <w:bookmarkEnd w:id="13"/>
            <w:r w:rsidRPr="46611AC7">
              <w:t xml:space="preserve"> –</w:t>
            </w:r>
            <w:r w:rsidRPr="46611AC7">
              <w:rPr>
                <w:lang w:val="en-GB"/>
              </w:rPr>
              <w:t xml:space="preserve">Australia has an effective legal framework to protect people from racial discrimination and racial hatred. </w:t>
            </w:r>
          </w:p>
          <w:p w14:paraId="08F2CBBC" w14:textId="77777777" w:rsidR="00451F12" w:rsidRDefault="00451F12" w:rsidP="007D4C09">
            <w:pPr>
              <w:rPr>
                <w:lang w:val="en-GB"/>
              </w:rPr>
            </w:pPr>
            <w:bookmarkStart w:id="14" w:name="_Toc66713103"/>
            <w:bookmarkStart w:id="15" w:name="_Toc66713174"/>
            <w:r w:rsidRPr="007D4C09">
              <w:rPr>
                <w:b/>
                <w:bCs/>
                <w:i/>
                <w:iCs/>
              </w:rPr>
              <w:t>National Outcome 3</w:t>
            </w:r>
            <w:bookmarkEnd w:id="14"/>
            <w:bookmarkEnd w:id="15"/>
            <w:r w:rsidRPr="46611AC7">
              <w:t xml:space="preserve"> – </w:t>
            </w:r>
            <w:r w:rsidRPr="46611AC7">
              <w:rPr>
                <w:lang w:val="en-GB"/>
              </w:rPr>
              <w:t>All Australian Governments commit to eradicating racism and racial discrimination through their actions.</w:t>
            </w:r>
          </w:p>
          <w:p w14:paraId="657E9BC6" w14:textId="77777777" w:rsidR="00451F12" w:rsidRDefault="00451F12" w:rsidP="007D4C09">
            <w:bookmarkStart w:id="16" w:name="_Toc66713104"/>
            <w:bookmarkStart w:id="17" w:name="_Toc66713175"/>
            <w:bookmarkStart w:id="18" w:name="_Toc66713331"/>
            <w:r w:rsidRPr="007D4C09">
              <w:rPr>
                <w:b/>
                <w:bCs/>
                <w:i/>
                <w:iCs/>
              </w:rPr>
              <w:t>National Outcome</w:t>
            </w:r>
            <w:bookmarkEnd w:id="16"/>
            <w:bookmarkEnd w:id="17"/>
            <w:bookmarkEnd w:id="18"/>
            <w:r w:rsidRPr="007D4C09">
              <w:rPr>
                <w:b/>
                <w:bCs/>
                <w:i/>
                <w:iCs/>
              </w:rPr>
              <w:t xml:space="preserve"> 4</w:t>
            </w:r>
            <w:r w:rsidRPr="46611AC7">
              <w:rPr>
                <w:i/>
                <w:iCs/>
              </w:rPr>
              <w:t xml:space="preserve"> – </w:t>
            </w:r>
            <w:r w:rsidRPr="46611AC7">
              <w:t>There is broad based community understanding of racism and racial discrimination, and how to counter it.</w:t>
            </w:r>
          </w:p>
          <w:p w14:paraId="452AE8C6" w14:textId="77777777" w:rsidR="00451F12" w:rsidRDefault="00451F12" w:rsidP="007D4C09">
            <w:r w:rsidRPr="007D4C09">
              <w:rPr>
                <w:b/>
                <w:bCs/>
                <w:i/>
                <w:iCs/>
              </w:rPr>
              <w:t>National Outcome 5</w:t>
            </w:r>
            <w:r w:rsidRPr="46611AC7">
              <w:rPr>
                <w:i/>
                <w:iCs/>
              </w:rPr>
              <w:t xml:space="preserve"> – </w:t>
            </w:r>
            <w:r w:rsidRPr="46611AC7">
              <w:t>All sectors of society commit to countering and preventing racism, and community partnerships are formed.</w:t>
            </w:r>
          </w:p>
          <w:p w14:paraId="1A30D8B6" w14:textId="77777777" w:rsidR="00451F12" w:rsidRDefault="00451F12" w:rsidP="007D4C09">
            <w:r w:rsidRPr="46611AC7">
              <w:rPr>
                <w:b/>
                <w:bCs/>
                <w:i/>
                <w:iCs/>
              </w:rPr>
              <w:t xml:space="preserve">National Outcome 6 – </w:t>
            </w:r>
            <w:r w:rsidRPr="46611AC7">
              <w:t>All sectors of society commit to ensuring</w:t>
            </w:r>
            <w:r w:rsidRPr="46611AC7">
              <w:rPr>
                <w:b/>
                <w:bCs/>
              </w:rPr>
              <w:t xml:space="preserve"> </w:t>
            </w:r>
            <w:r w:rsidRPr="46611AC7">
              <w:t xml:space="preserve">communities vulnerable to racism and racial discrimination are adequately represented and have effective participation in all areas of public life. </w:t>
            </w:r>
          </w:p>
          <w:p w14:paraId="5EF67D5B" w14:textId="77777777" w:rsidR="00451F12" w:rsidRDefault="00451F12" w:rsidP="007D4C09">
            <w:pPr>
              <w:rPr>
                <w:b/>
                <w:bCs/>
                <w:i/>
                <w:iCs/>
              </w:rPr>
            </w:pPr>
            <w:r w:rsidRPr="46611AC7">
              <w:rPr>
                <w:b/>
                <w:bCs/>
                <w:i/>
                <w:iCs/>
              </w:rPr>
              <w:t xml:space="preserve">National Outcome 7 – </w:t>
            </w:r>
            <w:r w:rsidRPr="46611AC7">
              <w:t>All Australian Governments commit to addressing racial inequality and adopt targeted and appropriate measures to address it</w:t>
            </w:r>
          </w:p>
          <w:p w14:paraId="30C7E60E" w14:textId="7F890519" w:rsidR="00451F12" w:rsidRPr="002C19E0" w:rsidRDefault="00451F12" w:rsidP="000954C1">
            <w:r w:rsidRPr="46611AC7">
              <w:rPr>
                <w:b/>
                <w:bCs/>
                <w:i/>
                <w:iCs/>
              </w:rPr>
              <w:t xml:space="preserve">National Outcome 8 – </w:t>
            </w:r>
            <w:r w:rsidRPr="46611AC7">
              <w:t>Measures to address racism, racial discrimination and racial inequality complement measures to strengthen multiculturalism, social inclusion, and Indigenous reconciliation.</w:t>
            </w:r>
          </w:p>
        </w:tc>
      </w:tr>
    </w:tbl>
    <w:p w14:paraId="76F5C708" w14:textId="77777777" w:rsidR="00451F12" w:rsidRDefault="00451F12" w:rsidP="002C19E0">
      <w:pPr>
        <w:spacing w:after="0"/>
        <w:rPr>
          <w:rFonts w:cs="Open Sans"/>
        </w:rPr>
      </w:pPr>
    </w:p>
    <w:p w14:paraId="6BBA1617" w14:textId="49C2A7E1" w:rsidR="002C19E0" w:rsidRPr="002C19E0" w:rsidRDefault="00451F12" w:rsidP="00676382">
      <w:pPr>
        <w:pStyle w:val="ListParagraph"/>
        <w:numPr>
          <w:ilvl w:val="0"/>
          <w:numId w:val="41"/>
        </w:numPr>
        <w:spacing w:before="0" w:after="0"/>
        <w:ind w:left="851" w:hanging="425"/>
        <w:contextualSpacing/>
      </w:pPr>
      <w:r w:rsidRPr="46611AC7">
        <w:rPr>
          <w:rFonts w:cs="Open Sans"/>
        </w:rPr>
        <w:t xml:space="preserve">Each of these national outcomes should include a range of key actions that are measurable and on which there is accountability. The Commission proposes the following key actions for each of the proposed outcome areas. </w:t>
      </w:r>
    </w:p>
    <w:tbl>
      <w:tblPr>
        <w:tblStyle w:val="TableGrid"/>
        <w:tblW w:w="9213" w:type="dxa"/>
        <w:tblInd w:w="421" w:type="dxa"/>
        <w:tblLayout w:type="fixed"/>
        <w:tblLook w:val="06A0" w:firstRow="1" w:lastRow="0" w:firstColumn="1" w:lastColumn="0" w:noHBand="1" w:noVBand="1"/>
      </w:tblPr>
      <w:tblGrid>
        <w:gridCol w:w="9213"/>
      </w:tblGrid>
      <w:tr w:rsidR="00451F12" w14:paraId="353571D6" w14:textId="77777777" w:rsidTr="00CB2EE2">
        <w:trPr>
          <w:trHeight w:val="6737"/>
        </w:trPr>
        <w:tc>
          <w:tcPr>
            <w:tcW w:w="9213" w:type="dxa"/>
          </w:tcPr>
          <w:p w14:paraId="25C74651" w14:textId="5CEE737B" w:rsidR="00451F12" w:rsidRDefault="00451F12" w:rsidP="000954C1">
            <w:pPr>
              <w:rPr>
                <w:rFonts w:cs="Open Sans"/>
                <w:b/>
                <w:bCs/>
              </w:rPr>
            </w:pPr>
            <w:r w:rsidRPr="46611AC7">
              <w:rPr>
                <w:rFonts w:cs="Open Sans"/>
                <w:b/>
                <w:bCs/>
              </w:rPr>
              <w:lastRenderedPageBreak/>
              <w:t>Key actions and strategies by outcome area</w:t>
            </w:r>
          </w:p>
          <w:p w14:paraId="2944B3BE" w14:textId="50BC0B63" w:rsidR="00451F12" w:rsidRPr="002C19E0" w:rsidRDefault="00451F12" w:rsidP="000954C1">
            <w:pPr>
              <w:rPr>
                <w:rFonts w:eastAsiaTheme="minorEastAsia" w:cs="Open Sans"/>
                <w:i/>
                <w:lang w:val="en-GB" w:eastAsia="en-US"/>
              </w:rPr>
            </w:pPr>
            <w:r w:rsidRPr="46611AC7">
              <w:rPr>
                <w:rFonts w:cs="Open Sans"/>
                <w:b/>
                <w:bCs/>
                <w:i/>
                <w:iCs/>
              </w:rPr>
              <w:t xml:space="preserve">National Outcome 1 – </w:t>
            </w:r>
            <w:r w:rsidRPr="46611AC7">
              <w:rPr>
                <w:rFonts w:cs="Open Sans"/>
                <w:b/>
                <w:bCs/>
              </w:rPr>
              <w:t>The nature, prevalence, and incidence of racism in Australia is understood</w:t>
            </w:r>
          </w:p>
          <w:p w14:paraId="4318F723" w14:textId="4DF59252" w:rsidR="00451F12" w:rsidRDefault="00451F12" w:rsidP="000954C1">
            <w:pPr>
              <w:rPr>
                <w:rFonts w:cs="Open Sans"/>
                <w:b/>
                <w:bCs/>
                <w:i/>
                <w:iCs/>
              </w:rPr>
            </w:pPr>
            <w:r w:rsidRPr="46611AC7">
              <w:rPr>
                <w:rFonts w:cs="Open Sans"/>
                <w:b/>
                <w:bCs/>
                <w:i/>
                <w:iCs/>
              </w:rPr>
              <w:t>Key actions and strategies:</w:t>
            </w:r>
          </w:p>
          <w:p w14:paraId="2FCDC6D1" w14:textId="77777777" w:rsidR="00451F12" w:rsidRDefault="00451F12" w:rsidP="00842B54">
            <w:pPr>
              <w:pStyle w:val="ListParagraph"/>
              <w:numPr>
                <w:ilvl w:val="0"/>
                <w:numId w:val="27"/>
              </w:numPr>
              <w:spacing w:before="0" w:after="0"/>
              <w:contextualSpacing/>
              <w:rPr>
                <w:rFonts w:cs="Open Sans"/>
              </w:rPr>
            </w:pPr>
            <w:r w:rsidRPr="46611AC7">
              <w:rPr>
                <w:rFonts w:cs="Open Sans"/>
              </w:rPr>
              <w:t>A national data framework</w:t>
            </w:r>
            <w:r w:rsidRPr="46611AC7">
              <w:rPr>
                <w:rFonts w:cs="Open Sans"/>
                <w:b/>
                <w:bCs/>
              </w:rPr>
              <w:t xml:space="preserve"> </w:t>
            </w:r>
            <w:r w:rsidRPr="46611AC7">
              <w:rPr>
                <w:rFonts w:cs="Open Sans"/>
              </w:rPr>
              <w:t>can identify the extent of racism, cyber-racism, and racial discrimination in Australia, who suffers it, and the nature of it</w:t>
            </w:r>
          </w:p>
          <w:p w14:paraId="0451163F" w14:textId="77777777" w:rsidR="00451F12" w:rsidRDefault="00451F12" w:rsidP="00842B54">
            <w:pPr>
              <w:pStyle w:val="ListParagraph"/>
              <w:numPr>
                <w:ilvl w:val="0"/>
                <w:numId w:val="27"/>
              </w:numPr>
              <w:spacing w:before="0" w:after="0"/>
              <w:contextualSpacing/>
              <w:rPr>
                <w:rFonts w:cs="Open Sans"/>
              </w:rPr>
            </w:pPr>
            <w:r w:rsidRPr="46611AC7">
              <w:rPr>
                <w:rFonts w:cs="Open Sans"/>
              </w:rPr>
              <w:t>A national data framework can identify intersectional discrimination</w:t>
            </w:r>
          </w:p>
          <w:p w14:paraId="35CF2BF4" w14:textId="77777777" w:rsidR="00451F12" w:rsidRDefault="00451F12" w:rsidP="00842B54">
            <w:pPr>
              <w:pStyle w:val="ListParagraph"/>
              <w:numPr>
                <w:ilvl w:val="0"/>
                <w:numId w:val="27"/>
              </w:numPr>
              <w:spacing w:before="0" w:after="0"/>
              <w:contextualSpacing/>
              <w:rPr>
                <w:rFonts w:cs="Open Sans"/>
              </w:rPr>
            </w:pPr>
            <w:r w:rsidRPr="46611AC7">
              <w:rPr>
                <w:rFonts w:cs="Open Sans"/>
              </w:rPr>
              <w:t>Disaggregation of national data provides evidence for priority setting</w:t>
            </w:r>
          </w:p>
          <w:p w14:paraId="67D60AE7" w14:textId="77777777" w:rsidR="00451F12" w:rsidRDefault="00451F12" w:rsidP="00842B54">
            <w:pPr>
              <w:pStyle w:val="ListParagraph"/>
              <w:numPr>
                <w:ilvl w:val="0"/>
                <w:numId w:val="27"/>
              </w:numPr>
              <w:spacing w:before="0" w:after="0"/>
              <w:contextualSpacing/>
              <w:rPr>
                <w:rFonts w:cs="Open Sans"/>
                <w:b/>
                <w:bCs/>
              </w:rPr>
            </w:pPr>
            <w:r w:rsidRPr="46611AC7">
              <w:rPr>
                <w:rFonts w:cs="Open Sans"/>
              </w:rPr>
              <w:t xml:space="preserve">The national data framework ties current data collection, analysis and reporting to agreed nationally consistent benchmarks </w:t>
            </w:r>
          </w:p>
          <w:p w14:paraId="196D22E7" w14:textId="77777777" w:rsidR="00451F12" w:rsidRDefault="00451F12" w:rsidP="00842B54">
            <w:pPr>
              <w:pStyle w:val="ListParagraph"/>
              <w:numPr>
                <w:ilvl w:val="0"/>
                <w:numId w:val="27"/>
              </w:numPr>
              <w:spacing w:before="0" w:after="0"/>
              <w:contextualSpacing/>
              <w:rPr>
                <w:rFonts w:cs="Open Sans"/>
                <w:b/>
                <w:bCs/>
              </w:rPr>
            </w:pPr>
            <w:r w:rsidRPr="46611AC7">
              <w:rPr>
                <w:rFonts w:cs="Open Sans"/>
              </w:rPr>
              <w:t>Research identifies key drivers for racism in Australia, as well as best practice responses to it</w:t>
            </w:r>
          </w:p>
          <w:p w14:paraId="0AE0A960" w14:textId="77777777" w:rsidR="00451F12" w:rsidRDefault="00451F12" w:rsidP="00842B54">
            <w:pPr>
              <w:pStyle w:val="ListParagraph"/>
              <w:numPr>
                <w:ilvl w:val="0"/>
                <w:numId w:val="27"/>
              </w:numPr>
              <w:spacing w:before="0" w:after="0"/>
              <w:contextualSpacing/>
              <w:rPr>
                <w:rFonts w:cs="Open Sans"/>
                <w:b/>
                <w:bCs/>
              </w:rPr>
            </w:pPr>
            <w:r w:rsidRPr="46611AC7">
              <w:rPr>
                <w:rFonts w:cs="Open Sans"/>
              </w:rPr>
              <w:t>The prevalence and nature of racist extremism in Australia is understood</w:t>
            </w:r>
          </w:p>
          <w:p w14:paraId="67CE76DA" w14:textId="77777777" w:rsidR="00451F12" w:rsidRDefault="00451F12" w:rsidP="00842B54">
            <w:pPr>
              <w:pStyle w:val="ListParagraph"/>
              <w:numPr>
                <w:ilvl w:val="0"/>
                <w:numId w:val="27"/>
              </w:numPr>
              <w:spacing w:before="0" w:after="0"/>
              <w:contextualSpacing/>
              <w:rPr>
                <w:rFonts w:cs="Open Sans"/>
                <w:b/>
                <w:bCs/>
              </w:rPr>
            </w:pPr>
            <w:r w:rsidRPr="46611AC7">
              <w:rPr>
                <w:rFonts w:cs="Open Sans"/>
              </w:rPr>
              <w:t>Racial equality audits identify disproportionate impacts of decision making by government and public officials, as well as potential systemic or institutional discrimination</w:t>
            </w:r>
          </w:p>
          <w:p w14:paraId="76B28520" w14:textId="77777777" w:rsidR="00451F12" w:rsidRDefault="00451F12" w:rsidP="00842B54">
            <w:pPr>
              <w:pStyle w:val="ListParagraph"/>
              <w:numPr>
                <w:ilvl w:val="0"/>
                <w:numId w:val="27"/>
              </w:numPr>
              <w:spacing w:before="0" w:after="0"/>
              <w:contextualSpacing/>
              <w:rPr>
                <w:rFonts w:cs="Open Sans"/>
                <w:b/>
                <w:bCs/>
              </w:rPr>
            </w:pPr>
            <w:r w:rsidRPr="46611AC7">
              <w:rPr>
                <w:rFonts w:cs="Open Sans"/>
              </w:rPr>
              <w:t>Artificial intelligence decision making frameworks are regularly reviewed for racial bias</w:t>
            </w:r>
          </w:p>
          <w:p w14:paraId="4ADF2844" w14:textId="2FE96C81" w:rsidR="00451F12" w:rsidRPr="00C949CB" w:rsidRDefault="00451F12" w:rsidP="00030179">
            <w:pPr>
              <w:rPr>
                <w:b/>
                <w:i/>
                <w:iCs/>
              </w:rPr>
            </w:pPr>
            <w:r w:rsidRPr="46611AC7">
              <w:t>Regular reporting identifies changes over time in the experiences of racism and racial discrimination.</w:t>
            </w:r>
            <w:r w:rsidR="002C19E0">
              <w:br/>
            </w:r>
          </w:p>
          <w:p w14:paraId="4194FAD4" w14:textId="60FB24A3" w:rsidR="00451F12" w:rsidRPr="00C949CB" w:rsidRDefault="00451F12" w:rsidP="00030179">
            <w:pPr>
              <w:rPr>
                <w:rFonts w:cs="Open Sans"/>
                <w:b/>
                <w:i/>
                <w:iCs/>
              </w:rPr>
            </w:pPr>
            <w:bookmarkStart w:id="19" w:name="_Toc66713105"/>
            <w:bookmarkStart w:id="20" w:name="_Toc66713176"/>
            <w:bookmarkStart w:id="21" w:name="_Toc66713332"/>
            <w:r w:rsidRPr="00C949CB">
              <w:rPr>
                <w:rFonts w:cs="Open Sans"/>
                <w:b/>
                <w:i/>
                <w:iCs/>
              </w:rPr>
              <w:t>National Outcome 2</w:t>
            </w:r>
            <w:bookmarkEnd w:id="19"/>
            <w:bookmarkEnd w:id="20"/>
            <w:bookmarkEnd w:id="21"/>
            <w:r w:rsidRPr="00C949CB">
              <w:rPr>
                <w:rFonts w:cs="Open Sans"/>
                <w:b/>
                <w:i/>
                <w:iCs/>
              </w:rPr>
              <w:t xml:space="preserve"> – </w:t>
            </w:r>
            <w:r w:rsidRPr="00C949CB">
              <w:rPr>
                <w:rFonts w:cs="Open Sans"/>
                <w:b/>
              </w:rPr>
              <w:t>Australia has an effective legal framework to protect people from racial discrimination and racial hatred</w:t>
            </w:r>
            <w:r w:rsidRPr="00C949CB">
              <w:rPr>
                <w:rFonts w:cs="Open Sans"/>
                <w:b/>
                <w:i/>
                <w:iCs/>
              </w:rPr>
              <w:t xml:space="preserve"> </w:t>
            </w:r>
          </w:p>
          <w:p w14:paraId="1BE841A5" w14:textId="1DB95AAF" w:rsidR="00451F12" w:rsidRDefault="00451F12" w:rsidP="000954C1">
            <w:pPr>
              <w:rPr>
                <w:rFonts w:cs="Open Sans"/>
                <w:b/>
                <w:bCs/>
                <w:i/>
                <w:iCs/>
              </w:rPr>
            </w:pPr>
            <w:r w:rsidRPr="46611AC7">
              <w:rPr>
                <w:rFonts w:cs="Open Sans"/>
                <w:b/>
                <w:bCs/>
                <w:i/>
                <w:iCs/>
              </w:rPr>
              <w:t>Key actions and strategies:</w:t>
            </w:r>
          </w:p>
          <w:p w14:paraId="382B18F4" w14:textId="77777777" w:rsidR="00451F12" w:rsidRDefault="00451F12" w:rsidP="00842B54">
            <w:pPr>
              <w:pStyle w:val="ListParagraph"/>
              <w:numPr>
                <w:ilvl w:val="0"/>
                <w:numId w:val="31"/>
              </w:numPr>
              <w:spacing w:before="0" w:after="0"/>
              <w:contextualSpacing/>
              <w:rPr>
                <w:rFonts w:cs="Open Sans"/>
              </w:rPr>
            </w:pPr>
            <w:r w:rsidRPr="46611AC7">
              <w:rPr>
                <w:rFonts w:cs="Open Sans"/>
              </w:rPr>
              <w:t>Legal framework protects against racial discrimination and racial hatred</w:t>
            </w:r>
          </w:p>
          <w:p w14:paraId="68692374" w14:textId="77777777" w:rsidR="00451F12" w:rsidRDefault="00451F12" w:rsidP="00842B54">
            <w:pPr>
              <w:pStyle w:val="ListParagraph"/>
              <w:numPr>
                <w:ilvl w:val="0"/>
                <w:numId w:val="31"/>
              </w:numPr>
              <w:spacing w:before="0" w:after="0"/>
              <w:contextualSpacing/>
              <w:rPr>
                <w:rFonts w:cs="Open Sans"/>
              </w:rPr>
            </w:pPr>
            <w:r w:rsidRPr="46611AC7">
              <w:rPr>
                <w:rFonts w:cs="Open Sans"/>
              </w:rPr>
              <w:t>The effectiveness of the legal framework is reviewed regularly, including to ensure that protections and remedies for victims of racism are accessible and affordable</w:t>
            </w:r>
          </w:p>
          <w:p w14:paraId="292DCF07" w14:textId="7E9226AA" w:rsidR="00451F12" w:rsidRPr="002C19E0" w:rsidRDefault="00451F12" w:rsidP="00030179">
            <w:pPr>
              <w:rPr>
                <w:rStyle w:val="Heading2Char"/>
                <w:b w:val="0"/>
                <w:sz w:val="24"/>
                <w:szCs w:val="24"/>
              </w:rPr>
            </w:pPr>
            <w:r w:rsidRPr="46611AC7">
              <w:rPr>
                <w:rFonts w:cs="Open Sans"/>
              </w:rPr>
              <w:t>The legal framework has the capacity to address systemic and institutional discrimination</w:t>
            </w:r>
            <w:r w:rsidR="002C19E0">
              <w:rPr>
                <w:rFonts w:cs="Open Sans"/>
              </w:rPr>
              <w:br/>
            </w:r>
          </w:p>
          <w:p w14:paraId="1613E1EA" w14:textId="6AD89A67" w:rsidR="00451F12" w:rsidRPr="00C949CB" w:rsidRDefault="00451F12" w:rsidP="00030179">
            <w:pPr>
              <w:rPr>
                <w:b/>
                <w:i/>
                <w:iCs/>
              </w:rPr>
            </w:pPr>
            <w:bookmarkStart w:id="22" w:name="_Toc66713106"/>
            <w:bookmarkStart w:id="23" w:name="_Toc66713177"/>
            <w:bookmarkStart w:id="24" w:name="_Toc66713333"/>
            <w:r w:rsidRPr="00C949CB">
              <w:rPr>
                <w:b/>
                <w:bCs/>
                <w:i/>
                <w:iCs/>
              </w:rPr>
              <w:t>National Outcome 3</w:t>
            </w:r>
            <w:bookmarkEnd w:id="22"/>
            <w:bookmarkEnd w:id="23"/>
            <w:bookmarkEnd w:id="24"/>
            <w:r w:rsidRPr="00C949CB">
              <w:rPr>
                <w:b/>
                <w:i/>
                <w:iCs/>
              </w:rPr>
              <w:t xml:space="preserve"> – </w:t>
            </w:r>
            <w:r w:rsidRPr="00C949CB">
              <w:rPr>
                <w:b/>
              </w:rPr>
              <w:t>All Australian Governments commit to eradicating racism and racial discrimination through their actions</w:t>
            </w:r>
          </w:p>
          <w:p w14:paraId="78101843" w14:textId="12A84F6A" w:rsidR="00451F12" w:rsidRDefault="00451F12" w:rsidP="000954C1">
            <w:pPr>
              <w:rPr>
                <w:rFonts w:cs="Open Sans"/>
                <w:b/>
                <w:bCs/>
                <w:i/>
                <w:iCs/>
              </w:rPr>
            </w:pPr>
            <w:r w:rsidRPr="46611AC7">
              <w:rPr>
                <w:rFonts w:cs="Open Sans"/>
                <w:b/>
                <w:bCs/>
                <w:i/>
                <w:iCs/>
              </w:rPr>
              <w:lastRenderedPageBreak/>
              <w:t>Key actions and strategies:</w:t>
            </w:r>
          </w:p>
          <w:p w14:paraId="1C7FBE80" w14:textId="77777777" w:rsidR="00451F12" w:rsidRDefault="00451F12" w:rsidP="00842B54">
            <w:pPr>
              <w:pStyle w:val="ListParagraph"/>
              <w:numPr>
                <w:ilvl w:val="0"/>
                <w:numId w:val="28"/>
              </w:numPr>
              <w:spacing w:before="0" w:after="0"/>
              <w:contextualSpacing/>
              <w:rPr>
                <w:rFonts w:cs="Open Sans"/>
                <w:b/>
                <w:bCs/>
              </w:rPr>
            </w:pPr>
            <w:r w:rsidRPr="46611AC7">
              <w:rPr>
                <w:rFonts w:cs="Open Sans"/>
              </w:rPr>
              <w:t>All governments in Australia commit to eradicating racism through adoption of a national framework on addressing racism</w:t>
            </w:r>
          </w:p>
          <w:p w14:paraId="6BBBE739" w14:textId="77777777" w:rsidR="00451F12" w:rsidRDefault="00451F12" w:rsidP="00842B54">
            <w:pPr>
              <w:pStyle w:val="ListParagraph"/>
              <w:numPr>
                <w:ilvl w:val="0"/>
                <w:numId w:val="28"/>
              </w:numPr>
              <w:spacing w:before="0" w:after="0"/>
              <w:contextualSpacing/>
              <w:rPr>
                <w:rFonts w:cs="Open Sans"/>
                <w:b/>
                <w:bCs/>
              </w:rPr>
            </w:pPr>
            <w:r w:rsidRPr="46611AC7">
              <w:rPr>
                <w:rFonts w:cs="Open Sans"/>
              </w:rPr>
              <w:t>All Australian governments identify actions that they will take to eradicate racism through the operation of laws, policy and practice, funding, and other supports</w:t>
            </w:r>
          </w:p>
          <w:p w14:paraId="22A274CA" w14:textId="77777777" w:rsidR="00451F12" w:rsidRDefault="00451F12" w:rsidP="00842B54">
            <w:pPr>
              <w:pStyle w:val="ListParagraph"/>
              <w:numPr>
                <w:ilvl w:val="0"/>
                <w:numId w:val="28"/>
              </w:numPr>
              <w:spacing w:before="0" w:after="0"/>
              <w:contextualSpacing/>
              <w:rPr>
                <w:rFonts w:cs="Open Sans"/>
                <w:b/>
                <w:bCs/>
                <w:lang w:val="en-GB"/>
              </w:rPr>
            </w:pPr>
            <w:r w:rsidRPr="46611AC7">
              <w:rPr>
                <w:rFonts w:cs="Open Sans"/>
              </w:rPr>
              <w:t xml:space="preserve">All Australian Governments </w:t>
            </w:r>
            <w:r w:rsidRPr="46611AC7">
              <w:rPr>
                <w:rFonts w:cs="Open Sans"/>
                <w:lang w:val="en-GB"/>
              </w:rPr>
              <w:t>adopt strategies to increase diversity in leadership and across public services</w:t>
            </w:r>
          </w:p>
          <w:p w14:paraId="0826F176" w14:textId="0310C4CC" w:rsidR="00451F12" w:rsidRPr="00C949CB" w:rsidRDefault="00451F12" w:rsidP="00C949CB">
            <w:pPr>
              <w:rPr>
                <w:i/>
                <w:iCs/>
              </w:rPr>
            </w:pPr>
            <w:r w:rsidRPr="46611AC7">
              <w:t xml:space="preserve">All Australian Parliaments commit to anti-racism, including in their operations </w:t>
            </w:r>
            <w:r w:rsidR="002C19E0">
              <w:br/>
            </w:r>
          </w:p>
          <w:p w14:paraId="6A9AB262" w14:textId="5DFB61DC" w:rsidR="00451F12" w:rsidRPr="00C949CB" w:rsidRDefault="00451F12" w:rsidP="00C949CB">
            <w:pPr>
              <w:rPr>
                <w:rFonts w:cs="Open Sans"/>
                <w:b/>
                <w:bCs/>
                <w:i/>
                <w:iCs/>
              </w:rPr>
            </w:pPr>
            <w:bookmarkStart w:id="25" w:name="_Toc66713107"/>
            <w:bookmarkStart w:id="26" w:name="_Toc66713178"/>
            <w:bookmarkStart w:id="27" w:name="_Toc66713334"/>
            <w:r w:rsidRPr="00C949CB">
              <w:rPr>
                <w:b/>
                <w:i/>
                <w:iCs/>
              </w:rPr>
              <w:t>National Outcome</w:t>
            </w:r>
            <w:bookmarkEnd w:id="25"/>
            <w:bookmarkEnd w:id="26"/>
            <w:bookmarkEnd w:id="27"/>
            <w:r w:rsidRPr="00C949CB">
              <w:rPr>
                <w:rFonts w:cs="Open Sans"/>
                <w:b/>
                <w:bCs/>
                <w:i/>
                <w:iCs/>
              </w:rPr>
              <w:t xml:space="preserve"> 4 – </w:t>
            </w:r>
            <w:r w:rsidRPr="00C949CB">
              <w:rPr>
                <w:rFonts w:cs="Open Sans"/>
                <w:b/>
                <w:bCs/>
              </w:rPr>
              <w:t>There is broad based community understanding of racism and racial discrimination, and how to counter it.</w:t>
            </w:r>
          </w:p>
          <w:p w14:paraId="455399AF" w14:textId="0FE61249" w:rsidR="00451F12" w:rsidRDefault="00451F12" w:rsidP="000954C1">
            <w:pPr>
              <w:rPr>
                <w:rFonts w:cs="Open Sans"/>
                <w:b/>
                <w:bCs/>
                <w:i/>
                <w:iCs/>
              </w:rPr>
            </w:pPr>
            <w:r w:rsidRPr="46611AC7">
              <w:rPr>
                <w:rFonts w:cs="Open Sans"/>
                <w:b/>
                <w:bCs/>
                <w:i/>
                <w:iCs/>
              </w:rPr>
              <w:t>Key actions and strategies:</w:t>
            </w:r>
          </w:p>
          <w:p w14:paraId="333B9EAC" w14:textId="77777777" w:rsidR="00451F12" w:rsidRDefault="00451F12" w:rsidP="00842B54">
            <w:pPr>
              <w:pStyle w:val="ListParagraph"/>
              <w:numPr>
                <w:ilvl w:val="0"/>
                <w:numId w:val="29"/>
              </w:numPr>
              <w:spacing w:before="0" w:after="0"/>
              <w:contextualSpacing/>
              <w:rPr>
                <w:rFonts w:cs="Open Sans"/>
              </w:rPr>
            </w:pPr>
            <w:r w:rsidRPr="46611AC7">
              <w:rPr>
                <w:rFonts w:cs="Open Sans"/>
              </w:rPr>
              <w:t>A national anti-racism campaign has broad reach and contributes to greater understanding of anti-racism in Australia</w:t>
            </w:r>
          </w:p>
          <w:p w14:paraId="11430CFF" w14:textId="77777777" w:rsidR="00451F12" w:rsidRDefault="00451F12" w:rsidP="00842B54">
            <w:pPr>
              <w:pStyle w:val="ListParagraph"/>
              <w:numPr>
                <w:ilvl w:val="0"/>
                <w:numId w:val="29"/>
              </w:numPr>
              <w:spacing w:before="0" w:after="0"/>
              <w:contextualSpacing/>
              <w:rPr>
                <w:rFonts w:cs="Open Sans"/>
              </w:rPr>
            </w:pPr>
            <w:r w:rsidRPr="46611AC7">
              <w:rPr>
                <w:rFonts w:cs="Open Sans"/>
              </w:rPr>
              <w:t>Community based supports exist for people targeted by racism and racial discrimination</w:t>
            </w:r>
          </w:p>
          <w:p w14:paraId="54564450" w14:textId="77777777" w:rsidR="00451F12" w:rsidRDefault="00451F12" w:rsidP="00842B54">
            <w:pPr>
              <w:pStyle w:val="ListParagraph"/>
              <w:numPr>
                <w:ilvl w:val="0"/>
                <w:numId w:val="29"/>
              </w:numPr>
              <w:spacing w:before="0" w:after="0"/>
              <w:contextualSpacing/>
              <w:rPr>
                <w:rFonts w:cs="Open Sans"/>
              </w:rPr>
            </w:pPr>
            <w:r w:rsidRPr="46611AC7">
              <w:rPr>
                <w:rFonts w:cs="Open Sans"/>
              </w:rPr>
              <w:t>Effective guidance and support exist for bystanders and allies to challenge racism where they witness it</w:t>
            </w:r>
          </w:p>
          <w:p w14:paraId="495E1544" w14:textId="308BCFD3" w:rsidR="00451F12" w:rsidRPr="002C19E0" w:rsidRDefault="00451F12" w:rsidP="00842B54">
            <w:pPr>
              <w:pStyle w:val="ListParagraph"/>
              <w:numPr>
                <w:ilvl w:val="0"/>
                <w:numId w:val="29"/>
              </w:numPr>
              <w:spacing w:before="0" w:after="0"/>
              <w:contextualSpacing/>
              <w:rPr>
                <w:rFonts w:cs="Open Sans"/>
              </w:rPr>
            </w:pPr>
            <w:r w:rsidRPr="46611AC7">
              <w:rPr>
                <w:rFonts w:cs="Open Sans"/>
              </w:rPr>
              <w:t xml:space="preserve">The media (including social media) commits to countering and preventing racism and racial discrimination through their operations. </w:t>
            </w:r>
            <w:r w:rsidR="002C19E0">
              <w:rPr>
                <w:rFonts w:cs="Open Sans"/>
              </w:rPr>
              <w:br/>
            </w:r>
          </w:p>
          <w:p w14:paraId="1C050685" w14:textId="08583A70" w:rsidR="00451F12" w:rsidRPr="002C19E0" w:rsidRDefault="00451F12" w:rsidP="000954C1">
            <w:pPr>
              <w:rPr>
                <w:rFonts w:cs="Open Sans"/>
              </w:rPr>
            </w:pPr>
            <w:r w:rsidRPr="46611AC7">
              <w:rPr>
                <w:rFonts w:cs="Open Sans"/>
                <w:b/>
                <w:bCs/>
                <w:i/>
                <w:iCs/>
              </w:rPr>
              <w:t xml:space="preserve">National Outcome 5 – </w:t>
            </w:r>
            <w:r w:rsidRPr="46611AC7">
              <w:rPr>
                <w:rFonts w:cs="Open Sans"/>
                <w:b/>
                <w:bCs/>
              </w:rPr>
              <w:t>All sectors of society commit to countering and preventing racism, and community partnerships are formed</w:t>
            </w:r>
          </w:p>
          <w:p w14:paraId="07D7E41A" w14:textId="77777777" w:rsidR="00451F12" w:rsidRDefault="00451F12" w:rsidP="000954C1">
            <w:pPr>
              <w:rPr>
                <w:rFonts w:cs="Open Sans"/>
                <w:b/>
                <w:bCs/>
                <w:i/>
                <w:iCs/>
              </w:rPr>
            </w:pPr>
            <w:r w:rsidRPr="46611AC7">
              <w:rPr>
                <w:rFonts w:cs="Open Sans"/>
                <w:b/>
                <w:bCs/>
                <w:i/>
                <w:iCs/>
              </w:rPr>
              <w:t>Key actions and strategies:</w:t>
            </w:r>
          </w:p>
          <w:p w14:paraId="00566D60" w14:textId="77777777" w:rsidR="00451F12" w:rsidRDefault="00451F12" w:rsidP="00842B54">
            <w:pPr>
              <w:pStyle w:val="ListParagraph"/>
              <w:numPr>
                <w:ilvl w:val="0"/>
                <w:numId w:val="33"/>
              </w:numPr>
              <w:spacing w:before="0" w:after="0"/>
              <w:contextualSpacing/>
              <w:rPr>
                <w:rFonts w:cs="Open Sans"/>
              </w:rPr>
            </w:pPr>
            <w:r w:rsidRPr="46611AC7">
              <w:rPr>
                <w:rFonts w:cs="Open Sans"/>
              </w:rPr>
              <w:t xml:space="preserve">A national anti-racism strategy builds commitments across sectors to address and prevent racism, as well as building community partnerships between sectors </w:t>
            </w:r>
          </w:p>
          <w:p w14:paraId="0EAEAAA2" w14:textId="77777777" w:rsidR="00451F12" w:rsidRDefault="00451F12" w:rsidP="00842B54">
            <w:pPr>
              <w:pStyle w:val="ListParagraph"/>
              <w:numPr>
                <w:ilvl w:val="0"/>
                <w:numId w:val="33"/>
              </w:numPr>
              <w:spacing w:before="0" w:after="0"/>
              <w:contextualSpacing/>
              <w:rPr>
                <w:rFonts w:cs="Open Sans"/>
              </w:rPr>
            </w:pPr>
            <w:r w:rsidRPr="46611AC7">
              <w:rPr>
                <w:rFonts w:cs="Open Sans"/>
              </w:rPr>
              <w:t>A national anti-racism strategy identifies best practice examples of countering and preventing racism across sectors, and develops guidance to assist different organisations to confidently act</w:t>
            </w:r>
          </w:p>
          <w:p w14:paraId="5DD4C984" w14:textId="77777777" w:rsidR="00451F12" w:rsidRDefault="00451F12" w:rsidP="00842B54">
            <w:pPr>
              <w:pStyle w:val="ListParagraph"/>
              <w:numPr>
                <w:ilvl w:val="0"/>
                <w:numId w:val="33"/>
              </w:numPr>
              <w:spacing w:before="0" w:after="0"/>
              <w:contextualSpacing/>
              <w:rPr>
                <w:rFonts w:cs="Open Sans"/>
              </w:rPr>
            </w:pPr>
            <w:r w:rsidRPr="46611AC7">
              <w:rPr>
                <w:rFonts w:cs="Open Sans"/>
              </w:rPr>
              <w:t xml:space="preserve">A national anti-racism strategy encourages the corporate sector to act to counter and prevent structural racism and racial inequalities including the development of leadership pathways which promote racial equality. </w:t>
            </w:r>
          </w:p>
          <w:p w14:paraId="369906E2" w14:textId="77777777" w:rsidR="002C19E0" w:rsidRDefault="00451F12" w:rsidP="00842B54">
            <w:pPr>
              <w:pStyle w:val="ListParagraph"/>
              <w:numPr>
                <w:ilvl w:val="0"/>
                <w:numId w:val="33"/>
              </w:numPr>
              <w:spacing w:before="0" w:after="0"/>
              <w:contextualSpacing/>
              <w:rPr>
                <w:rFonts w:cs="Open Sans"/>
              </w:rPr>
            </w:pPr>
            <w:r w:rsidRPr="46611AC7">
              <w:rPr>
                <w:rFonts w:cs="Open Sans"/>
              </w:rPr>
              <w:t>Reconciliation Action Plans include commitments to countering racism</w:t>
            </w:r>
          </w:p>
          <w:p w14:paraId="6568356E" w14:textId="01A18257" w:rsidR="00451F12" w:rsidRPr="002C19E0" w:rsidRDefault="00451F12" w:rsidP="00842B54">
            <w:pPr>
              <w:pStyle w:val="ListParagraph"/>
              <w:numPr>
                <w:ilvl w:val="0"/>
                <w:numId w:val="33"/>
              </w:numPr>
              <w:spacing w:before="0" w:after="0"/>
              <w:contextualSpacing/>
              <w:rPr>
                <w:rFonts w:cs="Open Sans"/>
              </w:rPr>
            </w:pPr>
            <w:r w:rsidRPr="002C19E0">
              <w:rPr>
                <w:rFonts w:cs="Open Sans"/>
              </w:rPr>
              <w:lastRenderedPageBreak/>
              <w:t>AHRC has the legislative basis and resourcing to certify special measures undertaken to promote equality.</w:t>
            </w:r>
            <w:r w:rsidR="002C19E0">
              <w:rPr>
                <w:rFonts w:cs="Open Sans"/>
              </w:rPr>
              <w:br/>
            </w:r>
          </w:p>
          <w:p w14:paraId="68CE635B" w14:textId="3BC68BD7" w:rsidR="00451F12" w:rsidRPr="002C19E0" w:rsidRDefault="00451F12" w:rsidP="000954C1">
            <w:pPr>
              <w:rPr>
                <w:rFonts w:cs="Open Sans"/>
              </w:rPr>
            </w:pPr>
            <w:r w:rsidRPr="46611AC7">
              <w:rPr>
                <w:rFonts w:cs="Open Sans"/>
                <w:b/>
                <w:bCs/>
                <w:i/>
                <w:iCs/>
              </w:rPr>
              <w:t xml:space="preserve">National Outcome 6 – </w:t>
            </w:r>
            <w:r w:rsidRPr="46611AC7">
              <w:rPr>
                <w:rFonts w:cs="Open Sans"/>
                <w:b/>
                <w:bCs/>
              </w:rPr>
              <w:t xml:space="preserve">All sectors of society commit to ensuring communities vulnerable to racism and racial discrimination are adequately represented and have effective participation in all areas of public life.  </w:t>
            </w:r>
          </w:p>
          <w:p w14:paraId="6E2CED1B" w14:textId="27A9CFB0" w:rsidR="00451F12" w:rsidRDefault="00451F12" w:rsidP="000954C1">
            <w:pPr>
              <w:rPr>
                <w:rFonts w:cs="Open Sans"/>
                <w:b/>
                <w:bCs/>
                <w:i/>
                <w:iCs/>
              </w:rPr>
            </w:pPr>
            <w:r w:rsidRPr="46611AC7">
              <w:rPr>
                <w:rFonts w:cs="Open Sans"/>
                <w:b/>
                <w:bCs/>
                <w:i/>
                <w:iCs/>
              </w:rPr>
              <w:t>Key actions and strategies:</w:t>
            </w:r>
          </w:p>
          <w:p w14:paraId="4C9107B7" w14:textId="77777777" w:rsidR="00451F12" w:rsidRDefault="00451F12" w:rsidP="00842B54">
            <w:pPr>
              <w:pStyle w:val="ListParagraph"/>
              <w:numPr>
                <w:ilvl w:val="0"/>
                <w:numId w:val="34"/>
              </w:numPr>
              <w:spacing w:before="0" w:after="0"/>
              <w:contextualSpacing/>
              <w:rPr>
                <w:rFonts w:cs="Open Sans"/>
              </w:rPr>
            </w:pPr>
            <w:r w:rsidRPr="46611AC7">
              <w:rPr>
                <w:rFonts w:eastAsia="Times New Roman" w:cs="Open Sans"/>
                <w:color w:val="000000" w:themeColor="text1"/>
              </w:rPr>
              <w:t xml:space="preserve">Aboriginal and Torres Strait Islander and multicultural communities are central to the development of all policies, programs and strategies affecting them </w:t>
            </w:r>
          </w:p>
          <w:p w14:paraId="72E1C853" w14:textId="77777777" w:rsidR="00451F12" w:rsidRDefault="00451F12" w:rsidP="00842B54">
            <w:pPr>
              <w:pStyle w:val="ListParagraph"/>
              <w:numPr>
                <w:ilvl w:val="0"/>
                <w:numId w:val="34"/>
              </w:numPr>
              <w:spacing w:before="0" w:after="0"/>
              <w:contextualSpacing/>
              <w:rPr>
                <w:rFonts w:cs="Open Sans"/>
              </w:rPr>
            </w:pPr>
            <w:r w:rsidRPr="46611AC7">
              <w:rPr>
                <w:rFonts w:cs="Open Sans"/>
              </w:rPr>
              <w:t xml:space="preserve">Support is provided for Aboriginal and Torres Strait Islander and culturally and linguistically diverse communities to ensure equal representation in areas linked to political, economic, social, and cultural rights </w:t>
            </w:r>
          </w:p>
          <w:p w14:paraId="5ACF17FB" w14:textId="77777777" w:rsidR="00451F12" w:rsidRDefault="00451F12" w:rsidP="00842B54">
            <w:pPr>
              <w:pStyle w:val="ListParagraph"/>
              <w:numPr>
                <w:ilvl w:val="0"/>
                <w:numId w:val="34"/>
              </w:numPr>
              <w:spacing w:before="0" w:after="0"/>
              <w:contextualSpacing/>
              <w:rPr>
                <w:rFonts w:cs="Open Sans"/>
              </w:rPr>
            </w:pPr>
            <w:r w:rsidRPr="46611AC7">
              <w:rPr>
                <w:rFonts w:cs="Open Sans"/>
              </w:rPr>
              <w:t>Multicultural and Indigenous communities are supported to grow their leadership</w:t>
            </w:r>
          </w:p>
          <w:p w14:paraId="55D7CD87" w14:textId="77777777" w:rsidR="00451F12" w:rsidRDefault="00451F12" w:rsidP="00842B54">
            <w:pPr>
              <w:pStyle w:val="ListParagraph"/>
              <w:numPr>
                <w:ilvl w:val="0"/>
                <w:numId w:val="32"/>
              </w:numPr>
              <w:spacing w:before="0" w:after="0"/>
              <w:contextualSpacing/>
              <w:rPr>
                <w:rFonts w:cs="Open Sans"/>
              </w:rPr>
            </w:pPr>
            <w:r w:rsidRPr="46611AC7">
              <w:rPr>
                <w:rFonts w:cs="Open Sans"/>
              </w:rPr>
              <w:t>Youth leadership programs ensure diverse representation of Aboriginal and Torres Strait Islander youth and youth from culturally and linguistically diverse communities</w:t>
            </w:r>
          </w:p>
          <w:p w14:paraId="52F4899C" w14:textId="77777777" w:rsidR="00451F12" w:rsidRDefault="00451F12" w:rsidP="00842B54">
            <w:pPr>
              <w:pStyle w:val="ListParagraph"/>
              <w:numPr>
                <w:ilvl w:val="0"/>
                <w:numId w:val="34"/>
              </w:numPr>
              <w:spacing w:before="0" w:after="0"/>
              <w:contextualSpacing/>
              <w:rPr>
                <w:rFonts w:cs="Open Sans"/>
              </w:rPr>
            </w:pPr>
            <w:r w:rsidRPr="46611AC7">
              <w:rPr>
                <w:rFonts w:cs="Open Sans"/>
              </w:rPr>
              <w:t>Newly arrived migrants as well as new and emerging communities are supported to understand their rights, including through ESL training and settlement services</w:t>
            </w:r>
          </w:p>
          <w:p w14:paraId="3C88398D" w14:textId="7EF0DEBA" w:rsidR="00451F12" w:rsidRPr="002C19E0" w:rsidRDefault="00451F12" w:rsidP="00842B54">
            <w:pPr>
              <w:pStyle w:val="ListParagraph"/>
              <w:numPr>
                <w:ilvl w:val="0"/>
                <w:numId w:val="32"/>
              </w:numPr>
              <w:spacing w:before="0" w:after="0"/>
              <w:contextualSpacing/>
              <w:rPr>
                <w:rFonts w:cs="Open Sans"/>
              </w:rPr>
            </w:pPr>
            <w:r w:rsidRPr="46611AC7">
              <w:rPr>
                <w:rFonts w:cs="Open Sans"/>
              </w:rPr>
              <w:t xml:space="preserve">Capacity building initiatives support the capacity of Indigenous and multicultural communities to address racism and race hate. </w:t>
            </w:r>
            <w:r w:rsidR="002C19E0">
              <w:rPr>
                <w:rFonts w:cs="Open Sans"/>
              </w:rPr>
              <w:br/>
            </w:r>
          </w:p>
          <w:p w14:paraId="22821E2D" w14:textId="389166A2" w:rsidR="00451F12" w:rsidRPr="002C19E0" w:rsidRDefault="00451F12" w:rsidP="000954C1">
            <w:pPr>
              <w:rPr>
                <w:rFonts w:cs="Open Sans"/>
              </w:rPr>
            </w:pPr>
            <w:r w:rsidRPr="46611AC7">
              <w:rPr>
                <w:rFonts w:cs="Open Sans"/>
                <w:b/>
                <w:bCs/>
                <w:i/>
                <w:iCs/>
              </w:rPr>
              <w:t xml:space="preserve">National Outcome 7 – </w:t>
            </w:r>
            <w:r w:rsidRPr="46611AC7">
              <w:rPr>
                <w:rFonts w:cs="Open Sans"/>
                <w:b/>
                <w:bCs/>
              </w:rPr>
              <w:t>All Australian Governments commit to addressing racial inequality and adopt targeted and appropriate measures to address it</w:t>
            </w:r>
          </w:p>
          <w:p w14:paraId="74CC6190" w14:textId="77777777" w:rsidR="00451F12" w:rsidRDefault="00451F12" w:rsidP="000954C1">
            <w:pPr>
              <w:rPr>
                <w:rFonts w:cs="Open Sans"/>
                <w:b/>
                <w:bCs/>
                <w:i/>
                <w:iCs/>
              </w:rPr>
            </w:pPr>
            <w:r w:rsidRPr="46611AC7">
              <w:rPr>
                <w:rFonts w:cs="Open Sans"/>
                <w:b/>
                <w:bCs/>
                <w:i/>
                <w:iCs/>
              </w:rPr>
              <w:t>Key actions and strategies:</w:t>
            </w:r>
          </w:p>
          <w:p w14:paraId="5FC7BA83" w14:textId="77777777" w:rsidR="00451F12" w:rsidRDefault="00451F12" w:rsidP="00842B54">
            <w:pPr>
              <w:pStyle w:val="ListParagraph"/>
              <w:numPr>
                <w:ilvl w:val="0"/>
                <w:numId w:val="35"/>
              </w:numPr>
              <w:spacing w:before="0" w:after="0"/>
              <w:contextualSpacing/>
              <w:rPr>
                <w:rFonts w:cs="Open Sans"/>
                <w:lang w:val="en-GB"/>
              </w:rPr>
            </w:pPr>
            <w:r w:rsidRPr="46611AC7">
              <w:rPr>
                <w:rFonts w:cs="Open Sans"/>
                <w:lang w:val="en-GB"/>
              </w:rPr>
              <w:t xml:space="preserve">Data collection across all national frameworks is disaggregated by ethnicity to identify where there are unequal outcomes based on ethnic background or race. </w:t>
            </w:r>
          </w:p>
          <w:p w14:paraId="0C4B0E55" w14:textId="77777777" w:rsidR="00451F12" w:rsidRDefault="00451F12" w:rsidP="00842B54">
            <w:pPr>
              <w:pStyle w:val="ListParagraph"/>
              <w:numPr>
                <w:ilvl w:val="0"/>
                <w:numId w:val="35"/>
              </w:numPr>
              <w:spacing w:before="0" w:after="0"/>
              <w:contextualSpacing/>
              <w:rPr>
                <w:rFonts w:cs="Open Sans"/>
                <w:lang w:val="en-GB"/>
              </w:rPr>
            </w:pPr>
            <w:r w:rsidRPr="46611AC7">
              <w:rPr>
                <w:rFonts w:cs="Open Sans"/>
                <w:lang w:val="en-GB"/>
              </w:rPr>
              <w:t>National frameworks prioritise actions to remedy these inequalities across all socio-economic outcomes</w:t>
            </w:r>
          </w:p>
          <w:p w14:paraId="36718515" w14:textId="4A572446" w:rsidR="00451F12" w:rsidRDefault="00451F12" w:rsidP="00842B54">
            <w:pPr>
              <w:pStyle w:val="ListParagraph"/>
              <w:numPr>
                <w:ilvl w:val="0"/>
                <w:numId w:val="35"/>
              </w:numPr>
              <w:spacing w:before="0" w:after="0"/>
              <w:contextualSpacing/>
              <w:rPr>
                <w:rFonts w:cs="Open Sans"/>
                <w:lang w:val="en-GB"/>
              </w:rPr>
            </w:pPr>
            <w:r w:rsidRPr="46611AC7">
              <w:rPr>
                <w:rFonts w:cs="Open Sans"/>
                <w:lang w:val="en-GB"/>
              </w:rPr>
              <w:lastRenderedPageBreak/>
              <w:t>The discriminatory experiences of women from minority backgrounds including the systemic inequality they experience is recognised, with additional protections and support provided as appropriate</w:t>
            </w:r>
          </w:p>
          <w:p w14:paraId="3C0B44EE" w14:textId="77777777" w:rsidR="00451F12" w:rsidRDefault="00451F12" w:rsidP="00842B54">
            <w:pPr>
              <w:pStyle w:val="ListParagraph"/>
              <w:numPr>
                <w:ilvl w:val="0"/>
                <w:numId w:val="35"/>
              </w:numPr>
              <w:spacing w:before="0" w:after="0"/>
              <w:contextualSpacing/>
              <w:rPr>
                <w:rFonts w:cs="Open Sans"/>
                <w:lang w:val="en-GB"/>
              </w:rPr>
            </w:pPr>
            <w:r w:rsidRPr="46611AC7">
              <w:rPr>
                <w:rFonts w:cs="Open Sans"/>
                <w:lang w:val="en-GB"/>
              </w:rPr>
              <w:t>Service provision is culturally competent</w:t>
            </w:r>
          </w:p>
          <w:p w14:paraId="604B9FEE" w14:textId="548A17B3" w:rsidR="00451F12" w:rsidRPr="002C19E0" w:rsidRDefault="00451F12" w:rsidP="00842B54">
            <w:pPr>
              <w:pStyle w:val="ListParagraph"/>
              <w:numPr>
                <w:ilvl w:val="0"/>
                <w:numId w:val="35"/>
              </w:numPr>
              <w:spacing w:before="0" w:after="0"/>
              <w:contextualSpacing/>
              <w:rPr>
                <w:rFonts w:cs="Open Sans"/>
                <w:lang w:val="en-GB"/>
              </w:rPr>
            </w:pPr>
            <w:r w:rsidRPr="46611AC7">
              <w:rPr>
                <w:rFonts w:cs="Open Sans"/>
                <w:lang w:val="en-GB"/>
              </w:rPr>
              <w:t>Supporting inclusive education.</w:t>
            </w:r>
            <w:r w:rsidR="002C19E0">
              <w:rPr>
                <w:rFonts w:cs="Open Sans"/>
                <w:lang w:val="en-GB"/>
              </w:rPr>
              <w:br/>
            </w:r>
          </w:p>
          <w:p w14:paraId="412FB9D7" w14:textId="3D1B2A92" w:rsidR="00451F12" w:rsidRPr="002C19E0" w:rsidRDefault="00451F12" w:rsidP="000954C1">
            <w:pPr>
              <w:rPr>
                <w:rFonts w:cs="Open Sans"/>
              </w:rPr>
            </w:pPr>
            <w:r w:rsidRPr="46611AC7">
              <w:rPr>
                <w:rFonts w:cs="Open Sans"/>
                <w:b/>
                <w:bCs/>
                <w:i/>
                <w:iCs/>
              </w:rPr>
              <w:t xml:space="preserve">National Outcome 8 – </w:t>
            </w:r>
            <w:r w:rsidRPr="46611AC7">
              <w:rPr>
                <w:rFonts w:cs="Open Sans"/>
                <w:b/>
                <w:bCs/>
              </w:rPr>
              <w:t>Measures to address racism, racial discrimination and racial inequality complement measures to strengthen multiculturalism, social inclusion, and Indigenous reconciliation.</w:t>
            </w:r>
          </w:p>
          <w:p w14:paraId="1E2BCC2E" w14:textId="563CF516" w:rsidR="00451F12" w:rsidRDefault="00451F12" w:rsidP="000954C1">
            <w:pPr>
              <w:rPr>
                <w:rFonts w:cs="Open Sans"/>
                <w:b/>
                <w:bCs/>
                <w:i/>
                <w:iCs/>
              </w:rPr>
            </w:pPr>
            <w:r w:rsidRPr="46611AC7">
              <w:rPr>
                <w:rFonts w:cs="Open Sans"/>
                <w:b/>
                <w:bCs/>
                <w:i/>
                <w:iCs/>
              </w:rPr>
              <w:t>Key actions and strategies:</w:t>
            </w:r>
          </w:p>
          <w:p w14:paraId="1144C918" w14:textId="77777777" w:rsidR="00451F12" w:rsidRDefault="00451F12" w:rsidP="00842B54">
            <w:pPr>
              <w:pStyle w:val="ListParagraph"/>
              <w:numPr>
                <w:ilvl w:val="0"/>
                <w:numId w:val="30"/>
              </w:numPr>
              <w:spacing w:before="0" w:after="0"/>
              <w:contextualSpacing/>
              <w:rPr>
                <w:rFonts w:cs="Open Sans"/>
              </w:rPr>
            </w:pPr>
            <w:r w:rsidRPr="46611AC7">
              <w:rPr>
                <w:rFonts w:cs="Open Sans"/>
              </w:rPr>
              <w:t>Measures to address racism are embedded in approaches to promote multiculturalism and build social cohesion.</w:t>
            </w:r>
          </w:p>
          <w:p w14:paraId="16E36308" w14:textId="77777777" w:rsidR="00451F12" w:rsidRDefault="00451F12" w:rsidP="00842B54">
            <w:pPr>
              <w:pStyle w:val="ListParagraph"/>
              <w:numPr>
                <w:ilvl w:val="0"/>
                <w:numId w:val="30"/>
              </w:numPr>
              <w:spacing w:before="0" w:after="0"/>
              <w:contextualSpacing/>
              <w:rPr>
                <w:rFonts w:cs="Open Sans"/>
              </w:rPr>
            </w:pPr>
            <w:r w:rsidRPr="46611AC7">
              <w:rPr>
                <w:rFonts w:cs="Open Sans"/>
              </w:rPr>
              <w:t>Aboriginal and Torres Strait Islander peoples, and people from culturally and linguistically diverse communities have a central role in the design and prioritisation of actions within a multicultural agenda and in promoting social inclusion</w:t>
            </w:r>
          </w:p>
          <w:p w14:paraId="3505A91C" w14:textId="7142AC94" w:rsidR="00451F12" w:rsidRPr="002C19E0" w:rsidRDefault="00451F12" w:rsidP="00842B54">
            <w:pPr>
              <w:pStyle w:val="ListParagraph"/>
              <w:numPr>
                <w:ilvl w:val="0"/>
                <w:numId w:val="30"/>
              </w:numPr>
              <w:spacing w:before="0" w:after="0"/>
              <w:contextualSpacing/>
              <w:rPr>
                <w:rFonts w:cs="Open Sans"/>
              </w:rPr>
            </w:pPr>
            <w:r w:rsidRPr="46611AC7">
              <w:rPr>
                <w:rFonts w:cs="Open Sans"/>
              </w:rPr>
              <w:t>The voices, stories and histories of</w:t>
            </w:r>
            <w:r w:rsidRPr="46611AC7">
              <w:rPr>
                <w:rFonts w:cs="Open Sans"/>
                <w:lang w:val="en-GB"/>
              </w:rPr>
              <w:t xml:space="preserve"> Indigenous peoples and diverse communities are central to policies on multiculturalism, reconciliation, and social inclusion</w:t>
            </w:r>
            <w:r w:rsidR="002C19E0">
              <w:rPr>
                <w:rFonts w:cs="Open Sans"/>
                <w:lang w:val="en-GB"/>
              </w:rPr>
              <w:t>.</w:t>
            </w:r>
          </w:p>
        </w:tc>
      </w:tr>
    </w:tbl>
    <w:p w14:paraId="5E5CF056" w14:textId="77777777" w:rsidR="00451F12" w:rsidRDefault="00451F12" w:rsidP="00451F12">
      <w:pPr>
        <w:spacing w:after="0"/>
        <w:rPr>
          <w:rFonts w:cs="Open Sans"/>
          <w:lang w:val="en-GB"/>
        </w:rPr>
      </w:pPr>
    </w:p>
    <w:p w14:paraId="425557BD" w14:textId="6E72A523" w:rsidR="00451F12" w:rsidRDefault="00451F12" w:rsidP="52C489C6">
      <w:pPr>
        <w:pStyle w:val="ListParagraph"/>
        <w:numPr>
          <w:ilvl w:val="0"/>
          <w:numId w:val="41"/>
        </w:numPr>
        <w:spacing w:before="0" w:after="0"/>
        <w:ind w:left="851" w:hanging="425"/>
        <w:contextualSpacing/>
        <w:rPr>
          <w:rFonts w:eastAsiaTheme="minorEastAsia"/>
          <w:lang w:val="en-GB"/>
        </w:rPr>
      </w:pPr>
      <w:r w:rsidRPr="46611AC7">
        <w:rPr>
          <w:rFonts w:cs="Open Sans"/>
          <w:lang w:val="en-GB"/>
        </w:rPr>
        <w:t xml:space="preserve">The draft framework set out here is intended to guide thinking on what a new, more comprehensive approach to anti-racism might look like. </w:t>
      </w:r>
    </w:p>
    <w:p w14:paraId="5A4274AF" w14:textId="359E2E49" w:rsidR="00451F12" w:rsidRDefault="00451F12" w:rsidP="52C489C6">
      <w:pPr>
        <w:spacing w:before="0" w:after="0"/>
        <w:ind w:left="66"/>
        <w:contextualSpacing/>
        <w:rPr>
          <w:rFonts w:cs="Open Sans"/>
          <w:lang w:val="en-GB"/>
        </w:rPr>
      </w:pPr>
    </w:p>
    <w:p w14:paraId="2E7D0C07" w14:textId="198336AC" w:rsidR="00451F12" w:rsidRDefault="00451F12" w:rsidP="00676382">
      <w:pPr>
        <w:pStyle w:val="ListParagraph"/>
        <w:numPr>
          <w:ilvl w:val="0"/>
          <w:numId w:val="41"/>
        </w:numPr>
        <w:spacing w:before="0" w:after="0"/>
        <w:ind w:left="851" w:hanging="425"/>
        <w:contextualSpacing/>
        <w:rPr>
          <w:lang w:val="en-GB"/>
        </w:rPr>
      </w:pPr>
      <w:r w:rsidRPr="46611AC7">
        <w:rPr>
          <w:rFonts w:cs="Open Sans"/>
          <w:lang w:val="en-GB"/>
        </w:rPr>
        <w:t>The Race Discrimination Commissioner looks forward to engaging broadly on this proposed framework in the first half of 2021 and taking on board the views of government and the community as we refine this proposal and build consensus on the need for it.</w:t>
      </w:r>
    </w:p>
    <w:p w14:paraId="20B520B3" w14:textId="154BAD94" w:rsidR="0016312A" w:rsidRPr="0016312A" w:rsidRDefault="0016312A" w:rsidP="0016312A">
      <w:pPr>
        <w:spacing w:before="0" w:after="0"/>
        <w:contextualSpacing/>
        <w:rPr>
          <w:rFonts w:ascii="Arial" w:hAnsi="Arial" w:cs="Arial"/>
        </w:rPr>
      </w:pPr>
    </w:p>
    <w:sectPr w:rsidR="0016312A" w:rsidRPr="0016312A" w:rsidSect="00460EE0">
      <w:headerReference w:type="even" r:id="rId33"/>
      <w:headerReference w:type="default" r:id="rId34"/>
      <w:footerReference w:type="even" r:id="rId35"/>
      <w:footerReference w:type="default" r:id="rId36"/>
      <w:headerReference w:type="first" r:id="rId37"/>
      <w:footerReference w:type="first" r:id="rId38"/>
      <w:endnotePr>
        <w:numFmt w:val="decimal"/>
      </w:endnotePr>
      <w:pgSz w:w="11906" w:h="16838" w:code="9"/>
      <w:pgMar w:top="1134" w:right="1418" w:bottom="1134" w:left="1418" w:header="907" w:footer="283"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70269C" w14:textId="77777777" w:rsidR="000954C1" w:rsidRDefault="000954C1" w:rsidP="00F14C6D">
      <w:r>
        <w:separator/>
      </w:r>
    </w:p>
  </w:endnote>
  <w:endnote w:type="continuationSeparator" w:id="0">
    <w:p w14:paraId="3B198ACC" w14:textId="77777777" w:rsidR="000954C1" w:rsidRDefault="000954C1" w:rsidP="00F14C6D">
      <w:r>
        <w:continuationSeparator/>
      </w:r>
    </w:p>
  </w:endnote>
  <w:endnote w:type="continuationNotice" w:id="1">
    <w:p w14:paraId="24161176" w14:textId="77777777" w:rsidR="000954C1" w:rsidRDefault="000954C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Open Sans">
    <w:altName w:val="Open Sans"/>
    <w:panose1 w:val="020B0604020202020204"/>
    <w:charset w:val="00"/>
    <w:family w:val="swiss"/>
    <w:pitch w:val="variable"/>
    <w:sig w:usb0="E00002EF" w:usb1="4000205B" w:usb2="00000028"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4D"/>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2925"/>
      <w:gridCol w:w="2925"/>
      <w:gridCol w:w="2925"/>
    </w:tblGrid>
    <w:tr w:rsidR="2D748EDA" w14:paraId="5CED4BC5" w14:textId="77777777" w:rsidTr="2D748EDA">
      <w:tc>
        <w:tcPr>
          <w:tcW w:w="2925" w:type="dxa"/>
        </w:tcPr>
        <w:p w14:paraId="144455BB" w14:textId="34FBB1F9" w:rsidR="2D748EDA" w:rsidRDefault="2D748EDA" w:rsidP="2D748EDA">
          <w:pPr>
            <w:pStyle w:val="Header"/>
            <w:ind w:left="-115"/>
            <w:jc w:val="left"/>
          </w:pPr>
        </w:p>
      </w:tc>
      <w:tc>
        <w:tcPr>
          <w:tcW w:w="2925" w:type="dxa"/>
        </w:tcPr>
        <w:p w14:paraId="12EB3433" w14:textId="7AEF77AF" w:rsidR="2D748EDA" w:rsidRDefault="2D748EDA" w:rsidP="2D748EDA">
          <w:pPr>
            <w:pStyle w:val="Header"/>
            <w:jc w:val="center"/>
          </w:pPr>
        </w:p>
      </w:tc>
      <w:tc>
        <w:tcPr>
          <w:tcW w:w="2925" w:type="dxa"/>
        </w:tcPr>
        <w:p w14:paraId="7A3DA4DA" w14:textId="3C6A3657" w:rsidR="2D748EDA" w:rsidRDefault="2D748EDA" w:rsidP="2D748EDA">
          <w:pPr>
            <w:pStyle w:val="Header"/>
            <w:ind w:right="-115"/>
          </w:pPr>
        </w:p>
      </w:tc>
    </w:tr>
  </w:tbl>
  <w:p w14:paraId="718E0592" w14:textId="449A9F63" w:rsidR="2D748EDA" w:rsidRDefault="2D748EDA" w:rsidP="2D748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2925"/>
      <w:gridCol w:w="2925"/>
      <w:gridCol w:w="2925"/>
    </w:tblGrid>
    <w:tr w:rsidR="2D748EDA" w14:paraId="0C633108" w14:textId="77777777" w:rsidTr="2D748EDA">
      <w:tc>
        <w:tcPr>
          <w:tcW w:w="2925" w:type="dxa"/>
        </w:tcPr>
        <w:p w14:paraId="524D2C2A" w14:textId="5D276B06" w:rsidR="2D748EDA" w:rsidRDefault="2D748EDA" w:rsidP="2D748EDA">
          <w:pPr>
            <w:pStyle w:val="Header"/>
            <w:ind w:left="-115"/>
            <w:jc w:val="left"/>
          </w:pPr>
        </w:p>
      </w:tc>
      <w:tc>
        <w:tcPr>
          <w:tcW w:w="2925" w:type="dxa"/>
        </w:tcPr>
        <w:p w14:paraId="21E606CC" w14:textId="1FE1914F" w:rsidR="2D748EDA" w:rsidRDefault="2D748EDA" w:rsidP="2D748EDA">
          <w:pPr>
            <w:pStyle w:val="Header"/>
            <w:jc w:val="center"/>
          </w:pPr>
        </w:p>
      </w:tc>
      <w:tc>
        <w:tcPr>
          <w:tcW w:w="2925" w:type="dxa"/>
        </w:tcPr>
        <w:p w14:paraId="04A66CA9" w14:textId="3940C4E6" w:rsidR="2D748EDA" w:rsidRDefault="2D748EDA" w:rsidP="2D748EDA">
          <w:pPr>
            <w:pStyle w:val="Header"/>
            <w:ind w:right="-115"/>
          </w:pPr>
        </w:p>
      </w:tc>
    </w:tr>
  </w:tbl>
  <w:p w14:paraId="4E7CD7B1" w14:textId="61CEF700" w:rsidR="2D748EDA" w:rsidRDefault="2D748EDA" w:rsidP="2D748E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DB9B5" w14:textId="77777777" w:rsidR="00854CD8" w:rsidRPr="000465F1" w:rsidRDefault="00854CD8" w:rsidP="000465F1">
    <w:pPr>
      <w:pStyle w:val="Footer"/>
    </w:pPr>
    <w:r w:rsidRPr="000465F1">
      <w:t>ABN 47 996 232 602</w:t>
    </w:r>
  </w:p>
  <w:p w14:paraId="1F0A15A5" w14:textId="77777777" w:rsidR="00854CD8" w:rsidRPr="000465F1" w:rsidRDefault="00854CD8" w:rsidP="000465F1">
    <w:pPr>
      <w:pStyle w:val="Footer"/>
    </w:pPr>
    <w:r w:rsidRPr="000465F1">
      <w:t>Level 3, 175 Pitt Street, Sydney NSW 2000</w:t>
    </w:r>
  </w:p>
  <w:p w14:paraId="60ED19F4" w14:textId="77777777" w:rsidR="00854CD8" w:rsidRPr="000465F1" w:rsidRDefault="00854CD8" w:rsidP="000465F1">
    <w:pPr>
      <w:pStyle w:val="Footer"/>
    </w:pPr>
    <w:r w:rsidRPr="000465F1">
      <w:t>GPO Box 5218, Sydney NSW 2001</w:t>
    </w:r>
  </w:p>
  <w:p w14:paraId="03099CA1" w14:textId="77777777" w:rsidR="00854CD8" w:rsidRPr="000465F1" w:rsidRDefault="00854CD8" w:rsidP="000465F1">
    <w:pPr>
      <w:pStyle w:val="Footer"/>
    </w:pPr>
    <w:r w:rsidRPr="000465F1">
      <w:t>General enquiries 1300 369 711</w:t>
    </w:r>
  </w:p>
  <w:p w14:paraId="22CA910D" w14:textId="77777777" w:rsidR="00854CD8" w:rsidRPr="000465F1" w:rsidRDefault="00854CD8" w:rsidP="000465F1">
    <w:pPr>
      <w:pStyle w:val="Footer"/>
    </w:pPr>
    <w:r>
      <w:t>National Info Service</w:t>
    </w:r>
    <w:r w:rsidRPr="000465F1">
      <w:t xml:space="preserve"> 1300 656 419</w:t>
    </w:r>
  </w:p>
  <w:p w14:paraId="502B5AEB" w14:textId="77777777" w:rsidR="00854CD8" w:rsidRPr="000465F1" w:rsidRDefault="00854CD8" w:rsidP="000465F1">
    <w:pPr>
      <w:pStyle w:val="Footer"/>
    </w:pPr>
    <w:r w:rsidRPr="000465F1">
      <w:t>TTY 1800 620 241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7D3F0" w14:textId="77777777" w:rsidR="00854CD8" w:rsidRDefault="00854CD8">
    <w:pPr>
      <w:pStyle w:val="Footer"/>
    </w:pPr>
    <w:r w:rsidRPr="00622508">
      <w:rPr>
        <w:color w:val="2B579A"/>
        <w:shd w:val="clear" w:color="auto" w:fill="E6E6E6"/>
      </w:rPr>
      <w:fldChar w:fldCharType="begin"/>
    </w:r>
    <w:r>
      <w:instrText xml:space="preserve"> PAGE   \* MERGEFORMAT </w:instrText>
    </w:r>
    <w:r w:rsidRPr="00622508">
      <w:rPr>
        <w:color w:val="2B579A"/>
        <w:shd w:val="clear" w:color="auto" w:fill="E6E6E6"/>
      </w:rPr>
      <w:fldChar w:fldCharType="separate"/>
    </w:r>
    <w:r w:rsidR="0016312A">
      <w:rPr>
        <w:noProof/>
      </w:rPr>
      <w:t>4</w:t>
    </w:r>
    <w:r w:rsidRPr="00622508">
      <w:rPr>
        <w:color w:val="2B579A"/>
        <w:shd w:val="clear" w:color="auto" w:fill="E6E6E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5298B" w14:textId="77777777" w:rsidR="00854CD8" w:rsidRDefault="00854CD8" w:rsidP="00E53546">
    <w:pPr>
      <w:pStyle w:val="FooterOddPageNumber"/>
    </w:pPr>
    <w:r w:rsidRPr="00AB7C8F">
      <w:rPr>
        <w:color w:val="2B579A"/>
        <w:shd w:val="clear" w:color="auto" w:fill="E6E6E6"/>
      </w:rPr>
      <w:fldChar w:fldCharType="begin"/>
    </w:r>
    <w:r>
      <w:instrText xml:space="preserve"> PAGE   \* MERGEFORMAT </w:instrText>
    </w:r>
    <w:r w:rsidRPr="00AB7C8F">
      <w:rPr>
        <w:color w:val="2B579A"/>
        <w:shd w:val="clear" w:color="auto" w:fill="E6E6E6"/>
      </w:rPr>
      <w:fldChar w:fldCharType="separate"/>
    </w:r>
    <w:r w:rsidR="0016312A">
      <w:rPr>
        <w:noProof/>
      </w:rPr>
      <w:t>3</w:t>
    </w:r>
    <w:r w:rsidRPr="00AB7C8F">
      <w:rPr>
        <w:color w:val="2B579A"/>
        <w:shd w:val="clear" w:color="auto" w:fill="E6E6E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3FC80" w14:textId="77777777" w:rsidR="00854CD8" w:rsidRDefault="00854CD8" w:rsidP="00E53546">
    <w:pPr>
      <w:pStyle w:val="FooterEvenPageNumber"/>
    </w:pPr>
    <w:r w:rsidRPr="00F127A8">
      <w:rPr>
        <w:color w:val="2B579A"/>
        <w:shd w:val="clear" w:color="auto" w:fill="E6E6E6"/>
      </w:rPr>
      <w:fldChar w:fldCharType="begin"/>
    </w:r>
    <w:r>
      <w:instrText xml:space="preserve"> PAGE   \* MERGEFORMAT </w:instrText>
    </w:r>
    <w:r w:rsidRPr="00F127A8">
      <w:rPr>
        <w:color w:val="2B579A"/>
        <w:shd w:val="clear" w:color="auto" w:fill="E6E6E6"/>
      </w:rPr>
      <w:fldChar w:fldCharType="separate"/>
    </w:r>
    <w:r w:rsidR="0016312A">
      <w:rPr>
        <w:noProof/>
      </w:rPr>
      <w:t>2</w:t>
    </w:r>
    <w:r w:rsidRPr="00F127A8">
      <w:rPr>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E1A235" w14:textId="77777777" w:rsidR="000954C1" w:rsidRDefault="000954C1" w:rsidP="00F14C6D">
      <w:r>
        <w:separator/>
      </w:r>
    </w:p>
  </w:footnote>
  <w:footnote w:type="continuationSeparator" w:id="0">
    <w:p w14:paraId="6B32618A" w14:textId="77777777" w:rsidR="000954C1" w:rsidRDefault="000954C1" w:rsidP="00F14C6D">
      <w:r>
        <w:continuationSeparator/>
      </w:r>
    </w:p>
  </w:footnote>
  <w:footnote w:type="continuationNotice" w:id="1">
    <w:p w14:paraId="2F7AC967" w14:textId="77777777" w:rsidR="000954C1" w:rsidRDefault="000954C1">
      <w:pPr>
        <w:spacing w:before="0" w:after="0"/>
      </w:pPr>
    </w:p>
  </w:footnote>
  <w:footnote w:id="2">
    <w:p w14:paraId="04CB78B7" w14:textId="4904D551" w:rsidR="009B15BE" w:rsidRPr="007C72BE" w:rsidRDefault="009B15BE" w:rsidP="0095350C">
      <w:pPr>
        <w:pStyle w:val="FootnoteText"/>
        <w:ind w:left="142" w:hanging="142"/>
        <w:rPr>
          <w:rFonts w:ascii="Open Sans" w:hAnsi="Open Sans" w:cs="Open Sans"/>
          <w:sz w:val="20"/>
          <w:szCs w:val="20"/>
        </w:rPr>
      </w:pPr>
      <w:r>
        <w:rPr>
          <w:rStyle w:val="FootnoteReference"/>
        </w:rPr>
        <w:footnoteRef/>
      </w:r>
      <w:r>
        <w:t xml:space="preserve"> </w:t>
      </w:r>
      <w:r w:rsidRPr="007C72BE">
        <w:rPr>
          <w:rFonts w:ascii="Open Sans" w:hAnsi="Open Sans" w:cs="Open Sans"/>
          <w:sz w:val="20"/>
          <w:szCs w:val="20"/>
        </w:rPr>
        <w:t xml:space="preserve">Reconciliation Australia, </w:t>
      </w:r>
      <w:r w:rsidR="009414C6" w:rsidRPr="007C72BE">
        <w:rPr>
          <w:rFonts w:ascii="Open Sans" w:hAnsi="Open Sans" w:cs="Open Sans"/>
          <w:sz w:val="20"/>
          <w:szCs w:val="20"/>
        </w:rPr>
        <w:t xml:space="preserve">2021 State of Reconciliation in Australia, </w:t>
      </w:r>
      <w:r w:rsidR="00185609" w:rsidRPr="007C72BE">
        <w:rPr>
          <w:rFonts w:ascii="Open Sans" w:hAnsi="Open Sans" w:cs="Open Sans"/>
          <w:sz w:val="20"/>
          <w:szCs w:val="20"/>
        </w:rPr>
        <w:t xml:space="preserve">Moving from Safe to Brave, p. 4; </w:t>
      </w:r>
      <w:hyperlink r:id="rId1" w:history="1">
        <w:r w:rsidR="007C72BE" w:rsidRPr="007C72BE">
          <w:rPr>
            <w:rStyle w:val="Hyperlink"/>
            <w:rFonts w:cs="Open Sans"/>
            <w:sz w:val="20"/>
            <w:szCs w:val="20"/>
          </w:rPr>
          <w:t>https://www.reconciliation.org.au/wp-content/uploads/2021/01/state-of-reconciliation-2021-full-report_web.pdf</w:t>
        </w:r>
      </w:hyperlink>
      <w:r w:rsidR="007C72BE" w:rsidRPr="007C72BE">
        <w:rPr>
          <w:rFonts w:ascii="Open Sans" w:hAnsi="Open Sans" w:cs="Open Sans"/>
          <w:sz w:val="20"/>
          <w:szCs w:val="20"/>
        </w:rPr>
        <w:t xml:space="preserve"> </w:t>
      </w:r>
    </w:p>
  </w:footnote>
  <w:footnote w:id="3">
    <w:p w14:paraId="2F0A3F17" w14:textId="77777777" w:rsidR="00451F12" w:rsidRPr="00D372FB" w:rsidRDefault="00451F12" w:rsidP="00451F12">
      <w:pPr>
        <w:pStyle w:val="FootnoteText"/>
        <w:rPr>
          <w:lang w:val="en-GB"/>
        </w:rPr>
      </w:pPr>
      <w:r>
        <w:rPr>
          <w:rStyle w:val="FootnoteReference"/>
        </w:rPr>
        <w:footnoteRef/>
      </w:r>
      <w:r>
        <w:t xml:space="preserve"> </w:t>
      </w:r>
      <w:hyperlink r:id="rId2" w:anchor=":~:text=This%20is%20the%20most%20comprehensive,life%20chances%20in%20Britain%20today." w:history="1">
        <w:r w:rsidRPr="00132138">
          <w:rPr>
            <w:rStyle w:val="Hyperlink"/>
            <w:rFonts w:cs="Open Sans"/>
            <w:sz w:val="20"/>
            <w:szCs w:val="20"/>
          </w:rPr>
          <w:t>https://www.equalityhumanrights.com/en/britain-fairer#:~:text=This%20is%20the%20most%20comprehensive,life%20chances%20in%20Britain%20today.</w:t>
        </w:r>
      </w:hyperlink>
      <w:r w:rsidRPr="00132138">
        <w:rPr>
          <w:rFonts w:ascii="Open Sans" w:hAnsi="Open Sans" w:cs="Open Sans"/>
          <w:sz w:val="20"/>
          <w:szCs w:val="20"/>
        </w:rPr>
        <w:t xml:space="preserve"> Accessed 31/07/20.</w:t>
      </w:r>
    </w:p>
  </w:footnote>
  <w:footnote w:id="4">
    <w:p w14:paraId="37231485" w14:textId="253149A6" w:rsidR="00451F12" w:rsidRPr="00105A4A" w:rsidRDefault="00451F12" w:rsidP="00451F12">
      <w:pPr>
        <w:pStyle w:val="FootnoteText"/>
        <w:rPr>
          <w:lang w:val="en-US"/>
        </w:rPr>
      </w:pPr>
      <w:r>
        <w:rPr>
          <w:rStyle w:val="FootnoteReference"/>
        </w:rPr>
        <w:footnoteRef/>
      </w:r>
      <w:r>
        <w:t xml:space="preserve"> </w:t>
      </w:r>
      <w:r w:rsidRPr="00132138">
        <w:rPr>
          <w:rFonts w:ascii="Open Sans" w:hAnsi="Open Sans" w:cs="Open Sans"/>
          <w:sz w:val="20"/>
          <w:szCs w:val="20"/>
        </w:rPr>
        <w:t xml:space="preserve">Senator Dodson, </w:t>
      </w:r>
      <w:hyperlink r:id="rId3" w:history="1">
        <w:r w:rsidR="007C72BE" w:rsidRPr="005777BC">
          <w:rPr>
            <w:rStyle w:val="Hyperlink"/>
            <w:rFonts w:cs="Open Sans"/>
            <w:sz w:val="20"/>
            <w:szCs w:val="20"/>
          </w:rPr>
          <w:t>https://parlinfo.aph.gov.au/parlInfo/download/chamber/hansards/f0da77ea-df1b-49bb-a70d-4c511f0c093e/toc_pdf/Senate_2020_06_17_7788.pdf;fileType=application%2Fpdf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68FA7" w14:textId="77777777" w:rsidR="00854CD8" w:rsidRPr="000465F1" w:rsidRDefault="00CA5285" w:rsidP="000465F1">
    <w:pPr>
      <w:pStyle w:val="Header"/>
    </w:pPr>
    <w:r>
      <w:rPr>
        <w:noProof/>
        <w:color w:val="2B579A"/>
        <w:shd w:val="clear" w:color="auto" w:fill="E6E6E6"/>
      </w:rPr>
    </w:r>
    <w:r w:rsidR="00CA5285">
      <w:rPr>
        <w:noProof/>
        <w:color w:val="2B579A"/>
        <w:shd w:val="clear" w:color="auto" w:fill="E6E6E6"/>
      </w:rPr>
      <w:pict w14:anchorId="4BCF6E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3" o:spid="_x0000_s1028" type="#_x0000_t75" alt="" style="position:absolute;left:0;text-align:left;margin-left:0;margin-top:0;width:930.9pt;height:1359.95pt;z-index:-251658239;mso-wrap-edited:f;mso-width-percent:0;mso-height-percent:0;mso-position-horizontal:center;mso-position-horizontal-relative:margin;mso-position-vertical:center;mso-position-vertical-relative:margin;mso-width-percent:0;mso-height-percent:0" o:allowincell="f">
          <v:imagedata r:id="rId1" o:title="report watermark"/>
          <w10:wrap anchorx="margin" anchory="margin"/>
        </v:shape>
      </w:pict>
    </w:r>
    <w:r w:rsidR="00854CD8" w:rsidRPr="000465F1">
      <w:t>Australian Human Rights Commission</w:t>
    </w:r>
  </w:p>
  <w:p w14:paraId="56F1D022" w14:textId="77777777" w:rsidR="00854CD8" w:rsidRPr="00622508" w:rsidRDefault="00854CD8" w:rsidP="00622508">
    <w:pPr>
      <w:pStyle w:val="Footer"/>
    </w:pPr>
    <w:r w:rsidRPr="001F62CC">
      <w:rPr>
        <w:rStyle w:val="HeaderDocumentTitle"/>
      </w:rPr>
      <w:t>Short title</w:t>
    </w:r>
    <w:r w:rsidRPr="00622508">
      <w:rPr>
        <w:rStyle w:val="HeaderDocumentTitle"/>
      </w:rPr>
      <w:t>, report name,</w:t>
    </w:r>
    <w:r w:rsidRPr="00622508">
      <w:t xml:space="preserve"> 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7FADE" w14:textId="77777777" w:rsidR="00854CD8" w:rsidRPr="000465F1" w:rsidRDefault="00CA5285" w:rsidP="000465F1">
    <w:r>
      <w:rPr>
        <w:noProof/>
        <w:color w:val="2B579A"/>
        <w:shd w:val="clear" w:color="auto" w:fill="E6E6E6"/>
      </w:rPr>
    </w:r>
    <w:r w:rsidR="00CA5285">
      <w:rPr>
        <w:noProof/>
        <w:color w:val="2B579A"/>
        <w:shd w:val="clear" w:color="auto" w:fill="E6E6E6"/>
      </w:rPr>
      <w:pict w14:anchorId="6FD84D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4" o:spid="_x0000_s1027" type="#_x0000_t75" alt="" style="position:absolute;margin-left:0;margin-top:0;width:930.9pt;height:1359.95pt;z-index:-251658238;mso-wrap-edited:f;mso-width-percent:0;mso-height-percent:0;mso-position-horizontal:center;mso-position-horizontal-relative:margin;mso-position-vertical:center;mso-position-vertical-relative:margin;mso-width-percent:0;mso-height-percent:0" o:allowincell="f">
          <v:imagedata r:id="rId1" o:title="report watermark"/>
          <w10:wrap anchorx="margin" anchory="margin"/>
        </v:shape>
      </w:pict>
    </w:r>
    <w:r w:rsidR="00854CD8" w:rsidRPr="000465F1">
      <w:t>Australian Human Rights Commission</w:t>
    </w:r>
  </w:p>
  <w:p w14:paraId="4DDFD404" w14:textId="77777777" w:rsidR="00854CD8" w:rsidRPr="000465F1" w:rsidRDefault="00854CD8" w:rsidP="000465F1">
    <w:pPr>
      <w:pStyle w:val="Footer"/>
    </w:pPr>
    <w:r w:rsidRPr="000465F1">
      <w:t>Short document title, Short description – Date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27990" w14:textId="77777777" w:rsidR="00854CD8" w:rsidRDefault="00CA5285" w:rsidP="002012F7">
    <w:pPr>
      <w:pStyle w:val="Header"/>
    </w:pPr>
    <w:r>
      <w:rPr>
        <w:noProof/>
        <w:color w:val="2B579A"/>
        <w:shd w:val="clear" w:color="auto" w:fill="E6E6E6"/>
      </w:rPr>
    </w:r>
    <w:r w:rsidR="00CA5285">
      <w:rPr>
        <w:noProof/>
        <w:color w:val="2B579A"/>
        <w:shd w:val="clear" w:color="auto" w:fill="E6E6E6"/>
      </w:rPr>
      <w:pict w14:anchorId="5813F0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1026" type="#_x0000_t75" alt="" style="position:absolute;left:0;text-align:left;margin-left:-71.05pt;margin-top:-108.5pt;width:595.65pt;height:870.15pt;z-index:-251658237;mso-wrap-edited:f;mso-width-percent:0;mso-height-percent:0;mso-position-horizontal-relative:margin;mso-position-vertical-relative:margin;mso-width-percent:0;mso-height-percent:0" o:allowincell="f">
          <v:imagedata r:id="rId1" o:title="MS word cover1"/>
          <w10:wrap anchorx="margin" anchory="margin"/>
        </v:shape>
      </w:pict>
    </w:r>
    <w:r>
      <w:rPr>
        <w:noProof/>
        <w:color w:val="2B579A"/>
        <w:shd w:val="clear" w:color="auto" w:fill="E6E6E6"/>
      </w:rPr>
    </w:r>
    <w:r w:rsidR="00CA5285">
      <w:rPr>
        <w:noProof/>
        <w:color w:val="2B579A"/>
        <w:shd w:val="clear" w:color="auto" w:fill="E6E6E6"/>
      </w:rPr>
      <w:pict w14:anchorId="10017F3D">
        <v:shape id="WordPictureWatermark1034832" o:spid="_x0000_s1025" type="#_x0000_t75" alt="" style="position:absolute;left:0;text-align:left;margin-left:-70.9pt;margin-top:-109.05pt;width:595.1pt;height:869.4pt;z-index:-251658240;mso-wrap-edited:f;mso-width-percent:0;mso-height-percent:0;mso-position-horizontal-relative:margin;mso-position-vertical-relative:margin;mso-width-percent:0;mso-height-percent:0" o:allowincell="f">
          <v:imagedata r:id="rId2" o:title="report watermark"/>
          <w10:wrap anchorx="margin" anchory="margin"/>
        </v:shape>
      </w:pict>
    </w:r>
  </w:p>
  <w:p w14:paraId="7D2E88FD" w14:textId="77777777" w:rsidR="00854CD8" w:rsidRDefault="00854CD8" w:rsidP="002012F7">
    <w:pPr>
      <w:pStyle w:val="Header"/>
    </w:pPr>
  </w:p>
  <w:p w14:paraId="7D4A3F87" w14:textId="77777777" w:rsidR="00854CD8" w:rsidRDefault="00854CD8" w:rsidP="002012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999F4" w14:textId="77777777" w:rsidR="00854CD8" w:rsidRPr="000465F1" w:rsidRDefault="00854CD8" w:rsidP="0015239E">
    <w:pPr>
      <w:pStyle w:val="Header"/>
    </w:pPr>
    <w:r w:rsidRPr="000465F1">
      <w:t>Australian Human Rights Commission</w:t>
    </w:r>
  </w:p>
  <w:p w14:paraId="4933F4EA" w14:textId="40A61715" w:rsidR="00854CD8" w:rsidRPr="000465F1" w:rsidRDefault="00132138" w:rsidP="0015239E">
    <w:pPr>
      <w:pStyle w:val="HeaderDocumentDate"/>
    </w:pPr>
    <w:r>
      <w:rPr>
        <w:rStyle w:val="HeaderDocumentTitle"/>
      </w:rPr>
      <w:t>Concept Paper for a National Anti-Racism Framework</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2A0DC" w14:textId="77777777" w:rsidR="00854CD8" w:rsidRPr="000465F1" w:rsidRDefault="00854CD8" w:rsidP="00CA5D90">
    <w:pPr>
      <w:pStyle w:val="Header"/>
    </w:pPr>
    <w:bookmarkStart w:id="28" w:name="_Hlk514672172"/>
    <w:bookmarkStart w:id="29" w:name="_Hlk514672173"/>
    <w:r w:rsidRPr="000465F1">
      <w:t>Australian Human Rights Commission</w:t>
    </w:r>
  </w:p>
  <w:bookmarkEnd w:id="28"/>
  <w:bookmarkEnd w:id="29"/>
  <w:p w14:paraId="6EDE58B0" w14:textId="445A87BD" w:rsidR="00854CD8" w:rsidRDefault="00B520EC" w:rsidP="00CC541A">
    <w:pPr>
      <w:pStyle w:val="HeaderDocumentDate"/>
      <w:rPr>
        <w:rStyle w:val="HeaderDocumentTitle"/>
      </w:rPr>
    </w:pPr>
    <w:r>
      <w:rPr>
        <w:rStyle w:val="HeaderDocumentTitle"/>
      </w:rPr>
      <w:t xml:space="preserve">Concept Paper for a National Anti-Racism Strategy </w:t>
    </w:r>
  </w:p>
  <w:p w14:paraId="4DED85BF" w14:textId="77777777" w:rsidR="00854CD8" w:rsidRDefault="00854CD8" w:rsidP="00CC541A">
    <w:pPr>
      <w:pStyle w:val="HeaderDocumentDate"/>
      <w:rPr>
        <w:rStyle w:val="HeaderDocumentTitle"/>
      </w:rPr>
    </w:pPr>
  </w:p>
  <w:p w14:paraId="2C30DCA9" w14:textId="77777777" w:rsidR="00854CD8" w:rsidRPr="000465F1" w:rsidRDefault="00854CD8" w:rsidP="00CC541A">
    <w:pPr>
      <w:pStyle w:val="HeaderDocumentDa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2BF9C" w14:textId="77777777" w:rsidR="00854CD8" w:rsidRPr="000E0708" w:rsidRDefault="00854CD8" w:rsidP="0063009F">
    <w:pPr>
      <w:pStyle w:val="Header"/>
      <w:rPr>
        <w:rFonts w:ascii="Arial" w:hAnsi="Arial" w:cs="Arial"/>
      </w:rPr>
    </w:pPr>
    <w:r w:rsidRPr="000E0708">
      <w:rPr>
        <w:rFonts w:ascii="Arial" w:hAnsi="Arial" w:cs="Arial"/>
      </w:rPr>
      <w:t>Australian Human Rights Commission</w:t>
    </w:r>
  </w:p>
  <w:p w14:paraId="404DA694" w14:textId="1DCCAF38" w:rsidR="00854CD8" w:rsidRPr="000E0708" w:rsidRDefault="007D4C09" w:rsidP="0063009F">
    <w:pPr>
      <w:pStyle w:val="HeaderDocumentDate"/>
      <w:rPr>
        <w:rStyle w:val="HeaderDocumentTitle"/>
        <w:rFonts w:ascii="Arial" w:hAnsi="Arial" w:cs="Arial"/>
      </w:rPr>
    </w:pPr>
    <w:r>
      <w:rPr>
        <w:rStyle w:val="HeaderDocumentTitle"/>
        <w:rFonts w:ascii="Arial" w:hAnsi="Arial" w:cs="Arial"/>
      </w:rPr>
      <w:t>Concept Paper for a National Anti-Racism Framework</w:t>
    </w:r>
  </w:p>
  <w:p w14:paraId="5ABA0FAF" w14:textId="77777777" w:rsidR="00854CD8" w:rsidRPr="000E0708" w:rsidRDefault="00854CD8" w:rsidP="0063009F">
    <w:pPr>
      <w:pStyle w:val="HeaderDocumentDate"/>
      <w:rPr>
        <w:rStyle w:val="HeaderDocumentTitle"/>
        <w:rFonts w:ascii="Arial" w:hAnsi="Arial" w:cs="Arial"/>
      </w:rPr>
    </w:pPr>
  </w:p>
  <w:p w14:paraId="2EF88DE8" w14:textId="77777777" w:rsidR="00854CD8" w:rsidRPr="000E0708" w:rsidRDefault="00854CD8" w:rsidP="0063009F">
    <w:pPr>
      <w:pStyle w:val="HeaderDocumentDate"/>
      <w:rPr>
        <w:rStyle w:val="HeaderDocumentTitle"/>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multilevel"/>
    <w:tmpl w:val="6F36045A"/>
    <w:lvl w:ilvl="0">
      <w:start w:val="1"/>
      <w:numFmt w:val="decimal"/>
      <w:pStyle w:val="ListNumber4"/>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D44524"/>
    <w:lvl w:ilvl="0">
      <w:start w:val="1"/>
      <w:numFmt w:val="bullet"/>
      <w:pStyle w:val="ListBullet"/>
      <w:lvlText w:val=""/>
      <w:lvlJc w:val="left"/>
      <w:pPr>
        <w:tabs>
          <w:tab w:val="num" w:pos="360"/>
        </w:tabs>
        <w:ind w:left="360" w:hanging="3"/>
      </w:pPr>
      <w:rPr>
        <w:rFonts w:ascii="Symbol" w:hAnsi="Symbol" w:hint="default"/>
      </w:rPr>
    </w:lvl>
  </w:abstractNum>
  <w:abstractNum w:abstractNumId="10" w15:restartNumberingAfterBreak="0">
    <w:nsid w:val="03156E2E"/>
    <w:multiLevelType w:val="hybridMultilevel"/>
    <w:tmpl w:val="32AE88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0AFB5DA5"/>
    <w:multiLevelType w:val="hybridMultilevel"/>
    <w:tmpl w:val="D65AC5AE"/>
    <w:lvl w:ilvl="0" w:tplc="0C09000F">
      <w:start w:val="20"/>
      <w:numFmt w:val="decimal"/>
      <w:lvlText w:val="%1."/>
      <w:lvlJc w:val="left"/>
      <w:pPr>
        <w:ind w:left="117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11D47F5"/>
    <w:multiLevelType w:val="hybridMultilevel"/>
    <w:tmpl w:val="8D30E8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3D63BA8"/>
    <w:multiLevelType w:val="hybridMultilevel"/>
    <w:tmpl w:val="D48A4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1C710D"/>
    <w:multiLevelType w:val="hybridMultilevel"/>
    <w:tmpl w:val="A1BC2D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B8B5AD3"/>
    <w:multiLevelType w:val="hybridMultilevel"/>
    <w:tmpl w:val="2D0C880C"/>
    <w:lvl w:ilvl="0" w:tplc="C0FE45D4">
      <w:start w:val="27"/>
      <w:numFmt w:val="decimal"/>
      <w:lvlText w:val="%1."/>
      <w:lvlJc w:val="left"/>
      <w:pPr>
        <w:ind w:left="144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21B71560"/>
    <w:multiLevelType w:val="hybridMultilevel"/>
    <w:tmpl w:val="0C090023"/>
    <w:styleLink w:val="ArticleSection"/>
    <w:lvl w:ilvl="0" w:tplc="F6C0ED18">
      <w:start w:val="1"/>
      <w:numFmt w:val="upperRoman"/>
      <w:lvlText w:val="Article %1."/>
      <w:lvlJc w:val="left"/>
      <w:pPr>
        <w:tabs>
          <w:tab w:val="num" w:pos="1440"/>
        </w:tabs>
        <w:ind w:left="0" w:firstLine="0"/>
      </w:pPr>
    </w:lvl>
    <w:lvl w:ilvl="1" w:tplc="3D708600">
      <w:start w:val="1"/>
      <w:numFmt w:val="decimalZero"/>
      <w:isLgl/>
      <w:lvlText w:val="Section %1.%2"/>
      <w:lvlJc w:val="left"/>
      <w:pPr>
        <w:tabs>
          <w:tab w:val="num" w:pos="1440"/>
        </w:tabs>
        <w:ind w:left="0" w:firstLine="0"/>
      </w:pPr>
    </w:lvl>
    <w:lvl w:ilvl="2" w:tplc="22544806">
      <w:start w:val="1"/>
      <w:numFmt w:val="lowerLetter"/>
      <w:lvlText w:val="(%3)"/>
      <w:lvlJc w:val="left"/>
      <w:pPr>
        <w:tabs>
          <w:tab w:val="num" w:pos="720"/>
        </w:tabs>
        <w:ind w:left="720" w:hanging="432"/>
      </w:pPr>
    </w:lvl>
    <w:lvl w:ilvl="3" w:tplc="8BE697BA">
      <w:start w:val="1"/>
      <w:numFmt w:val="lowerRoman"/>
      <w:lvlText w:val="(%4)"/>
      <w:lvlJc w:val="right"/>
      <w:pPr>
        <w:tabs>
          <w:tab w:val="num" w:pos="864"/>
        </w:tabs>
        <w:ind w:left="864" w:hanging="144"/>
      </w:pPr>
    </w:lvl>
    <w:lvl w:ilvl="4" w:tplc="5A8C2D04">
      <w:start w:val="1"/>
      <w:numFmt w:val="decimal"/>
      <w:lvlText w:val="%5)"/>
      <w:lvlJc w:val="left"/>
      <w:pPr>
        <w:tabs>
          <w:tab w:val="num" w:pos="1008"/>
        </w:tabs>
        <w:ind w:left="1008" w:hanging="432"/>
      </w:pPr>
    </w:lvl>
    <w:lvl w:ilvl="5" w:tplc="45F896E6">
      <w:start w:val="1"/>
      <w:numFmt w:val="lowerLetter"/>
      <w:lvlText w:val="%6)"/>
      <w:lvlJc w:val="left"/>
      <w:pPr>
        <w:tabs>
          <w:tab w:val="num" w:pos="1152"/>
        </w:tabs>
        <w:ind w:left="1152" w:hanging="432"/>
      </w:pPr>
    </w:lvl>
    <w:lvl w:ilvl="6" w:tplc="8CE0DEBA">
      <w:start w:val="1"/>
      <w:numFmt w:val="lowerRoman"/>
      <w:lvlText w:val="%7)"/>
      <w:lvlJc w:val="right"/>
      <w:pPr>
        <w:tabs>
          <w:tab w:val="num" w:pos="1296"/>
        </w:tabs>
        <w:ind w:left="1296" w:hanging="288"/>
      </w:pPr>
    </w:lvl>
    <w:lvl w:ilvl="7" w:tplc="37E48B7E">
      <w:start w:val="1"/>
      <w:numFmt w:val="lowerLetter"/>
      <w:lvlText w:val="%8."/>
      <w:lvlJc w:val="left"/>
      <w:pPr>
        <w:tabs>
          <w:tab w:val="num" w:pos="1440"/>
        </w:tabs>
        <w:ind w:left="1440" w:hanging="432"/>
      </w:pPr>
    </w:lvl>
    <w:lvl w:ilvl="8" w:tplc="C450C59C">
      <w:start w:val="1"/>
      <w:numFmt w:val="lowerRoman"/>
      <w:lvlText w:val="%9."/>
      <w:lvlJc w:val="right"/>
      <w:pPr>
        <w:tabs>
          <w:tab w:val="num" w:pos="1584"/>
        </w:tabs>
        <w:ind w:left="1584" w:hanging="144"/>
      </w:pPr>
    </w:lvl>
  </w:abstractNum>
  <w:abstractNum w:abstractNumId="18" w15:restartNumberingAfterBreak="0">
    <w:nsid w:val="291835D5"/>
    <w:multiLevelType w:val="hybridMultilevel"/>
    <w:tmpl w:val="C12E80BE"/>
    <w:lvl w:ilvl="0" w:tplc="67C42EBA">
      <w:start w:val="1"/>
      <w:numFmt w:val="decimal"/>
      <w:lvlText w:val="%1."/>
      <w:lvlJc w:val="left"/>
      <w:pPr>
        <w:ind w:left="360" w:hanging="360"/>
      </w:pPr>
    </w:lvl>
    <w:lvl w:ilvl="1" w:tplc="DC10FB5C" w:tentative="1">
      <w:start w:val="1"/>
      <w:numFmt w:val="lowerLetter"/>
      <w:lvlText w:val="%2."/>
      <w:lvlJc w:val="left"/>
      <w:pPr>
        <w:ind w:left="1080" w:hanging="360"/>
      </w:pPr>
    </w:lvl>
    <w:lvl w:ilvl="2" w:tplc="8506E10C" w:tentative="1">
      <w:start w:val="1"/>
      <w:numFmt w:val="lowerRoman"/>
      <w:lvlText w:val="%3."/>
      <w:lvlJc w:val="right"/>
      <w:pPr>
        <w:ind w:left="1800" w:hanging="180"/>
      </w:pPr>
    </w:lvl>
    <w:lvl w:ilvl="3" w:tplc="48AECF78" w:tentative="1">
      <w:start w:val="1"/>
      <w:numFmt w:val="decimal"/>
      <w:lvlText w:val="%4."/>
      <w:lvlJc w:val="left"/>
      <w:pPr>
        <w:ind w:left="2520" w:hanging="360"/>
      </w:pPr>
    </w:lvl>
    <w:lvl w:ilvl="4" w:tplc="C3B68F0A" w:tentative="1">
      <w:start w:val="1"/>
      <w:numFmt w:val="lowerLetter"/>
      <w:lvlText w:val="%5."/>
      <w:lvlJc w:val="left"/>
      <w:pPr>
        <w:ind w:left="3240" w:hanging="360"/>
      </w:pPr>
    </w:lvl>
    <w:lvl w:ilvl="5" w:tplc="0F50AE88" w:tentative="1">
      <w:start w:val="1"/>
      <w:numFmt w:val="lowerRoman"/>
      <w:lvlText w:val="%6."/>
      <w:lvlJc w:val="right"/>
      <w:pPr>
        <w:ind w:left="3960" w:hanging="180"/>
      </w:pPr>
    </w:lvl>
    <w:lvl w:ilvl="6" w:tplc="3F2032AA" w:tentative="1">
      <w:start w:val="1"/>
      <w:numFmt w:val="decimal"/>
      <w:lvlText w:val="%7."/>
      <w:lvlJc w:val="left"/>
      <w:pPr>
        <w:ind w:left="4680" w:hanging="360"/>
      </w:pPr>
    </w:lvl>
    <w:lvl w:ilvl="7" w:tplc="19E4BA70" w:tentative="1">
      <w:start w:val="1"/>
      <w:numFmt w:val="lowerLetter"/>
      <w:lvlText w:val="%8."/>
      <w:lvlJc w:val="left"/>
      <w:pPr>
        <w:ind w:left="5400" w:hanging="360"/>
      </w:pPr>
    </w:lvl>
    <w:lvl w:ilvl="8" w:tplc="125EF862" w:tentative="1">
      <w:start w:val="1"/>
      <w:numFmt w:val="lowerRoman"/>
      <w:lvlText w:val="%9."/>
      <w:lvlJc w:val="right"/>
      <w:pPr>
        <w:ind w:left="6120" w:hanging="180"/>
      </w:pPr>
    </w:lvl>
  </w:abstractNum>
  <w:abstractNum w:abstractNumId="19" w15:restartNumberingAfterBreak="0">
    <w:nsid w:val="2BC3246A"/>
    <w:multiLevelType w:val="hybridMultilevel"/>
    <w:tmpl w:val="682824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0CE11F8"/>
    <w:multiLevelType w:val="hybridMultilevel"/>
    <w:tmpl w:val="F99A2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1A04E1"/>
    <w:multiLevelType w:val="hybridMultilevel"/>
    <w:tmpl w:val="CCCC3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AB7F5D"/>
    <w:multiLevelType w:val="hybridMultilevel"/>
    <w:tmpl w:val="A8BA7BBA"/>
    <w:lvl w:ilvl="0" w:tplc="0C090001">
      <w:start w:val="1"/>
      <w:numFmt w:val="bullet"/>
      <w:lvlText w:val=""/>
      <w:lvlJc w:val="left"/>
      <w:pPr>
        <w:ind w:left="1440" w:hanging="360"/>
      </w:pPr>
      <w:rPr>
        <w:rFonts w:ascii="Symbol" w:hAnsi="Symbol" w:hint="default"/>
        <w:b/>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3EC42FE8"/>
    <w:multiLevelType w:val="hybridMultilevel"/>
    <w:tmpl w:val="0C09001D"/>
    <w:styleLink w:val="1ai"/>
    <w:lvl w:ilvl="0" w:tplc="D2C08EEC">
      <w:start w:val="1"/>
      <w:numFmt w:val="decimal"/>
      <w:lvlText w:val="%1)"/>
      <w:lvlJc w:val="left"/>
      <w:pPr>
        <w:tabs>
          <w:tab w:val="num" w:pos="360"/>
        </w:tabs>
        <w:ind w:left="360" w:hanging="360"/>
      </w:pPr>
    </w:lvl>
    <w:lvl w:ilvl="1" w:tplc="93E8AD86">
      <w:start w:val="1"/>
      <w:numFmt w:val="lowerLetter"/>
      <w:lvlText w:val="%2)"/>
      <w:lvlJc w:val="left"/>
      <w:pPr>
        <w:tabs>
          <w:tab w:val="num" w:pos="720"/>
        </w:tabs>
        <w:ind w:left="720" w:hanging="360"/>
      </w:pPr>
    </w:lvl>
    <w:lvl w:ilvl="2" w:tplc="5874C062">
      <w:start w:val="1"/>
      <w:numFmt w:val="lowerRoman"/>
      <w:lvlText w:val="%3)"/>
      <w:lvlJc w:val="left"/>
      <w:pPr>
        <w:tabs>
          <w:tab w:val="num" w:pos="1080"/>
        </w:tabs>
        <w:ind w:left="1080" w:hanging="360"/>
      </w:pPr>
    </w:lvl>
    <w:lvl w:ilvl="3" w:tplc="052CBC64">
      <w:start w:val="1"/>
      <w:numFmt w:val="decimal"/>
      <w:lvlText w:val="(%4)"/>
      <w:lvlJc w:val="left"/>
      <w:pPr>
        <w:tabs>
          <w:tab w:val="num" w:pos="1440"/>
        </w:tabs>
        <w:ind w:left="1440" w:hanging="360"/>
      </w:pPr>
    </w:lvl>
    <w:lvl w:ilvl="4" w:tplc="EB0A71A6">
      <w:start w:val="1"/>
      <w:numFmt w:val="lowerLetter"/>
      <w:lvlText w:val="(%5)"/>
      <w:lvlJc w:val="left"/>
      <w:pPr>
        <w:tabs>
          <w:tab w:val="num" w:pos="1800"/>
        </w:tabs>
        <w:ind w:left="1800" w:hanging="360"/>
      </w:pPr>
    </w:lvl>
    <w:lvl w:ilvl="5" w:tplc="5928C478">
      <w:start w:val="1"/>
      <w:numFmt w:val="lowerRoman"/>
      <w:lvlText w:val="(%6)"/>
      <w:lvlJc w:val="left"/>
      <w:pPr>
        <w:tabs>
          <w:tab w:val="num" w:pos="2160"/>
        </w:tabs>
        <w:ind w:left="2160" w:hanging="360"/>
      </w:pPr>
    </w:lvl>
    <w:lvl w:ilvl="6" w:tplc="ADEA9E1C">
      <w:start w:val="1"/>
      <w:numFmt w:val="decimal"/>
      <w:lvlText w:val="%7."/>
      <w:lvlJc w:val="left"/>
      <w:pPr>
        <w:tabs>
          <w:tab w:val="num" w:pos="2520"/>
        </w:tabs>
        <w:ind w:left="2520" w:hanging="360"/>
      </w:pPr>
    </w:lvl>
    <w:lvl w:ilvl="7" w:tplc="1570EF24">
      <w:start w:val="1"/>
      <w:numFmt w:val="lowerLetter"/>
      <w:lvlText w:val="%8."/>
      <w:lvlJc w:val="left"/>
      <w:pPr>
        <w:tabs>
          <w:tab w:val="num" w:pos="2880"/>
        </w:tabs>
        <w:ind w:left="2880" w:hanging="360"/>
      </w:pPr>
    </w:lvl>
    <w:lvl w:ilvl="8" w:tplc="F36290F6">
      <w:start w:val="1"/>
      <w:numFmt w:val="lowerRoman"/>
      <w:lvlText w:val="%9."/>
      <w:lvlJc w:val="left"/>
      <w:pPr>
        <w:tabs>
          <w:tab w:val="num" w:pos="3240"/>
        </w:tabs>
        <w:ind w:left="3240" w:hanging="360"/>
      </w:pPr>
    </w:lvl>
  </w:abstractNum>
  <w:abstractNum w:abstractNumId="24" w15:restartNumberingAfterBreak="0">
    <w:nsid w:val="410C3301"/>
    <w:multiLevelType w:val="hybridMultilevel"/>
    <w:tmpl w:val="E0F6D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8E6B45"/>
    <w:multiLevelType w:val="hybridMultilevel"/>
    <w:tmpl w:val="2A1AB1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9DF292F"/>
    <w:multiLevelType w:val="hybridMultilevel"/>
    <w:tmpl w:val="72768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FF7A73"/>
    <w:multiLevelType w:val="hybridMultilevel"/>
    <w:tmpl w:val="0F4C2234"/>
    <w:lvl w:ilvl="0" w:tplc="19BCBDC4">
      <w:start w:val="1"/>
      <w:numFmt w:val="decimal"/>
      <w:pStyle w:val="Heading1"/>
      <w:lvlText w:val="%1"/>
      <w:lvlJc w:val="left"/>
      <w:pPr>
        <w:tabs>
          <w:tab w:val="num" w:pos="851"/>
        </w:tabs>
        <w:ind w:left="851" w:hanging="851"/>
      </w:pPr>
      <w:rPr>
        <w:rFonts w:hint="default"/>
      </w:rPr>
    </w:lvl>
    <w:lvl w:ilvl="1" w:tplc="BCEA018E">
      <w:start w:val="1"/>
      <w:numFmt w:val="decimal"/>
      <w:pStyle w:val="Heading2"/>
      <w:lvlText w:val="%1.%2"/>
      <w:lvlJc w:val="left"/>
      <w:pPr>
        <w:tabs>
          <w:tab w:val="num" w:pos="851"/>
        </w:tabs>
        <w:ind w:left="851" w:hanging="851"/>
      </w:pPr>
      <w:rPr>
        <w:rFonts w:hint="default"/>
      </w:rPr>
    </w:lvl>
    <w:lvl w:ilvl="2" w:tplc="0D9C5542">
      <w:start w:val="1"/>
      <w:numFmt w:val="lowerLetter"/>
      <w:pStyle w:val="Heading3"/>
      <w:lvlText w:val="(%3)"/>
      <w:lvlJc w:val="left"/>
      <w:pPr>
        <w:tabs>
          <w:tab w:val="num" w:pos="851"/>
        </w:tabs>
        <w:ind w:left="851" w:hanging="851"/>
      </w:pPr>
      <w:rPr>
        <w:rFonts w:hint="default"/>
      </w:rPr>
    </w:lvl>
    <w:lvl w:ilvl="3" w:tplc="4DB220DA">
      <w:start w:val="1"/>
      <w:numFmt w:val="lowerRoman"/>
      <w:pStyle w:val="Heading4"/>
      <w:lvlText w:val="(%4)"/>
      <w:lvlJc w:val="left"/>
      <w:pPr>
        <w:tabs>
          <w:tab w:val="num" w:pos="851"/>
        </w:tabs>
        <w:ind w:left="851" w:hanging="851"/>
      </w:pPr>
      <w:rPr>
        <w:rFonts w:hint="default"/>
      </w:rPr>
    </w:lvl>
    <w:lvl w:ilvl="4" w:tplc="9BD02B94">
      <w:start w:val="1"/>
      <w:numFmt w:val="decimal"/>
      <w:pStyle w:val="Heading5"/>
      <w:lvlText w:val="%1.%2.%3.%4.%5"/>
      <w:lvlJc w:val="left"/>
      <w:pPr>
        <w:tabs>
          <w:tab w:val="num" w:pos="0"/>
        </w:tabs>
        <w:ind w:left="1008" w:hanging="1008"/>
      </w:pPr>
      <w:rPr>
        <w:rFonts w:hint="default"/>
      </w:rPr>
    </w:lvl>
    <w:lvl w:ilvl="5" w:tplc="3CF4E218">
      <w:start w:val="1"/>
      <w:numFmt w:val="decimal"/>
      <w:pStyle w:val="Heading6"/>
      <w:lvlText w:val="%1.%2.%3.%4.%5.%6"/>
      <w:lvlJc w:val="left"/>
      <w:pPr>
        <w:tabs>
          <w:tab w:val="num" w:pos="0"/>
        </w:tabs>
        <w:ind w:left="1152" w:hanging="1152"/>
      </w:pPr>
      <w:rPr>
        <w:rFonts w:hint="default"/>
      </w:rPr>
    </w:lvl>
    <w:lvl w:ilvl="6" w:tplc="69844BF8">
      <w:start w:val="1"/>
      <w:numFmt w:val="decimal"/>
      <w:pStyle w:val="Heading7"/>
      <w:lvlText w:val="%1.%2.%3.%4.%5.%6.%7"/>
      <w:lvlJc w:val="left"/>
      <w:pPr>
        <w:tabs>
          <w:tab w:val="num" w:pos="0"/>
        </w:tabs>
        <w:ind w:left="1296" w:hanging="1296"/>
      </w:pPr>
      <w:rPr>
        <w:rFonts w:hint="default"/>
      </w:rPr>
    </w:lvl>
    <w:lvl w:ilvl="7" w:tplc="D876E610">
      <w:start w:val="1"/>
      <w:numFmt w:val="decimal"/>
      <w:pStyle w:val="Heading8"/>
      <w:lvlText w:val="%1.%2.%3.%4.%5.%6.%7.%8"/>
      <w:lvlJc w:val="left"/>
      <w:pPr>
        <w:tabs>
          <w:tab w:val="num" w:pos="0"/>
        </w:tabs>
        <w:ind w:left="1440" w:hanging="1440"/>
      </w:pPr>
      <w:rPr>
        <w:rFonts w:hint="default"/>
      </w:rPr>
    </w:lvl>
    <w:lvl w:ilvl="8" w:tplc="7EECB4BE">
      <w:start w:val="1"/>
      <w:numFmt w:val="decimal"/>
      <w:pStyle w:val="Heading9"/>
      <w:lvlText w:val="%1.%2.%3.%4.%5.%6.%7.%8.%9"/>
      <w:lvlJc w:val="left"/>
      <w:pPr>
        <w:tabs>
          <w:tab w:val="num" w:pos="0"/>
        </w:tabs>
        <w:ind w:left="1584" w:hanging="1584"/>
      </w:pPr>
      <w:rPr>
        <w:rFonts w:hint="default"/>
      </w:rPr>
    </w:lvl>
  </w:abstractNum>
  <w:abstractNum w:abstractNumId="28" w15:restartNumberingAfterBreak="0">
    <w:nsid w:val="4ACD4CDF"/>
    <w:multiLevelType w:val="hybridMultilevel"/>
    <w:tmpl w:val="9CDAEA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B5010F6"/>
    <w:multiLevelType w:val="hybridMultilevel"/>
    <w:tmpl w:val="96EC78D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4C3A0F68"/>
    <w:multiLevelType w:val="hybridMultilevel"/>
    <w:tmpl w:val="594E9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4322A8"/>
    <w:multiLevelType w:val="hybridMultilevel"/>
    <w:tmpl w:val="0C09001F"/>
    <w:styleLink w:val="111111"/>
    <w:lvl w:ilvl="0" w:tplc="7FF8E488">
      <w:start w:val="1"/>
      <w:numFmt w:val="decimal"/>
      <w:lvlText w:val="%1."/>
      <w:lvlJc w:val="left"/>
      <w:pPr>
        <w:tabs>
          <w:tab w:val="num" w:pos="360"/>
        </w:tabs>
        <w:ind w:left="360" w:hanging="360"/>
      </w:pPr>
    </w:lvl>
    <w:lvl w:ilvl="1" w:tplc="D892EDC8">
      <w:start w:val="1"/>
      <w:numFmt w:val="decimal"/>
      <w:lvlText w:val="%1.%2."/>
      <w:lvlJc w:val="left"/>
      <w:pPr>
        <w:tabs>
          <w:tab w:val="num" w:pos="792"/>
        </w:tabs>
        <w:ind w:left="792" w:hanging="432"/>
      </w:pPr>
    </w:lvl>
    <w:lvl w:ilvl="2" w:tplc="B814772A">
      <w:start w:val="1"/>
      <w:numFmt w:val="decimal"/>
      <w:lvlText w:val="%1.%2.%3."/>
      <w:lvlJc w:val="left"/>
      <w:pPr>
        <w:tabs>
          <w:tab w:val="num" w:pos="1440"/>
        </w:tabs>
        <w:ind w:left="1224" w:hanging="504"/>
      </w:pPr>
    </w:lvl>
    <w:lvl w:ilvl="3" w:tplc="10A26316">
      <w:start w:val="1"/>
      <w:numFmt w:val="decimal"/>
      <w:lvlText w:val="%1.%2.%3.%4."/>
      <w:lvlJc w:val="left"/>
      <w:pPr>
        <w:tabs>
          <w:tab w:val="num" w:pos="2160"/>
        </w:tabs>
        <w:ind w:left="1728" w:hanging="648"/>
      </w:pPr>
    </w:lvl>
    <w:lvl w:ilvl="4" w:tplc="99F6EBE0">
      <w:start w:val="1"/>
      <w:numFmt w:val="decimal"/>
      <w:lvlText w:val="%1.%2.%3.%4.%5."/>
      <w:lvlJc w:val="left"/>
      <w:pPr>
        <w:tabs>
          <w:tab w:val="num" w:pos="2520"/>
        </w:tabs>
        <w:ind w:left="2232" w:hanging="792"/>
      </w:pPr>
    </w:lvl>
    <w:lvl w:ilvl="5" w:tplc="833C223E">
      <w:start w:val="1"/>
      <w:numFmt w:val="decimal"/>
      <w:lvlText w:val="%1.%2.%3.%4.%5.%6."/>
      <w:lvlJc w:val="left"/>
      <w:pPr>
        <w:tabs>
          <w:tab w:val="num" w:pos="3240"/>
        </w:tabs>
        <w:ind w:left="2736" w:hanging="936"/>
      </w:pPr>
    </w:lvl>
    <w:lvl w:ilvl="6" w:tplc="29BC572C">
      <w:start w:val="1"/>
      <w:numFmt w:val="decimal"/>
      <w:lvlText w:val="%1.%2.%3.%4.%5.%6.%7."/>
      <w:lvlJc w:val="left"/>
      <w:pPr>
        <w:tabs>
          <w:tab w:val="num" w:pos="3600"/>
        </w:tabs>
        <w:ind w:left="3240" w:hanging="1080"/>
      </w:pPr>
    </w:lvl>
    <w:lvl w:ilvl="7" w:tplc="8BF235F0">
      <w:start w:val="1"/>
      <w:numFmt w:val="decimal"/>
      <w:lvlText w:val="%1.%2.%3.%4.%5.%6.%7.%8."/>
      <w:lvlJc w:val="left"/>
      <w:pPr>
        <w:tabs>
          <w:tab w:val="num" w:pos="4320"/>
        </w:tabs>
        <w:ind w:left="3744" w:hanging="1224"/>
      </w:pPr>
    </w:lvl>
    <w:lvl w:ilvl="8" w:tplc="7FA458EC">
      <w:start w:val="1"/>
      <w:numFmt w:val="decimal"/>
      <w:lvlText w:val="%1.%2.%3.%4.%5.%6.%7.%8.%9."/>
      <w:lvlJc w:val="left"/>
      <w:pPr>
        <w:tabs>
          <w:tab w:val="num" w:pos="5040"/>
        </w:tabs>
        <w:ind w:left="4320" w:hanging="1440"/>
      </w:pPr>
    </w:lvl>
  </w:abstractNum>
  <w:abstractNum w:abstractNumId="32" w15:restartNumberingAfterBreak="0">
    <w:nsid w:val="50C25C88"/>
    <w:multiLevelType w:val="hybridMultilevel"/>
    <w:tmpl w:val="1794C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D25A79"/>
    <w:multiLevelType w:val="hybridMultilevel"/>
    <w:tmpl w:val="44B684F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4" w15:restartNumberingAfterBreak="0">
    <w:nsid w:val="51C7021D"/>
    <w:multiLevelType w:val="hybridMultilevel"/>
    <w:tmpl w:val="773A5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F64261"/>
    <w:multiLevelType w:val="hybridMultilevel"/>
    <w:tmpl w:val="85627E6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5EDF49A3"/>
    <w:multiLevelType w:val="hybridMultilevel"/>
    <w:tmpl w:val="AA447F26"/>
    <w:lvl w:ilvl="0" w:tplc="FFFFFFFF">
      <w:start w:val="1"/>
      <w:numFmt w:val="decimal"/>
      <w:lvlText w:val="%1."/>
      <w:lvlJc w:val="left"/>
      <w:pPr>
        <w:ind w:left="1440" w:hanging="360"/>
      </w:pPr>
      <w:rPr>
        <w:b w:val="0"/>
        <w:bCs/>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15:restartNumberingAfterBreak="0">
    <w:nsid w:val="6AE52B93"/>
    <w:multiLevelType w:val="hybridMultilevel"/>
    <w:tmpl w:val="E7ECDDD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7A1665DA"/>
    <w:multiLevelType w:val="hybridMultilevel"/>
    <w:tmpl w:val="4DCCED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F175F13"/>
    <w:multiLevelType w:val="hybridMultilevel"/>
    <w:tmpl w:val="58949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31"/>
    <w:lvlOverride w:ilvl="0">
      <w:lvl w:ilvl="0" w:tplc="7FF8E488">
        <w:start w:val="1"/>
        <w:numFmt w:val="lowerRoman"/>
        <w:lvlText w:val="%1."/>
        <w:lvlJc w:val="right"/>
        <w:pPr>
          <w:ind w:left="640" w:hanging="360"/>
        </w:pPr>
      </w:lvl>
    </w:lvlOverride>
    <w:lvlOverride w:ilvl="1">
      <w:lvl w:ilvl="1" w:tplc="D892EDC8" w:tentative="1">
        <w:start w:val="1"/>
        <w:numFmt w:val="lowerLetter"/>
        <w:lvlText w:val="%2."/>
        <w:lvlJc w:val="left"/>
        <w:pPr>
          <w:ind w:left="1360" w:hanging="360"/>
        </w:pPr>
      </w:lvl>
    </w:lvlOverride>
    <w:lvlOverride w:ilvl="2">
      <w:lvl w:ilvl="2" w:tplc="B814772A" w:tentative="1">
        <w:start w:val="1"/>
        <w:numFmt w:val="lowerRoman"/>
        <w:lvlText w:val="%3."/>
        <w:lvlJc w:val="right"/>
        <w:pPr>
          <w:ind w:left="2080" w:hanging="180"/>
        </w:pPr>
      </w:lvl>
    </w:lvlOverride>
    <w:lvlOverride w:ilvl="3">
      <w:lvl w:ilvl="3" w:tplc="10A26316" w:tentative="1">
        <w:start w:val="1"/>
        <w:numFmt w:val="decimal"/>
        <w:lvlText w:val="%4."/>
        <w:lvlJc w:val="left"/>
        <w:pPr>
          <w:ind w:left="2800" w:hanging="360"/>
        </w:pPr>
      </w:lvl>
    </w:lvlOverride>
    <w:lvlOverride w:ilvl="4">
      <w:lvl w:ilvl="4" w:tplc="99F6EBE0" w:tentative="1">
        <w:start w:val="1"/>
        <w:numFmt w:val="lowerLetter"/>
        <w:lvlText w:val="%5."/>
        <w:lvlJc w:val="left"/>
        <w:pPr>
          <w:ind w:left="3520" w:hanging="360"/>
        </w:pPr>
      </w:lvl>
    </w:lvlOverride>
    <w:lvlOverride w:ilvl="5">
      <w:lvl w:ilvl="5" w:tplc="833C223E" w:tentative="1">
        <w:start w:val="1"/>
        <w:numFmt w:val="lowerRoman"/>
        <w:lvlText w:val="%6."/>
        <w:lvlJc w:val="right"/>
        <w:pPr>
          <w:ind w:left="4240" w:hanging="180"/>
        </w:pPr>
      </w:lvl>
    </w:lvlOverride>
    <w:lvlOverride w:ilvl="6">
      <w:lvl w:ilvl="6" w:tplc="29BC572C" w:tentative="1">
        <w:start w:val="1"/>
        <w:numFmt w:val="decimal"/>
        <w:lvlText w:val="%7."/>
        <w:lvlJc w:val="left"/>
        <w:pPr>
          <w:ind w:left="4960" w:hanging="360"/>
        </w:pPr>
      </w:lvl>
    </w:lvlOverride>
    <w:lvlOverride w:ilvl="7">
      <w:lvl w:ilvl="7" w:tplc="8BF235F0" w:tentative="1">
        <w:start w:val="1"/>
        <w:numFmt w:val="lowerLetter"/>
        <w:lvlText w:val="%8."/>
        <w:lvlJc w:val="left"/>
        <w:pPr>
          <w:ind w:left="5680" w:hanging="360"/>
        </w:pPr>
      </w:lvl>
    </w:lvlOverride>
    <w:lvlOverride w:ilvl="8">
      <w:lvl w:ilvl="8" w:tplc="7FA458EC" w:tentative="1">
        <w:start w:val="1"/>
        <w:numFmt w:val="lowerRoman"/>
        <w:lvlText w:val="%9."/>
        <w:lvlJc w:val="right"/>
        <w:pPr>
          <w:ind w:left="6400" w:hanging="180"/>
        </w:pPr>
      </w:lvl>
    </w:lvlOverride>
  </w:num>
  <w:num w:numId="13">
    <w:abstractNumId w:val="23"/>
  </w:num>
  <w:num w:numId="14">
    <w:abstractNumId w:val="17"/>
  </w:num>
  <w:num w:numId="15">
    <w:abstractNumId w:val="16"/>
  </w:num>
  <w:num w:numId="16">
    <w:abstractNumId w:val="29"/>
  </w:num>
  <w:num w:numId="17">
    <w:abstractNumId w:val="37"/>
  </w:num>
  <w:num w:numId="18">
    <w:abstractNumId w:val="35"/>
  </w:num>
  <w:num w:numId="19">
    <w:abstractNumId w:val="25"/>
  </w:num>
  <w:num w:numId="20">
    <w:abstractNumId w:val="12"/>
  </w:num>
  <w:num w:numId="21">
    <w:abstractNumId w:val="33"/>
  </w:num>
  <w:num w:numId="22">
    <w:abstractNumId w:val="19"/>
  </w:num>
  <w:num w:numId="23">
    <w:abstractNumId w:val="28"/>
  </w:num>
  <w:num w:numId="24">
    <w:abstractNumId w:val="38"/>
  </w:num>
  <w:num w:numId="25">
    <w:abstractNumId w:val="14"/>
  </w:num>
  <w:num w:numId="26">
    <w:abstractNumId w:val="18"/>
  </w:num>
  <w:num w:numId="27">
    <w:abstractNumId w:val="21"/>
  </w:num>
  <w:num w:numId="28">
    <w:abstractNumId w:val="26"/>
  </w:num>
  <w:num w:numId="29">
    <w:abstractNumId w:val="13"/>
  </w:num>
  <w:num w:numId="30">
    <w:abstractNumId w:val="24"/>
  </w:num>
  <w:num w:numId="31">
    <w:abstractNumId w:val="39"/>
  </w:num>
  <w:num w:numId="32">
    <w:abstractNumId w:val="30"/>
  </w:num>
  <w:num w:numId="33">
    <w:abstractNumId w:val="34"/>
  </w:num>
  <w:num w:numId="34">
    <w:abstractNumId w:val="32"/>
  </w:num>
  <w:num w:numId="35">
    <w:abstractNumId w:val="20"/>
  </w:num>
  <w:num w:numId="36">
    <w:abstractNumId w:val="11"/>
  </w:num>
  <w:num w:numId="37">
    <w:abstractNumId w:val="36"/>
  </w:num>
  <w:num w:numId="38">
    <w:abstractNumId w:val="22"/>
  </w:num>
  <w:num w:numId="39">
    <w:abstractNumId w:val="10"/>
  </w:num>
  <w:num w:numId="40">
    <w:abstractNumId w:val="31"/>
  </w:num>
  <w:num w:numId="41">
    <w:abstractNumId w:val="1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1"/>
  <w:proofState w:spelling="clean" w:grammar="clean"/>
  <w:attachedTemplate r:id="rId1"/>
  <w:stylePaneSortMethod w:val="0000"/>
  <w:documentProtection w:edit="trackedChanges" w:formatting="1" w:enforcement="0"/>
  <w:defaultTabStop w:val="720"/>
  <w:evenAndOddHeaders/>
  <w:drawingGridHorizontalSpacing w:val="120"/>
  <w:displayHorizontalDrawingGridEvery w:val="2"/>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85D"/>
    <w:rsid w:val="000015EC"/>
    <w:rsid w:val="00003EA5"/>
    <w:rsid w:val="00005DA4"/>
    <w:rsid w:val="000161C2"/>
    <w:rsid w:val="0002476A"/>
    <w:rsid w:val="00030179"/>
    <w:rsid w:val="00036BE4"/>
    <w:rsid w:val="000430B8"/>
    <w:rsid w:val="00045712"/>
    <w:rsid w:val="00045C4B"/>
    <w:rsid w:val="000465F1"/>
    <w:rsid w:val="00057502"/>
    <w:rsid w:val="000579B1"/>
    <w:rsid w:val="00061C6C"/>
    <w:rsid w:val="00066C68"/>
    <w:rsid w:val="00072EDA"/>
    <w:rsid w:val="000809C5"/>
    <w:rsid w:val="000865E8"/>
    <w:rsid w:val="00087417"/>
    <w:rsid w:val="000933F5"/>
    <w:rsid w:val="000954C1"/>
    <w:rsid w:val="000A1DB8"/>
    <w:rsid w:val="000A48AC"/>
    <w:rsid w:val="000A520E"/>
    <w:rsid w:val="000B0603"/>
    <w:rsid w:val="000B0A5D"/>
    <w:rsid w:val="000B5B68"/>
    <w:rsid w:val="000C5608"/>
    <w:rsid w:val="000C5DA6"/>
    <w:rsid w:val="000E0708"/>
    <w:rsid w:val="000E130A"/>
    <w:rsid w:val="000E1B94"/>
    <w:rsid w:val="000E4784"/>
    <w:rsid w:val="00132138"/>
    <w:rsid w:val="00134774"/>
    <w:rsid w:val="00140274"/>
    <w:rsid w:val="00151263"/>
    <w:rsid w:val="0015239E"/>
    <w:rsid w:val="0016266F"/>
    <w:rsid w:val="00162A8D"/>
    <w:rsid w:val="0016312A"/>
    <w:rsid w:val="00165E3C"/>
    <w:rsid w:val="00173FB5"/>
    <w:rsid w:val="00174D9A"/>
    <w:rsid w:val="001839D6"/>
    <w:rsid w:val="00185609"/>
    <w:rsid w:val="00195EDE"/>
    <w:rsid w:val="001B0353"/>
    <w:rsid w:val="001C1F8B"/>
    <w:rsid w:val="001E5676"/>
    <w:rsid w:val="001F2BBB"/>
    <w:rsid w:val="001F52FD"/>
    <w:rsid w:val="001F62CC"/>
    <w:rsid w:val="00200677"/>
    <w:rsid w:val="002012F7"/>
    <w:rsid w:val="002027F6"/>
    <w:rsid w:val="002068EB"/>
    <w:rsid w:val="0021063E"/>
    <w:rsid w:val="00231ED1"/>
    <w:rsid w:val="002329AE"/>
    <w:rsid w:val="00241523"/>
    <w:rsid w:val="00242624"/>
    <w:rsid w:val="0024557E"/>
    <w:rsid w:val="002471FD"/>
    <w:rsid w:val="00252789"/>
    <w:rsid w:val="002632EA"/>
    <w:rsid w:val="0028506A"/>
    <w:rsid w:val="002850B0"/>
    <w:rsid w:val="002863D7"/>
    <w:rsid w:val="002873B4"/>
    <w:rsid w:val="00292AB5"/>
    <w:rsid w:val="00292FDE"/>
    <w:rsid w:val="002A43C2"/>
    <w:rsid w:val="002B1B65"/>
    <w:rsid w:val="002B5D26"/>
    <w:rsid w:val="002C02DB"/>
    <w:rsid w:val="002C1866"/>
    <w:rsid w:val="002C19E0"/>
    <w:rsid w:val="002C5943"/>
    <w:rsid w:val="002C7D0B"/>
    <w:rsid w:val="002D43D1"/>
    <w:rsid w:val="002E5A1B"/>
    <w:rsid w:val="002F4CE1"/>
    <w:rsid w:val="002F5E96"/>
    <w:rsid w:val="0030053D"/>
    <w:rsid w:val="00300F22"/>
    <w:rsid w:val="00304441"/>
    <w:rsid w:val="00304A37"/>
    <w:rsid w:val="0031040E"/>
    <w:rsid w:val="00310ED4"/>
    <w:rsid w:val="00312301"/>
    <w:rsid w:val="0031492A"/>
    <w:rsid w:val="00316C1A"/>
    <w:rsid w:val="00323C73"/>
    <w:rsid w:val="00331141"/>
    <w:rsid w:val="0033318C"/>
    <w:rsid w:val="00333204"/>
    <w:rsid w:val="003376EB"/>
    <w:rsid w:val="003423F4"/>
    <w:rsid w:val="00344758"/>
    <w:rsid w:val="00347142"/>
    <w:rsid w:val="00350D1B"/>
    <w:rsid w:val="003536C6"/>
    <w:rsid w:val="003565A8"/>
    <w:rsid w:val="003566EA"/>
    <w:rsid w:val="003724A9"/>
    <w:rsid w:val="00372C79"/>
    <w:rsid w:val="00396C14"/>
    <w:rsid w:val="003977F9"/>
    <w:rsid w:val="003A168E"/>
    <w:rsid w:val="003A2213"/>
    <w:rsid w:val="003A48B7"/>
    <w:rsid w:val="003D2876"/>
    <w:rsid w:val="003D541E"/>
    <w:rsid w:val="003E5DEF"/>
    <w:rsid w:val="003E65F1"/>
    <w:rsid w:val="0040497E"/>
    <w:rsid w:val="00405B90"/>
    <w:rsid w:val="00416E7E"/>
    <w:rsid w:val="00422417"/>
    <w:rsid w:val="00424233"/>
    <w:rsid w:val="00434945"/>
    <w:rsid w:val="00435839"/>
    <w:rsid w:val="00445CB5"/>
    <w:rsid w:val="00451F12"/>
    <w:rsid w:val="00460EE0"/>
    <w:rsid w:val="004712FB"/>
    <w:rsid w:val="00471BB7"/>
    <w:rsid w:val="00472EFF"/>
    <w:rsid w:val="00474063"/>
    <w:rsid w:val="00476793"/>
    <w:rsid w:val="00481B2A"/>
    <w:rsid w:val="00482091"/>
    <w:rsid w:val="00485275"/>
    <w:rsid w:val="0049385D"/>
    <w:rsid w:val="004A187B"/>
    <w:rsid w:val="004A2D3C"/>
    <w:rsid w:val="004A3CEB"/>
    <w:rsid w:val="004C7412"/>
    <w:rsid w:val="004D04BF"/>
    <w:rsid w:val="004E0DFF"/>
    <w:rsid w:val="004F1C7C"/>
    <w:rsid w:val="004F3697"/>
    <w:rsid w:val="00510144"/>
    <w:rsid w:val="00510390"/>
    <w:rsid w:val="00510696"/>
    <w:rsid w:val="005123F0"/>
    <w:rsid w:val="00513540"/>
    <w:rsid w:val="00513941"/>
    <w:rsid w:val="0053051D"/>
    <w:rsid w:val="00535726"/>
    <w:rsid w:val="00561019"/>
    <w:rsid w:val="00564208"/>
    <w:rsid w:val="00571CEB"/>
    <w:rsid w:val="00572F86"/>
    <w:rsid w:val="00591951"/>
    <w:rsid w:val="005951A0"/>
    <w:rsid w:val="005A0964"/>
    <w:rsid w:val="005A719D"/>
    <w:rsid w:val="005B101C"/>
    <w:rsid w:val="005B36F6"/>
    <w:rsid w:val="005B3884"/>
    <w:rsid w:val="005C2ECF"/>
    <w:rsid w:val="005C5D41"/>
    <w:rsid w:val="005D1F34"/>
    <w:rsid w:val="005D383D"/>
    <w:rsid w:val="005D66B3"/>
    <w:rsid w:val="005D732A"/>
    <w:rsid w:val="00606EEB"/>
    <w:rsid w:val="00616F88"/>
    <w:rsid w:val="00622508"/>
    <w:rsid w:val="0063009F"/>
    <w:rsid w:val="006356C5"/>
    <w:rsid w:val="00650E26"/>
    <w:rsid w:val="00654793"/>
    <w:rsid w:val="00673B55"/>
    <w:rsid w:val="00676382"/>
    <w:rsid w:val="00686870"/>
    <w:rsid w:val="00693C0B"/>
    <w:rsid w:val="00696AB3"/>
    <w:rsid w:val="006A6BB3"/>
    <w:rsid w:val="006B3DE1"/>
    <w:rsid w:val="006B7780"/>
    <w:rsid w:val="006C0642"/>
    <w:rsid w:val="006D0407"/>
    <w:rsid w:val="006D5EE5"/>
    <w:rsid w:val="006E02B4"/>
    <w:rsid w:val="006E6D3B"/>
    <w:rsid w:val="00714FF5"/>
    <w:rsid w:val="00730BD2"/>
    <w:rsid w:val="007540BF"/>
    <w:rsid w:val="007637A8"/>
    <w:rsid w:val="00765B58"/>
    <w:rsid w:val="00770DCB"/>
    <w:rsid w:val="00773D9A"/>
    <w:rsid w:val="00775485"/>
    <w:rsid w:val="00783532"/>
    <w:rsid w:val="007846B5"/>
    <w:rsid w:val="007B06EA"/>
    <w:rsid w:val="007C1D7F"/>
    <w:rsid w:val="007C5CF6"/>
    <w:rsid w:val="007C72BE"/>
    <w:rsid w:val="007D2165"/>
    <w:rsid w:val="007D2F00"/>
    <w:rsid w:val="007D4C09"/>
    <w:rsid w:val="007E5B88"/>
    <w:rsid w:val="007F0D0B"/>
    <w:rsid w:val="008007A8"/>
    <w:rsid w:val="008042D9"/>
    <w:rsid w:val="00814EB5"/>
    <w:rsid w:val="00814FC0"/>
    <w:rsid w:val="00817C73"/>
    <w:rsid w:val="00823005"/>
    <w:rsid w:val="008323C1"/>
    <w:rsid w:val="00842B54"/>
    <w:rsid w:val="008449B9"/>
    <w:rsid w:val="00845D88"/>
    <w:rsid w:val="00847191"/>
    <w:rsid w:val="00854CD8"/>
    <w:rsid w:val="0086254F"/>
    <w:rsid w:val="008724DE"/>
    <w:rsid w:val="008758D9"/>
    <w:rsid w:val="00882B0A"/>
    <w:rsid w:val="008A2B32"/>
    <w:rsid w:val="008A3D57"/>
    <w:rsid w:val="008A7305"/>
    <w:rsid w:val="008B0B63"/>
    <w:rsid w:val="008B23BC"/>
    <w:rsid w:val="008B3899"/>
    <w:rsid w:val="008D1E0D"/>
    <w:rsid w:val="008D34F7"/>
    <w:rsid w:val="008E328C"/>
    <w:rsid w:val="008E3D60"/>
    <w:rsid w:val="008E3F4C"/>
    <w:rsid w:val="008E78F0"/>
    <w:rsid w:val="008F062E"/>
    <w:rsid w:val="008F6844"/>
    <w:rsid w:val="0090165F"/>
    <w:rsid w:val="00901B82"/>
    <w:rsid w:val="00910473"/>
    <w:rsid w:val="00912B09"/>
    <w:rsid w:val="0091791D"/>
    <w:rsid w:val="0093583B"/>
    <w:rsid w:val="009414C6"/>
    <w:rsid w:val="009432CF"/>
    <w:rsid w:val="009462C8"/>
    <w:rsid w:val="0095350C"/>
    <w:rsid w:val="00965613"/>
    <w:rsid w:val="00966C2F"/>
    <w:rsid w:val="0096742A"/>
    <w:rsid w:val="0097383A"/>
    <w:rsid w:val="0097512B"/>
    <w:rsid w:val="00982404"/>
    <w:rsid w:val="00990B81"/>
    <w:rsid w:val="00997E0D"/>
    <w:rsid w:val="009A1259"/>
    <w:rsid w:val="009A3668"/>
    <w:rsid w:val="009B15BE"/>
    <w:rsid w:val="009B1A2F"/>
    <w:rsid w:val="009B1CCE"/>
    <w:rsid w:val="009C0379"/>
    <w:rsid w:val="009D67F6"/>
    <w:rsid w:val="009E05D5"/>
    <w:rsid w:val="009E08D1"/>
    <w:rsid w:val="009E0FE1"/>
    <w:rsid w:val="009E4BD0"/>
    <w:rsid w:val="009F00BC"/>
    <w:rsid w:val="009F2764"/>
    <w:rsid w:val="00A0406E"/>
    <w:rsid w:val="00A11307"/>
    <w:rsid w:val="00A13AF3"/>
    <w:rsid w:val="00A15952"/>
    <w:rsid w:val="00A21352"/>
    <w:rsid w:val="00A21388"/>
    <w:rsid w:val="00A27791"/>
    <w:rsid w:val="00A27ABE"/>
    <w:rsid w:val="00A355F9"/>
    <w:rsid w:val="00A41355"/>
    <w:rsid w:val="00A437B6"/>
    <w:rsid w:val="00A43B92"/>
    <w:rsid w:val="00A54251"/>
    <w:rsid w:val="00A569D0"/>
    <w:rsid w:val="00A6179E"/>
    <w:rsid w:val="00A64316"/>
    <w:rsid w:val="00A804D9"/>
    <w:rsid w:val="00A8573B"/>
    <w:rsid w:val="00A92915"/>
    <w:rsid w:val="00A92F92"/>
    <w:rsid w:val="00A96892"/>
    <w:rsid w:val="00AA2051"/>
    <w:rsid w:val="00AA70C4"/>
    <w:rsid w:val="00AB5615"/>
    <w:rsid w:val="00AB7C8F"/>
    <w:rsid w:val="00AC2192"/>
    <w:rsid w:val="00AC2ADD"/>
    <w:rsid w:val="00AC636D"/>
    <w:rsid w:val="00B00F61"/>
    <w:rsid w:val="00B03CA5"/>
    <w:rsid w:val="00B237FB"/>
    <w:rsid w:val="00B24B1D"/>
    <w:rsid w:val="00B252B2"/>
    <w:rsid w:val="00B26C33"/>
    <w:rsid w:val="00B277E0"/>
    <w:rsid w:val="00B33C7F"/>
    <w:rsid w:val="00B34946"/>
    <w:rsid w:val="00B36DF9"/>
    <w:rsid w:val="00B519FD"/>
    <w:rsid w:val="00B520BC"/>
    <w:rsid w:val="00B520EC"/>
    <w:rsid w:val="00B539CC"/>
    <w:rsid w:val="00B63D24"/>
    <w:rsid w:val="00B65484"/>
    <w:rsid w:val="00B67314"/>
    <w:rsid w:val="00B924E6"/>
    <w:rsid w:val="00BA262D"/>
    <w:rsid w:val="00BA5698"/>
    <w:rsid w:val="00BB03B3"/>
    <w:rsid w:val="00BB3A8E"/>
    <w:rsid w:val="00BC79EB"/>
    <w:rsid w:val="00BD7FCF"/>
    <w:rsid w:val="00BE1530"/>
    <w:rsid w:val="00BE4F40"/>
    <w:rsid w:val="00BF6406"/>
    <w:rsid w:val="00C064DC"/>
    <w:rsid w:val="00C132CA"/>
    <w:rsid w:val="00C149BD"/>
    <w:rsid w:val="00C1610D"/>
    <w:rsid w:val="00C23839"/>
    <w:rsid w:val="00C25BDA"/>
    <w:rsid w:val="00C33104"/>
    <w:rsid w:val="00C332D4"/>
    <w:rsid w:val="00C471D1"/>
    <w:rsid w:val="00C51011"/>
    <w:rsid w:val="00C560AC"/>
    <w:rsid w:val="00C5781C"/>
    <w:rsid w:val="00C60343"/>
    <w:rsid w:val="00C6137E"/>
    <w:rsid w:val="00C61D0F"/>
    <w:rsid w:val="00C7387B"/>
    <w:rsid w:val="00C854D4"/>
    <w:rsid w:val="00C90556"/>
    <w:rsid w:val="00C949CB"/>
    <w:rsid w:val="00CA0D78"/>
    <w:rsid w:val="00CA4855"/>
    <w:rsid w:val="00CA5285"/>
    <w:rsid w:val="00CA5D90"/>
    <w:rsid w:val="00CB24FE"/>
    <w:rsid w:val="00CB2EE2"/>
    <w:rsid w:val="00CC2AA0"/>
    <w:rsid w:val="00CC541A"/>
    <w:rsid w:val="00CD58FD"/>
    <w:rsid w:val="00CF7229"/>
    <w:rsid w:val="00D03307"/>
    <w:rsid w:val="00D343FA"/>
    <w:rsid w:val="00D418FF"/>
    <w:rsid w:val="00D65C76"/>
    <w:rsid w:val="00D734C7"/>
    <w:rsid w:val="00D7542B"/>
    <w:rsid w:val="00D8351F"/>
    <w:rsid w:val="00DA1D32"/>
    <w:rsid w:val="00DA2F73"/>
    <w:rsid w:val="00DA7A55"/>
    <w:rsid w:val="00DB2E1A"/>
    <w:rsid w:val="00DC307B"/>
    <w:rsid w:val="00DC343B"/>
    <w:rsid w:val="00DC462F"/>
    <w:rsid w:val="00DC499A"/>
    <w:rsid w:val="00DD6A21"/>
    <w:rsid w:val="00DE18A7"/>
    <w:rsid w:val="00DE2EFB"/>
    <w:rsid w:val="00DE60CA"/>
    <w:rsid w:val="00DF01B6"/>
    <w:rsid w:val="00E02517"/>
    <w:rsid w:val="00E14833"/>
    <w:rsid w:val="00E1675F"/>
    <w:rsid w:val="00E23DB3"/>
    <w:rsid w:val="00E24FA3"/>
    <w:rsid w:val="00E26B28"/>
    <w:rsid w:val="00E31465"/>
    <w:rsid w:val="00E328CD"/>
    <w:rsid w:val="00E3489E"/>
    <w:rsid w:val="00E3546C"/>
    <w:rsid w:val="00E362F0"/>
    <w:rsid w:val="00E36B95"/>
    <w:rsid w:val="00E4003F"/>
    <w:rsid w:val="00E458F6"/>
    <w:rsid w:val="00E45954"/>
    <w:rsid w:val="00E46704"/>
    <w:rsid w:val="00E53546"/>
    <w:rsid w:val="00E55F24"/>
    <w:rsid w:val="00E57400"/>
    <w:rsid w:val="00E61169"/>
    <w:rsid w:val="00E700E3"/>
    <w:rsid w:val="00E93078"/>
    <w:rsid w:val="00EA44D9"/>
    <w:rsid w:val="00EB6A76"/>
    <w:rsid w:val="00EC5352"/>
    <w:rsid w:val="00EF155E"/>
    <w:rsid w:val="00F0799D"/>
    <w:rsid w:val="00F107A0"/>
    <w:rsid w:val="00F127A8"/>
    <w:rsid w:val="00F1307B"/>
    <w:rsid w:val="00F14C6D"/>
    <w:rsid w:val="00F21AFE"/>
    <w:rsid w:val="00F220A5"/>
    <w:rsid w:val="00F34362"/>
    <w:rsid w:val="00F34BC9"/>
    <w:rsid w:val="00F513AE"/>
    <w:rsid w:val="00F721C6"/>
    <w:rsid w:val="00F76555"/>
    <w:rsid w:val="00F8302E"/>
    <w:rsid w:val="00F86DAB"/>
    <w:rsid w:val="00FA22A8"/>
    <w:rsid w:val="00FA4916"/>
    <w:rsid w:val="00FA7E5C"/>
    <w:rsid w:val="00FB193D"/>
    <w:rsid w:val="00FB3422"/>
    <w:rsid w:val="00FC6EF2"/>
    <w:rsid w:val="00FD01B5"/>
    <w:rsid w:val="00FD5BF0"/>
    <w:rsid w:val="0BA15470"/>
    <w:rsid w:val="0D11BD63"/>
    <w:rsid w:val="0DC0261F"/>
    <w:rsid w:val="1146CCAB"/>
    <w:rsid w:val="14862333"/>
    <w:rsid w:val="1B37EA39"/>
    <w:rsid w:val="1C30C40E"/>
    <w:rsid w:val="1DDE4CCE"/>
    <w:rsid w:val="287F4063"/>
    <w:rsid w:val="2B29C572"/>
    <w:rsid w:val="2BF13FB5"/>
    <w:rsid w:val="2D748EDA"/>
    <w:rsid w:val="313A2A00"/>
    <w:rsid w:val="3719E8B0"/>
    <w:rsid w:val="3CAAF889"/>
    <w:rsid w:val="3E2FA082"/>
    <w:rsid w:val="41B6743B"/>
    <w:rsid w:val="4415933E"/>
    <w:rsid w:val="464C82D2"/>
    <w:rsid w:val="49685F1F"/>
    <w:rsid w:val="4BDFA1B4"/>
    <w:rsid w:val="4EB7783B"/>
    <w:rsid w:val="52C489C6"/>
    <w:rsid w:val="54BD7A81"/>
    <w:rsid w:val="5729F2ED"/>
    <w:rsid w:val="598B6A8E"/>
    <w:rsid w:val="5AB01A5A"/>
    <w:rsid w:val="5F7A321D"/>
    <w:rsid w:val="61306A3E"/>
    <w:rsid w:val="757CCD9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1F6F140D"/>
  <w15:docId w15:val="{7796D101-5066-4F13-888A-3AEC4FA9E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lsdException w:name="heading 5" w:locked="0" w:semiHidden="1" w:unhideWhenUsed="1"/>
    <w:lsdException w:name="heading 6" w:locked="0"/>
    <w:lsdException w:name="heading 7" w:locked="0"/>
    <w:lsdException w:name="heading 8" w:locked="0"/>
    <w:lsdException w:name="heading 9" w:locked="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locked="0" w:semiHidden="1" w:unhideWhenUsed="1" w:qFormat="1"/>
    <w:lsdException w:name="footer" w:locked="0"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locked="0" w:semiHidden="1" w:unhideWhenUsed="1" w:qFormat="1"/>
    <w:lsdException w:name="endnote text" w:locked="0"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locked="0"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semiHidden="1" w:unhideWhenUsed="1"/>
    <w:lsdException w:name="Strong" w:locked="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uiPriority="99"/>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locked="0" w:semiHidden="1" w:uiPriority="39" w:unhideWhenUsed="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E53546"/>
    <w:pPr>
      <w:spacing w:before="240" w:after="240"/>
    </w:pPr>
    <w:rPr>
      <w:rFonts w:ascii="Open Sans" w:eastAsia="MS Mincho" w:hAnsi="Open Sans"/>
      <w:sz w:val="24"/>
      <w:szCs w:val="24"/>
    </w:rPr>
  </w:style>
  <w:style w:type="paragraph" w:styleId="Heading1">
    <w:name w:val="heading 1"/>
    <w:basedOn w:val="Normal"/>
    <w:next w:val="Normal"/>
    <w:link w:val="Heading1Char"/>
    <w:qFormat/>
    <w:rsid w:val="005C2ECF"/>
    <w:pPr>
      <w:keepNext/>
      <w:keepLines/>
      <w:numPr>
        <w:numId w:val="1"/>
      </w:numPr>
      <w:spacing w:before="360"/>
      <w:outlineLvl w:val="0"/>
    </w:pPr>
    <w:rPr>
      <w:b/>
      <w:bCs/>
      <w:sz w:val="36"/>
      <w:szCs w:val="28"/>
    </w:rPr>
  </w:style>
  <w:style w:type="paragraph" w:styleId="Heading2">
    <w:name w:val="heading 2"/>
    <w:basedOn w:val="Heading1"/>
    <w:next w:val="Normal"/>
    <w:link w:val="Heading2Char"/>
    <w:qFormat/>
    <w:rsid w:val="005C2ECF"/>
    <w:pPr>
      <w:numPr>
        <w:ilvl w:val="1"/>
      </w:numPr>
      <w:outlineLvl w:val="1"/>
    </w:pPr>
    <w:rPr>
      <w:bCs w:val="0"/>
      <w:sz w:val="28"/>
      <w:szCs w:val="26"/>
    </w:rPr>
  </w:style>
  <w:style w:type="paragraph" w:styleId="Heading3">
    <w:name w:val="heading 3"/>
    <w:basedOn w:val="Heading2"/>
    <w:next w:val="Normal"/>
    <w:link w:val="Heading3Char"/>
    <w:qFormat/>
    <w:rsid w:val="003376EB"/>
    <w:pPr>
      <w:numPr>
        <w:ilvl w:val="2"/>
      </w:numPr>
      <w:outlineLvl w:val="2"/>
    </w:pPr>
    <w:rPr>
      <w:rFonts w:ascii="Arial" w:hAnsi="Arial" w:cs="Arial"/>
      <w:b w:val="0"/>
      <w:bCs/>
      <w:sz w:val="24"/>
    </w:rPr>
  </w:style>
  <w:style w:type="paragraph" w:styleId="Heading4">
    <w:name w:val="heading 4"/>
    <w:basedOn w:val="Heading3"/>
    <w:next w:val="Normal"/>
    <w:link w:val="Heading4Char"/>
    <w:locked/>
    <w:rsid w:val="008007A8"/>
    <w:pPr>
      <w:numPr>
        <w:ilvl w:val="3"/>
      </w:numPr>
      <w:outlineLvl w:val="3"/>
    </w:pPr>
    <w:rPr>
      <w:bCs w:val="0"/>
      <w:i/>
      <w:iCs/>
    </w:rPr>
  </w:style>
  <w:style w:type="paragraph" w:styleId="Heading5">
    <w:name w:val="heading 5"/>
    <w:basedOn w:val="Normal"/>
    <w:next w:val="Normal"/>
    <w:link w:val="Heading5Char"/>
    <w:locked/>
    <w:rsid w:val="005C2ECF"/>
    <w:pPr>
      <w:keepNext/>
      <w:keepLines/>
      <w:numPr>
        <w:ilvl w:val="4"/>
        <w:numId w:val="1"/>
      </w:numPr>
      <w:spacing w:before="200"/>
      <w:outlineLvl w:val="4"/>
    </w:pPr>
  </w:style>
  <w:style w:type="paragraph" w:styleId="Heading6">
    <w:name w:val="heading 6"/>
    <w:basedOn w:val="Normal"/>
    <w:next w:val="Normal"/>
    <w:link w:val="Heading6Char"/>
    <w:locked/>
    <w:rsid w:val="005C2ECF"/>
    <w:pPr>
      <w:keepNext/>
      <w:keepLines/>
      <w:numPr>
        <w:ilvl w:val="5"/>
        <w:numId w:val="1"/>
      </w:numPr>
      <w:spacing w:before="200"/>
      <w:outlineLvl w:val="5"/>
    </w:pPr>
    <w:rPr>
      <w:i/>
      <w:iCs/>
    </w:rPr>
  </w:style>
  <w:style w:type="paragraph" w:styleId="Heading7">
    <w:name w:val="heading 7"/>
    <w:basedOn w:val="Normal"/>
    <w:next w:val="Normal"/>
    <w:link w:val="Heading7Char"/>
    <w:locked/>
    <w:rsid w:val="005C2ECF"/>
    <w:pPr>
      <w:keepNext/>
      <w:keepLines/>
      <w:numPr>
        <w:ilvl w:val="6"/>
        <w:numId w:val="1"/>
      </w:numPr>
      <w:spacing w:before="200"/>
      <w:outlineLvl w:val="6"/>
    </w:pPr>
    <w:rPr>
      <w:i/>
      <w:iCs/>
    </w:rPr>
  </w:style>
  <w:style w:type="paragraph" w:styleId="Heading8">
    <w:name w:val="heading 8"/>
    <w:basedOn w:val="Normal"/>
    <w:next w:val="Normal"/>
    <w:link w:val="Heading8Char"/>
    <w:locked/>
    <w:rsid w:val="005C2ECF"/>
    <w:pPr>
      <w:keepNext/>
      <w:keepLines/>
      <w:numPr>
        <w:ilvl w:val="7"/>
        <w:numId w:val="1"/>
      </w:numPr>
      <w:spacing w:before="200"/>
      <w:outlineLvl w:val="7"/>
    </w:pPr>
    <w:rPr>
      <w:sz w:val="20"/>
      <w:szCs w:val="20"/>
    </w:rPr>
  </w:style>
  <w:style w:type="paragraph" w:styleId="Heading9">
    <w:name w:val="heading 9"/>
    <w:basedOn w:val="Normal"/>
    <w:next w:val="Normal"/>
    <w:link w:val="Heading9Char"/>
    <w:locked/>
    <w:rsid w:val="005C2ECF"/>
    <w:pPr>
      <w:keepNext/>
      <w:keepLines/>
      <w:numPr>
        <w:ilvl w:val="8"/>
        <w:numId w:val="1"/>
      </w:numPr>
      <w:spacing w:before="200"/>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C2ECF"/>
    <w:rPr>
      <w:rFonts w:ascii="Open Sans" w:eastAsia="MS Mincho" w:hAnsi="Open Sans"/>
      <w:b/>
      <w:bCs/>
      <w:sz w:val="36"/>
      <w:szCs w:val="28"/>
    </w:rPr>
  </w:style>
  <w:style w:type="character" w:customStyle="1" w:styleId="Heading2Char">
    <w:name w:val="Heading 2 Char"/>
    <w:link w:val="Heading2"/>
    <w:rsid w:val="005C2ECF"/>
    <w:rPr>
      <w:rFonts w:ascii="Open Sans" w:eastAsia="MS Mincho" w:hAnsi="Open Sans"/>
      <w:b/>
      <w:sz w:val="28"/>
      <w:szCs w:val="26"/>
    </w:rPr>
  </w:style>
  <w:style w:type="character" w:customStyle="1" w:styleId="Heading3Char">
    <w:name w:val="Heading 3 Char"/>
    <w:link w:val="Heading3"/>
    <w:rsid w:val="003376EB"/>
    <w:rPr>
      <w:rFonts w:ascii="Arial" w:eastAsia="MS Mincho" w:hAnsi="Arial" w:cs="Arial"/>
      <w:bCs/>
      <w:sz w:val="24"/>
      <w:szCs w:val="26"/>
    </w:rPr>
  </w:style>
  <w:style w:type="character" w:customStyle="1" w:styleId="Heading4Char">
    <w:name w:val="Heading 4 Char"/>
    <w:link w:val="Heading4"/>
    <w:rsid w:val="008007A8"/>
    <w:rPr>
      <w:rFonts w:ascii="Arial" w:eastAsia="MS Mincho" w:hAnsi="Arial" w:cs="Arial"/>
      <w:i/>
      <w:iCs/>
      <w:sz w:val="24"/>
      <w:szCs w:val="26"/>
    </w:rPr>
  </w:style>
  <w:style w:type="character" w:styleId="Strong">
    <w:name w:val="Strong"/>
    <w:locked/>
    <w:rsid w:val="00471BB7"/>
    <w:rPr>
      <w:rFonts w:ascii="Open Sans" w:hAnsi="Open Sans"/>
      <w:b/>
      <w:bCs/>
    </w:rPr>
  </w:style>
  <w:style w:type="character" w:customStyle="1" w:styleId="Heading5Char">
    <w:name w:val="Heading 5 Char"/>
    <w:link w:val="Heading5"/>
    <w:rsid w:val="005C2ECF"/>
    <w:rPr>
      <w:rFonts w:ascii="Open Sans" w:eastAsia="MS Mincho" w:hAnsi="Open Sans"/>
      <w:sz w:val="24"/>
      <w:szCs w:val="24"/>
    </w:rPr>
  </w:style>
  <w:style w:type="character" w:customStyle="1" w:styleId="Heading6Char">
    <w:name w:val="Heading 6 Char"/>
    <w:link w:val="Heading6"/>
    <w:rsid w:val="005C2ECF"/>
    <w:rPr>
      <w:rFonts w:ascii="Open Sans" w:eastAsia="MS Mincho" w:hAnsi="Open Sans"/>
      <w:i/>
      <w:iCs/>
      <w:sz w:val="24"/>
      <w:szCs w:val="24"/>
    </w:rPr>
  </w:style>
  <w:style w:type="character" w:customStyle="1" w:styleId="Heading7Char">
    <w:name w:val="Heading 7 Char"/>
    <w:link w:val="Heading7"/>
    <w:rsid w:val="005C2ECF"/>
    <w:rPr>
      <w:rFonts w:ascii="Open Sans" w:eastAsia="MS Mincho" w:hAnsi="Open Sans"/>
      <w:i/>
      <w:iCs/>
      <w:sz w:val="24"/>
      <w:szCs w:val="24"/>
    </w:rPr>
  </w:style>
  <w:style w:type="character" w:customStyle="1" w:styleId="Heading8Char">
    <w:name w:val="Heading 8 Char"/>
    <w:link w:val="Heading8"/>
    <w:rsid w:val="005C2ECF"/>
    <w:rPr>
      <w:rFonts w:ascii="Open Sans" w:eastAsia="MS Mincho" w:hAnsi="Open Sans"/>
    </w:rPr>
  </w:style>
  <w:style w:type="character" w:customStyle="1" w:styleId="Heading9Char">
    <w:name w:val="Heading 9 Char"/>
    <w:link w:val="Heading9"/>
    <w:rsid w:val="005C2ECF"/>
    <w:rPr>
      <w:rFonts w:ascii="Open Sans" w:eastAsia="MS Mincho" w:hAnsi="Open Sans"/>
      <w:i/>
      <w:iCs/>
    </w:rPr>
  </w:style>
  <w:style w:type="paragraph" w:styleId="Header">
    <w:name w:val="header"/>
    <w:basedOn w:val="Normal"/>
    <w:link w:val="HeaderChar"/>
    <w:qFormat/>
    <w:rsid w:val="00CA5D90"/>
    <w:pPr>
      <w:tabs>
        <w:tab w:val="center" w:pos="4513"/>
        <w:tab w:val="right" w:pos="9026"/>
      </w:tabs>
      <w:spacing w:after="0"/>
      <w:jc w:val="right"/>
    </w:pPr>
    <w:rPr>
      <w:sz w:val="22"/>
    </w:rPr>
  </w:style>
  <w:style w:type="character" w:customStyle="1" w:styleId="HeaderChar">
    <w:name w:val="Header Char"/>
    <w:link w:val="Header"/>
    <w:rsid w:val="0016266F"/>
    <w:rPr>
      <w:rFonts w:ascii="Open Sans" w:eastAsia="MS Mincho" w:hAnsi="Open Sans"/>
      <w:sz w:val="22"/>
      <w:szCs w:val="24"/>
    </w:rPr>
  </w:style>
  <w:style w:type="paragraph" w:styleId="Footer">
    <w:name w:val="footer"/>
    <w:basedOn w:val="Normal"/>
    <w:link w:val="FooterChar"/>
    <w:uiPriority w:val="99"/>
    <w:rsid w:val="0063009F"/>
    <w:pPr>
      <w:tabs>
        <w:tab w:val="right" w:pos="2835"/>
        <w:tab w:val="right" w:pos="5670"/>
      </w:tabs>
      <w:spacing w:before="0" w:after="0"/>
      <w:ind w:left="-868"/>
    </w:pPr>
    <w:rPr>
      <w:sz w:val="18"/>
    </w:rPr>
  </w:style>
  <w:style w:type="character" w:customStyle="1" w:styleId="FooterChar">
    <w:name w:val="Footer Char"/>
    <w:link w:val="Footer"/>
    <w:uiPriority w:val="99"/>
    <w:rsid w:val="0063009F"/>
    <w:rPr>
      <w:rFonts w:ascii="Open Sans" w:eastAsia="MS Mincho" w:hAnsi="Open Sans"/>
      <w:sz w:val="18"/>
      <w:szCs w:val="24"/>
    </w:rPr>
  </w:style>
  <w:style w:type="paragraph" w:styleId="TOC3">
    <w:name w:val="toc 3"/>
    <w:basedOn w:val="Normal"/>
    <w:next w:val="Normal"/>
    <w:uiPriority w:val="39"/>
    <w:semiHidden/>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rsid w:val="00471BB7"/>
    <w:rPr>
      <w:rFonts w:ascii="Open Sans" w:hAnsi="Open Sans"/>
      <w:color w:val="auto"/>
      <w:sz w:val="24"/>
    </w:rPr>
  </w:style>
  <w:style w:type="paragraph" w:styleId="ListContinue4">
    <w:name w:val="List Continue 4"/>
    <w:basedOn w:val="Normal"/>
    <w:semiHidden/>
    <w:locked/>
    <w:rsid w:val="005C2ECF"/>
    <w:pPr>
      <w:spacing w:after="120"/>
      <w:ind w:left="1132"/>
    </w:pPr>
  </w:style>
  <w:style w:type="numbering" w:styleId="111111">
    <w:name w:val="Outline List 2"/>
    <w:basedOn w:val="NoList"/>
    <w:uiPriority w:val="99"/>
    <w:semiHidden/>
    <w:locked/>
    <w:rsid w:val="00E45954"/>
    <w:pPr>
      <w:numPr>
        <w:numId w:val="40"/>
      </w:numPr>
    </w:pPr>
  </w:style>
  <w:style w:type="paragraph" w:styleId="TOC1">
    <w:name w:val="toc 1"/>
    <w:basedOn w:val="Normal"/>
    <w:next w:val="Normal"/>
    <w:uiPriority w:val="39"/>
    <w:rsid w:val="000B5B68"/>
    <w:pPr>
      <w:tabs>
        <w:tab w:val="right" w:leader="dot" w:pos="9060"/>
      </w:tabs>
      <w:spacing w:after="0"/>
      <w:ind w:left="720" w:hanging="720"/>
    </w:pPr>
    <w:rPr>
      <w:b/>
      <w:noProof/>
    </w:rPr>
  </w:style>
  <w:style w:type="paragraph" w:styleId="TOC2">
    <w:name w:val="toc 2"/>
    <w:basedOn w:val="Normal"/>
    <w:next w:val="Normal"/>
    <w:uiPriority w:val="39"/>
    <w:locked/>
    <w:rsid w:val="00A92F92"/>
    <w:pPr>
      <w:tabs>
        <w:tab w:val="right" w:leader="dot" w:pos="9060"/>
      </w:tabs>
      <w:spacing w:before="0" w:after="0"/>
      <w:ind w:left="958" w:hanging="720"/>
    </w:pPr>
    <w:rPr>
      <w:b/>
      <w:i/>
      <w:noProof/>
    </w:rPr>
  </w:style>
  <w:style w:type="paragraph" w:styleId="TOC4">
    <w:name w:val="toc 4"/>
    <w:basedOn w:val="Normal"/>
    <w:next w:val="Normal"/>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rsid w:val="00471BB7"/>
    <w:rPr>
      <w:rFonts w:ascii="Open Sans" w:hAnsi="Open Sans"/>
      <w:color w:val="0000FF"/>
      <w:u w:val="single"/>
    </w:rPr>
  </w:style>
  <w:style w:type="paragraph" w:styleId="TOCHeading">
    <w:name w:val="TOC Heading"/>
    <w:basedOn w:val="Normal"/>
    <w:next w:val="Normal"/>
    <w:uiPriority w:val="39"/>
    <w:rsid w:val="00471BB7"/>
    <w:pPr>
      <w:spacing w:before="0" w:after="360"/>
    </w:pPr>
    <w:rPr>
      <w:b/>
      <w:lang w:val="en-US" w:eastAsia="en-US"/>
    </w:rPr>
  </w:style>
  <w:style w:type="paragraph" w:styleId="EndnoteText">
    <w:name w:val="endnote text"/>
    <w:basedOn w:val="Normal"/>
    <w:link w:val="EndnoteTextChar1"/>
    <w:qFormat/>
    <w:rsid w:val="0002476A"/>
    <w:pPr>
      <w:spacing w:before="0" w:after="0"/>
      <w:ind w:left="142" w:hanging="142"/>
    </w:pPr>
    <w:rPr>
      <w:sz w:val="20"/>
      <w:szCs w:val="20"/>
    </w:rPr>
  </w:style>
  <w:style w:type="character" w:customStyle="1" w:styleId="EndnoteTextChar1">
    <w:name w:val="Endnote Text Char1"/>
    <w:link w:val="EndnoteText"/>
    <w:rsid w:val="00E55F24"/>
    <w:rPr>
      <w:rFonts w:ascii="Open Sans" w:eastAsia="MS Mincho" w:hAnsi="Open Sans"/>
    </w:rPr>
  </w:style>
  <w:style w:type="character" w:styleId="EndnoteReference">
    <w:name w:val="endnote reference"/>
    <w:qFormat/>
    <w:rsid w:val="00045C4B"/>
    <w:rPr>
      <w:rFonts w:ascii="Open Sans" w:hAnsi="Open Sans"/>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rsid w:val="00045C4B"/>
    <w:pPr>
      <w:spacing w:after="120"/>
      <w:ind w:left="1440" w:right="1440"/>
    </w:pPr>
  </w:style>
  <w:style w:type="paragraph" w:styleId="BodyText">
    <w:name w:val="Body Text"/>
    <w:basedOn w:val="Normal"/>
    <w:semiHidden/>
    <w:rsid w:val="00045C4B"/>
    <w:pPr>
      <w:spacing w:after="120"/>
    </w:pPr>
  </w:style>
  <w:style w:type="paragraph" w:styleId="BodyText2">
    <w:name w:val="Body Text 2"/>
    <w:basedOn w:val="Normal"/>
    <w:semiHidden/>
    <w:rsid w:val="00045C4B"/>
    <w:pPr>
      <w:spacing w:after="120" w:line="480" w:lineRule="auto"/>
    </w:pPr>
  </w:style>
  <w:style w:type="paragraph" w:styleId="BodyText3">
    <w:name w:val="Body Text 3"/>
    <w:basedOn w:val="Normal"/>
    <w:semiHidden/>
    <w:rsid w:val="00045C4B"/>
    <w:pPr>
      <w:spacing w:after="120"/>
    </w:pPr>
    <w:rPr>
      <w:sz w:val="16"/>
      <w:szCs w:val="16"/>
    </w:rPr>
  </w:style>
  <w:style w:type="paragraph" w:styleId="BodyTextFirstIndent">
    <w:name w:val="Body Text First Indent"/>
    <w:basedOn w:val="BodyText"/>
    <w:semiHidden/>
    <w:rsid w:val="00E45954"/>
    <w:pPr>
      <w:ind w:firstLine="210"/>
    </w:pPr>
  </w:style>
  <w:style w:type="paragraph" w:styleId="BodyTextIndent">
    <w:name w:val="Body Text Indent"/>
    <w:basedOn w:val="Normal"/>
    <w:semiHidden/>
    <w:rsid w:val="00045C4B"/>
    <w:pPr>
      <w:spacing w:after="120"/>
      <w:ind w:left="283"/>
    </w:pPr>
  </w:style>
  <w:style w:type="paragraph" w:styleId="BodyTextFirstIndent2">
    <w:name w:val="Body Text First Indent 2"/>
    <w:basedOn w:val="BodyTextIndent"/>
    <w:semiHidden/>
    <w:rsid w:val="00045C4B"/>
    <w:pPr>
      <w:ind w:firstLine="210"/>
    </w:pPr>
  </w:style>
  <w:style w:type="paragraph" w:styleId="BodyTextIndent2">
    <w:name w:val="Body Text Indent 2"/>
    <w:basedOn w:val="Normal"/>
    <w:semiHidden/>
    <w:rsid w:val="00045C4B"/>
    <w:pPr>
      <w:spacing w:after="120" w:line="480" w:lineRule="auto"/>
      <w:ind w:left="283"/>
    </w:pPr>
  </w:style>
  <w:style w:type="paragraph" w:styleId="BodyTextIndent3">
    <w:name w:val="Body Text Indent 3"/>
    <w:basedOn w:val="Normal"/>
    <w:semiHidden/>
    <w:rsid w:val="00045C4B"/>
    <w:pPr>
      <w:spacing w:after="120"/>
      <w:ind w:left="283"/>
    </w:pPr>
    <w:rPr>
      <w:sz w:val="16"/>
      <w:szCs w:val="16"/>
    </w:rPr>
  </w:style>
  <w:style w:type="paragraph" w:styleId="Closing">
    <w:name w:val="Closing"/>
    <w:basedOn w:val="Normal"/>
    <w:semiHidden/>
    <w:rsid w:val="00045C4B"/>
    <w:pPr>
      <w:ind w:left="4252"/>
    </w:pPr>
  </w:style>
  <w:style w:type="paragraph" w:styleId="Date">
    <w:name w:val="Date"/>
    <w:basedOn w:val="Normal"/>
    <w:next w:val="Normal"/>
    <w:semiHidden/>
    <w:rsid w:val="005C2ECF"/>
    <w:pPr>
      <w:spacing w:before="120" w:after="120"/>
      <w:jc w:val="right"/>
    </w:pPr>
  </w:style>
  <w:style w:type="paragraph" w:styleId="EmailSignature">
    <w:name w:val="E-mail Signature"/>
    <w:basedOn w:val="Normal"/>
    <w:semiHidden/>
    <w:rsid w:val="00045C4B"/>
  </w:style>
  <w:style w:type="character" w:styleId="Emphasis">
    <w:name w:val="Emphasis"/>
    <w:rsid w:val="00045C4B"/>
    <w:rPr>
      <w:rFonts w:ascii="Open Sans" w:hAnsi="Open Sans"/>
      <w:i w:val="0"/>
      <w:iCs/>
    </w:rPr>
  </w:style>
  <w:style w:type="paragraph" w:styleId="EnvelopeAddress">
    <w:name w:val="envelope address"/>
    <w:basedOn w:val="Normal"/>
    <w:semiHidden/>
    <w:rsid w:val="00045C4B"/>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rsid w:val="00045C4B"/>
    <w:rPr>
      <w:rFonts w:cs="Arial"/>
      <w:sz w:val="20"/>
      <w:szCs w:val="20"/>
    </w:rPr>
  </w:style>
  <w:style w:type="character" w:styleId="HTMLAcronym">
    <w:name w:val="HTML Acronym"/>
    <w:semiHidden/>
    <w:rsid w:val="005C2ECF"/>
    <w:rPr>
      <w:rFonts w:ascii="Open Sans" w:hAnsi="Open Sans"/>
    </w:rPr>
  </w:style>
  <w:style w:type="paragraph" w:styleId="HTMLAddress">
    <w:name w:val="HTML Address"/>
    <w:basedOn w:val="Normal"/>
    <w:semiHidden/>
    <w:rsid w:val="005C2ECF"/>
    <w:rPr>
      <w:i/>
      <w:iCs/>
    </w:rPr>
  </w:style>
  <w:style w:type="character" w:styleId="HTMLCite">
    <w:name w:val="HTML Cite"/>
    <w:semiHidden/>
    <w:rsid w:val="005C2ECF"/>
    <w:rPr>
      <w:rFonts w:ascii="Open Sans" w:hAnsi="Open Sans"/>
      <w:i/>
      <w:iCs/>
    </w:rPr>
  </w:style>
  <w:style w:type="character" w:styleId="HTMLCode">
    <w:name w:val="HTML Code"/>
    <w:semiHidden/>
    <w:rsid w:val="005C2ECF"/>
    <w:rPr>
      <w:rFonts w:ascii="Open Sans" w:hAnsi="Open Sans" w:cs="Courier New"/>
      <w:sz w:val="20"/>
      <w:szCs w:val="20"/>
    </w:rPr>
  </w:style>
  <w:style w:type="character" w:styleId="HTMLDefinition">
    <w:name w:val="HTML Definition"/>
    <w:semiHidden/>
    <w:rsid w:val="005C2ECF"/>
    <w:rPr>
      <w:rFonts w:ascii="Open Sans" w:hAnsi="Open Sans"/>
      <w:i/>
      <w:iCs/>
    </w:rPr>
  </w:style>
  <w:style w:type="character" w:styleId="HTMLKeyboard">
    <w:name w:val="HTML Keyboard"/>
    <w:semiHidden/>
    <w:rsid w:val="005C2ECF"/>
    <w:rPr>
      <w:rFonts w:ascii="Open Sans" w:hAnsi="Open Sans" w:cs="Courier New"/>
      <w:sz w:val="20"/>
      <w:szCs w:val="20"/>
    </w:rPr>
  </w:style>
  <w:style w:type="paragraph" w:styleId="HTMLPreformatted">
    <w:name w:val="HTML Preformatted"/>
    <w:basedOn w:val="Normal"/>
    <w:semiHidden/>
    <w:rsid w:val="005C2ECF"/>
    <w:rPr>
      <w:rFonts w:cs="Courier New"/>
      <w:sz w:val="20"/>
      <w:szCs w:val="20"/>
    </w:rPr>
  </w:style>
  <w:style w:type="character" w:styleId="HTMLSample">
    <w:name w:val="HTML Sample"/>
    <w:semiHidden/>
    <w:rsid w:val="005C2ECF"/>
    <w:rPr>
      <w:rFonts w:ascii="Open Sans" w:hAnsi="Open Sans" w:cs="Courier New"/>
    </w:rPr>
  </w:style>
  <w:style w:type="character" w:styleId="HTMLTypewriter">
    <w:name w:val="HTML Typewriter"/>
    <w:semiHidden/>
    <w:rsid w:val="005C2ECF"/>
    <w:rPr>
      <w:rFonts w:ascii="Open Sans" w:hAnsi="Open Sans" w:cs="Courier New"/>
      <w:sz w:val="20"/>
      <w:szCs w:val="20"/>
    </w:rPr>
  </w:style>
  <w:style w:type="character" w:styleId="HTMLVariable">
    <w:name w:val="HTML Variable"/>
    <w:semiHidden/>
    <w:rsid w:val="005C2ECF"/>
    <w:rPr>
      <w:rFonts w:ascii="Open Sans" w:hAnsi="Open Sans"/>
      <w:i/>
      <w:iCs/>
    </w:rPr>
  </w:style>
  <w:style w:type="character" w:styleId="LineNumber">
    <w:name w:val="line number"/>
    <w:semiHidden/>
    <w:rsid w:val="005C2ECF"/>
    <w:rPr>
      <w:rFonts w:ascii="Open Sans" w:hAnsi="Open Sans"/>
    </w:rPr>
  </w:style>
  <w:style w:type="paragraph" w:styleId="List">
    <w:name w:val="List"/>
    <w:basedOn w:val="Normal"/>
    <w:semiHidden/>
    <w:locked/>
    <w:rsid w:val="005C2ECF"/>
    <w:pPr>
      <w:ind w:left="283" w:hanging="283"/>
    </w:pPr>
  </w:style>
  <w:style w:type="paragraph" w:styleId="List2">
    <w:name w:val="List 2"/>
    <w:basedOn w:val="Normal"/>
    <w:semiHidden/>
    <w:locked/>
    <w:rsid w:val="005C2ECF"/>
    <w:pPr>
      <w:ind w:left="566" w:hanging="283"/>
    </w:pPr>
  </w:style>
  <w:style w:type="paragraph" w:styleId="List3">
    <w:name w:val="List 3"/>
    <w:basedOn w:val="Normal"/>
    <w:semiHidden/>
    <w:locked/>
    <w:rsid w:val="005C2ECF"/>
    <w:pPr>
      <w:ind w:left="849" w:hanging="283"/>
    </w:pPr>
  </w:style>
  <w:style w:type="paragraph" w:styleId="List4">
    <w:name w:val="List 4"/>
    <w:basedOn w:val="Normal"/>
    <w:semiHidden/>
    <w:locked/>
    <w:rsid w:val="005C2ECF"/>
    <w:pPr>
      <w:ind w:left="1132" w:hanging="283"/>
    </w:pPr>
  </w:style>
  <w:style w:type="paragraph" w:styleId="List5">
    <w:name w:val="List 5"/>
    <w:basedOn w:val="Normal"/>
    <w:semiHidden/>
    <w:locked/>
    <w:rsid w:val="005C2ECF"/>
    <w:pPr>
      <w:ind w:left="1415" w:hanging="283"/>
    </w:pPr>
  </w:style>
  <w:style w:type="paragraph" w:styleId="ListBullet">
    <w:name w:val="List Bullet"/>
    <w:basedOn w:val="ListNumber"/>
    <w:qFormat/>
    <w:rsid w:val="002C5943"/>
    <w:pPr>
      <w:numPr>
        <w:numId w:val="2"/>
      </w:numPr>
      <w:ind w:left="1094" w:hanging="737"/>
    </w:pPr>
  </w:style>
  <w:style w:type="paragraph" w:styleId="ListBullet2">
    <w:name w:val="List Bullet 2"/>
    <w:basedOn w:val="Normal"/>
    <w:semiHidden/>
    <w:locked/>
    <w:rsid w:val="005C2ECF"/>
    <w:pPr>
      <w:numPr>
        <w:numId w:val="3"/>
      </w:numPr>
    </w:pPr>
  </w:style>
  <w:style w:type="paragraph" w:styleId="ListBullet3">
    <w:name w:val="List Bullet 3"/>
    <w:basedOn w:val="Normal"/>
    <w:semiHidden/>
    <w:locked/>
    <w:rsid w:val="005C2ECF"/>
    <w:pPr>
      <w:numPr>
        <w:numId w:val="4"/>
      </w:numPr>
    </w:pPr>
  </w:style>
  <w:style w:type="paragraph" w:styleId="ListBullet4">
    <w:name w:val="List Bullet 4"/>
    <w:basedOn w:val="Normal"/>
    <w:semiHidden/>
    <w:locked/>
    <w:rsid w:val="005C2ECF"/>
    <w:pPr>
      <w:numPr>
        <w:numId w:val="5"/>
      </w:numPr>
    </w:pPr>
  </w:style>
  <w:style w:type="paragraph" w:styleId="ListBullet5">
    <w:name w:val="List Bullet 5"/>
    <w:basedOn w:val="Normal"/>
    <w:semiHidden/>
    <w:locked/>
    <w:rsid w:val="005C2ECF"/>
    <w:pPr>
      <w:numPr>
        <w:numId w:val="6"/>
      </w:numPr>
    </w:pPr>
  </w:style>
  <w:style w:type="paragraph" w:styleId="ListContinue">
    <w:name w:val="List Continue"/>
    <w:basedOn w:val="Normal"/>
    <w:semiHidden/>
    <w:locked/>
    <w:rsid w:val="005C2ECF"/>
    <w:pPr>
      <w:spacing w:after="120"/>
      <w:ind w:left="283"/>
    </w:pPr>
  </w:style>
  <w:style w:type="paragraph" w:styleId="ListContinue2">
    <w:name w:val="List Continue 2"/>
    <w:basedOn w:val="Normal"/>
    <w:semiHidden/>
    <w:locked/>
    <w:rsid w:val="005C2ECF"/>
    <w:pPr>
      <w:spacing w:after="120"/>
      <w:ind w:left="566"/>
    </w:pPr>
  </w:style>
  <w:style w:type="paragraph" w:styleId="ListContinue3">
    <w:name w:val="List Continue 3"/>
    <w:basedOn w:val="Normal"/>
    <w:semiHidden/>
    <w:locked/>
    <w:rsid w:val="005C2ECF"/>
    <w:pPr>
      <w:spacing w:after="120"/>
      <w:ind w:left="849"/>
    </w:pPr>
  </w:style>
  <w:style w:type="paragraph" w:styleId="ListContinue5">
    <w:name w:val="List Continue 5"/>
    <w:basedOn w:val="Normal"/>
    <w:semiHidden/>
    <w:locked/>
    <w:rsid w:val="005C2ECF"/>
    <w:pPr>
      <w:spacing w:after="120"/>
      <w:ind w:left="1415"/>
    </w:pPr>
  </w:style>
  <w:style w:type="paragraph" w:styleId="ListNumber">
    <w:name w:val="List Number"/>
    <w:basedOn w:val="Normal"/>
    <w:qFormat/>
    <w:rsid w:val="002C5943"/>
    <w:pPr>
      <w:numPr>
        <w:numId w:val="7"/>
      </w:numPr>
      <w:tabs>
        <w:tab w:val="clear" w:pos="360"/>
        <w:tab w:val="left" w:pos="1134"/>
      </w:tabs>
      <w:spacing w:before="120" w:after="120"/>
      <w:ind w:left="1094" w:hanging="737"/>
      <w:contextualSpacing/>
    </w:pPr>
  </w:style>
  <w:style w:type="paragraph" w:styleId="ListNumber2">
    <w:name w:val="List Number 2"/>
    <w:basedOn w:val="Normal"/>
    <w:semiHidden/>
    <w:locked/>
    <w:rsid w:val="005C2ECF"/>
    <w:pPr>
      <w:numPr>
        <w:numId w:val="10"/>
      </w:numPr>
    </w:pPr>
  </w:style>
  <w:style w:type="paragraph" w:styleId="ListNumber3">
    <w:name w:val="List Number 3"/>
    <w:basedOn w:val="Normal"/>
    <w:semiHidden/>
    <w:locked/>
    <w:rsid w:val="005C2ECF"/>
    <w:pPr>
      <w:numPr>
        <w:numId w:val="11"/>
      </w:numPr>
    </w:pPr>
  </w:style>
  <w:style w:type="paragraph" w:styleId="ListNumber4">
    <w:name w:val="List Number 4"/>
    <w:basedOn w:val="Normal"/>
    <w:semiHidden/>
    <w:locked/>
    <w:rsid w:val="005C2ECF"/>
    <w:pPr>
      <w:numPr>
        <w:numId w:val="8"/>
      </w:numPr>
    </w:pPr>
  </w:style>
  <w:style w:type="paragraph" w:styleId="ListNumber5">
    <w:name w:val="List Number 5"/>
    <w:basedOn w:val="Normal"/>
    <w:semiHidden/>
    <w:locked/>
    <w:rsid w:val="005C2ECF"/>
    <w:pPr>
      <w:numPr>
        <w:numId w:val="9"/>
      </w:numPr>
    </w:pPr>
  </w:style>
  <w:style w:type="paragraph" w:styleId="MessageHeader">
    <w:name w:val="Message Header"/>
    <w:basedOn w:val="Normal"/>
    <w:semiHidden/>
    <w:locked/>
    <w:rsid w:val="005C2ECF"/>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rsid w:val="005C2ECF"/>
  </w:style>
  <w:style w:type="paragraph" w:styleId="NormalIndent">
    <w:name w:val="Normal Indent"/>
    <w:basedOn w:val="Normal"/>
    <w:semiHidden/>
    <w:rsid w:val="005C2ECF"/>
    <w:pPr>
      <w:ind w:left="720"/>
    </w:pPr>
  </w:style>
  <w:style w:type="paragraph" w:styleId="NoteHeading">
    <w:name w:val="Note Heading"/>
    <w:basedOn w:val="Normal"/>
    <w:next w:val="Normal"/>
    <w:semiHidden/>
    <w:rsid w:val="00E45954"/>
  </w:style>
  <w:style w:type="character" w:styleId="PageNumber">
    <w:name w:val="page number"/>
    <w:semiHidden/>
    <w:rsid w:val="00471BB7"/>
    <w:rPr>
      <w:rFonts w:ascii="Open Sans" w:hAnsi="Open Sans"/>
      <w:sz w:val="24"/>
    </w:rPr>
  </w:style>
  <w:style w:type="paragraph" w:styleId="PlainText">
    <w:name w:val="Plain Text"/>
    <w:basedOn w:val="Normal"/>
    <w:semiHidden/>
    <w:rsid w:val="00471BB7"/>
    <w:rPr>
      <w:rFonts w:cs="Courier New"/>
      <w:szCs w:val="20"/>
    </w:rPr>
  </w:style>
  <w:style w:type="paragraph" w:styleId="Salutation">
    <w:name w:val="Salutation"/>
    <w:basedOn w:val="Normal"/>
    <w:next w:val="Normal"/>
    <w:semiHidden/>
    <w:locked/>
    <w:rsid w:val="00471BB7"/>
  </w:style>
  <w:style w:type="paragraph" w:styleId="Signature">
    <w:name w:val="Signature"/>
    <w:basedOn w:val="Normal"/>
    <w:semiHidden/>
    <w:locked/>
    <w:rsid w:val="00E45954"/>
    <w:pPr>
      <w:ind w:left="4252"/>
    </w:pPr>
  </w:style>
  <w:style w:type="paragraph" w:styleId="Subtitle">
    <w:name w:val="Subtitle"/>
    <w:basedOn w:val="Normal"/>
    <w:link w:val="SubtitleChar"/>
    <w:qFormat/>
    <w:rsid w:val="00817C73"/>
    <w:pPr>
      <w:jc w:val="right"/>
      <w:outlineLvl w:val="1"/>
    </w:pPr>
    <w:rPr>
      <w:rFonts w:cs="Arial"/>
      <w:color w:val="237BBC"/>
      <w:sz w:val="28"/>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rsid w:val="00E45954"/>
    <w:pPr>
      <w:spacing w:after="60"/>
      <w:jc w:val="center"/>
      <w:outlineLvl w:val="0"/>
    </w:pPr>
    <w:rPr>
      <w:rFonts w:cs="Arial"/>
      <w:b/>
      <w:bCs/>
      <w:kern w:val="28"/>
      <w:sz w:val="32"/>
      <w:szCs w:val="32"/>
    </w:rPr>
  </w:style>
  <w:style w:type="character" w:styleId="FollowedHyperlink">
    <w:name w:val="FollowedHyperlink"/>
    <w:semiHidden/>
    <w:rsid w:val="00045C4B"/>
    <w:rPr>
      <w:rFonts w:ascii="Open Sans" w:hAnsi="Open Sans"/>
      <w:color w:val="800080"/>
      <w:u w:val="single"/>
    </w:rPr>
  </w:style>
  <w:style w:type="paragraph" w:customStyle="1" w:styleId="MainTitle">
    <w:name w:val="Main Title"/>
    <w:next w:val="Subtitle"/>
    <w:qFormat/>
    <w:rsid w:val="00A355F9"/>
    <w:pPr>
      <w:spacing w:before="240" w:after="240" w:line="740" w:lineRule="exact"/>
      <w:contextualSpacing/>
      <w:jc w:val="right"/>
    </w:pPr>
    <w:rPr>
      <w:rFonts w:ascii="Open Sans" w:hAnsi="Open Sans"/>
      <w:bCs/>
      <w:color w:val="237BBC"/>
      <w:kern w:val="32"/>
      <w:sz w:val="56"/>
      <w:szCs w:val="32"/>
    </w:rPr>
  </w:style>
  <w:style w:type="paragraph" w:customStyle="1" w:styleId="HeaderFooter">
    <w:name w:val="Header &amp; Footer"/>
    <w:basedOn w:val="Normal"/>
    <w:semiHidden/>
    <w:locked/>
    <w:rsid w:val="005C2ECF"/>
    <w:pPr>
      <w:spacing w:line="200" w:lineRule="exact"/>
      <w:jc w:val="both"/>
    </w:pPr>
    <w:rPr>
      <w:rFonts w:eastAsia="Times New Roman" w:cs="ArialMT"/>
      <w:sz w:val="16"/>
      <w:lang w:eastAsia="en-US"/>
    </w:rPr>
  </w:style>
  <w:style w:type="paragraph" w:customStyle="1" w:styleId="LogoType">
    <w:name w:val="Logo Type"/>
    <w:basedOn w:val="Header"/>
    <w:semiHidden/>
    <w:locked/>
    <w:rsid w:val="005C2ECF"/>
    <w:pPr>
      <w:pBdr>
        <w:bottom w:val="single" w:sz="4" w:space="4" w:color="auto"/>
      </w:pBdr>
      <w:tabs>
        <w:tab w:val="clear" w:pos="4513"/>
        <w:tab w:val="clear" w:pos="9026"/>
        <w:tab w:val="left" w:pos="4686"/>
        <w:tab w:val="left" w:pos="7088"/>
        <w:tab w:val="left" w:pos="7242"/>
      </w:tabs>
      <w:spacing w:before="0" w:line="320" w:lineRule="exact"/>
    </w:pPr>
    <w:rPr>
      <w:rFonts w:cs="ArialMT"/>
      <w:b/>
      <w:spacing w:val="-20"/>
      <w:sz w:val="32"/>
      <w:lang w:eastAsia="en-US"/>
    </w:rPr>
  </w:style>
  <w:style w:type="paragraph" w:styleId="BalloonText">
    <w:name w:val="Balloon Text"/>
    <w:basedOn w:val="Normal"/>
    <w:link w:val="BalloonTextChar"/>
    <w:semiHidden/>
    <w:rsid w:val="00045C4B"/>
    <w:pPr>
      <w:spacing w:before="0" w:after="0"/>
    </w:pPr>
    <w:rPr>
      <w:rFonts w:cs="Tahoma"/>
      <w:sz w:val="16"/>
      <w:szCs w:val="16"/>
    </w:rPr>
  </w:style>
  <w:style w:type="character" w:customStyle="1" w:styleId="BalloonTextChar">
    <w:name w:val="Balloon Text Char"/>
    <w:link w:val="BalloonText"/>
    <w:semiHidden/>
    <w:rsid w:val="00045C4B"/>
    <w:rPr>
      <w:rFonts w:ascii="Open Sans" w:eastAsia="MS Mincho" w:hAnsi="Open Sans" w:cs="Tahoma"/>
      <w:sz w:val="16"/>
      <w:szCs w:val="16"/>
    </w:rPr>
  </w:style>
  <w:style w:type="character" w:customStyle="1" w:styleId="CharChar">
    <w:name w:val="Char Char"/>
    <w:semiHidden/>
    <w:locked/>
    <w:rsid w:val="00045C4B"/>
    <w:rPr>
      <w:rFonts w:ascii="Open Sans" w:hAnsi="Open Sans" w:cs="Arial"/>
      <w:lang w:val="en-AU" w:eastAsia="en-AU" w:bidi="ar-SA"/>
    </w:rPr>
  </w:style>
  <w:style w:type="character" w:customStyle="1" w:styleId="EndnoteTextChar">
    <w:name w:val="Endnote Text Char"/>
    <w:semiHidden/>
    <w:locked/>
    <w:rsid w:val="00045C4B"/>
    <w:rPr>
      <w:rFonts w:ascii="Open Sans" w:hAnsi="Open Sans"/>
      <w:sz w:val="20"/>
      <w:lang w:bidi="ar-SA"/>
    </w:rPr>
  </w:style>
  <w:style w:type="character" w:customStyle="1" w:styleId="SubtitleChar">
    <w:name w:val="Subtitle Char"/>
    <w:link w:val="Subtitle"/>
    <w:rsid w:val="00817C73"/>
    <w:rPr>
      <w:rFonts w:ascii="Open Sans" w:eastAsia="MS Mincho" w:hAnsi="Open Sans" w:cs="Arial"/>
      <w:color w:val="237BBC"/>
      <w:sz w:val="28"/>
      <w:szCs w:val="24"/>
    </w:rPr>
  </w:style>
  <w:style w:type="paragraph" w:customStyle="1" w:styleId="SubmissionNormal">
    <w:name w:val="Submission Normal"/>
    <w:basedOn w:val="Normal"/>
    <w:link w:val="SubmissionNormalChar"/>
    <w:locked/>
    <w:rsid w:val="00B34946"/>
    <w:pPr>
      <w:numPr>
        <w:numId w:val="15"/>
      </w:numPr>
      <w:tabs>
        <w:tab w:val="clear" w:pos="720"/>
      </w:tabs>
      <w:ind w:hanging="720"/>
    </w:pPr>
    <w:rPr>
      <w:rFonts w:eastAsia="Times New Roman"/>
    </w:rPr>
  </w:style>
  <w:style w:type="character" w:customStyle="1" w:styleId="SubmissionNormalChar">
    <w:name w:val="Submission Normal Char"/>
    <w:link w:val="SubmissionNormal"/>
    <w:rsid w:val="00B34946"/>
    <w:rPr>
      <w:rFonts w:ascii="Open Sans" w:hAnsi="Open Sans"/>
      <w:sz w:val="24"/>
      <w:szCs w:val="24"/>
    </w:rPr>
  </w:style>
  <w:style w:type="paragraph" w:customStyle="1" w:styleId="coveraddresses">
    <w:name w:val="cover addresses"/>
    <w:basedOn w:val="Footer"/>
    <w:locked/>
    <w:rsid w:val="005C2ECF"/>
    <w:pPr>
      <w:spacing w:after="40"/>
    </w:pPr>
    <w:rPr>
      <w:szCs w:val="16"/>
    </w:rPr>
  </w:style>
  <w:style w:type="paragraph" w:customStyle="1" w:styleId="coveraddress">
    <w:name w:val="cover address"/>
    <w:basedOn w:val="coveraddresses"/>
    <w:locked/>
    <w:rsid w:val="005C2ECF"/>
  </w:style>
  <w:style w:type="paragraph" w:styleId="Caption">
    <w:name w:val="caption"/>
    <w:basedOn w:val="Normal"/>
    <w:next w:val="Normal"/>
    <w:semiHidden/>
    <w:unhideWhenUsed/>
    <w:qFormat/>
    <w:rsid w:val="00045C4B"/>
    <w:rPr>
      <w:b/>
      <w:bCs/>
      <w:sz w:val="20"/>
      <w:szCs w:val="20"/>
    </w:rPr>
  </w:style>
  <w:style w:type="character" w:styleId="CommentReference">
    <w:name w:val="annotation reference"/>
    <w:rsid w:val="00045C4B"/>
    <w:rPr>
      <w:rFonts w:ascii="Open Sans" w:hAnsi="Open Sans"/>
      <w:sz w:val="16"/>
      <w:szCs w:val="16"/>
    </w:rPr>
  </w:style>
  <w:style w:type="paragraph" w:styleId="CommentText">
    <w:name w:val="annotation text"/>
    <w:basedOn w:val="Normal"/>
    <w:link w:val="CommentTextChar"/>
    <w:rsid w:val="00045C4B"/>
    <w:rPr>
      <w:sz w:val="20"/>
      <w:szCs w:val="20"/>
    </w:rPr>
  </w:style>
  <w:style w:type="character" w:customStyle="1" w:styleId="CommentTextChar">
    <w:name w:val="Comment Text Char"/>
    <w:link w:val="CommentText"/>
    <w:rsid w:val="00045C4B"/>
    <w:rPr>
      <w:rFonts w:ascii="Open Sans" w:eastAsia="MS Mincho" w:hAnsi="Open Sans"/>
    </w:rPr>
  </w:style>
  <w:style w:type="paragraph" w:styleId="CommentSubject">
    <w:name w:val="annotation subject"/>
    <w:basedOn w:val="CommentText"/>
    <w:next w:val="CommentText"/>
    <w:link w:val="CommentSubjectChar"/>
    <w:rsid w:val="00045C4B"/>
    <w:rPr>
      <w:b/>
      <w:bCs/>
    </w:rPr>
  </w:style>
  <w:style w:type="character" w:customStyle="1" w:styleId="CommentSubjectChar">
    <w:name w:val="Comment Subject Char"/>
    <w:link w:val="CommentSubject"/>
    <w:rsid w:val="00045C4B"/>
    <w:rPr>
      <w:rFonts w:ascii="Open Sans" w:eastAsia="MS Mincho" w:hAnsi="Open Sans"/>
      <w:b/>
      <w:bCs/>
    </w:rPr>
  </w:style>
  <w:style w:type="paragraph" w:styleId="DocumentMap">
    <w:name w:val="Document Map"/>
    <w:basedOn w:val="Normal"/>
    <w:link w:val="DocumentMapChar"/>
    <w:rsid w:val="00045C4B"/>
    <w:rPr>
      <w:rFonts w:cs="Segoe UI"/>
      <w:sz w:val="16"/>
      <w:szCs w:val="16"/>
    </w:rPr>
  </w:style>
  <w:style w:type="character" w:customStyle="1" w:styleId="DocumentMapChar">
    <w:name w:val="Document Map Char"/>
    <w:link w:val="DocumentMap"/>
    <w:rsid w:val="00045C4B"/>
    <w:rPr>
      <w:rFonts w:ascii="Open Sans" w:eastAsia="MS Mincho" w:hAnsi="Open Sans" w:cs="Segoe UI"/>
      <w:sz w:val="16"/>
      <w:szCs w:val="16"/>
    </w:rPr>
  </w:style>
  <w:style w:type="paragraph" w:styleId="Index1">
    <w:name w:val="index 1"/>
    <w:basedOn w:val="Normal"/>
    <w:next w:val="Normal"/>
    <w:rsid w:val="005C2ECF"/>
    <w:pPr>
      <w:ind w:left="240" w:hanging="240"/>
    </w:pPr>
  </w:style>
  <w:style w:type="paragraph" w:styleId="Index2">
    <w:name w:val="index 2"/>
    <w:basedOn w:val="Normal"/>
    <w:next w:val="Normal"/>
    <w:rsid w:val="005C2ECF"/>
    <w:pPr>
      <w:ind w:left="480" w:hanging="240"/>
    </w:pPr>
  </w:style>
  <w:style w:type="paragraph" w:styleId="Index3">
    <w:name w:val="index 3"/>
    <w:basedOn w:val="Normal"/>
    <w:next w:val="Normal"/>
    <w:rsid w:val="005C2ECF"/>
    <w:pPr>
      <w:ind w:left="720" w:hanging="240"/>
    </w:pPr>
  </w:style>
  <w:style w:type="paragraph" w:styleId="Index4">
    <w:name w:val="index 4"/>
    <w:basedOn w:val="Normal"/>
    <w:next w:val="Normal"/>
    <w:rsid w:val="005C2ECF"/>
    <w:pPr>
      <w:ind w:left="960" w:hanging="240"/>
    </w:pPr>
  </w:style>
  <w:style w:type="paragraph" w:styleId="Index5">
    <w:name w:val="index 5"/>
    <w:basedOn w:val="Normal"/>
    <w:next w:val="Normal"/>
    <w:rsid w:val="005C2ECF"/>
    <w:pPr>
      <w:ind w:left="1200" w:hanging="240"/>
    </w:pPr>
  </w:style>
  <w:style w:type="paragraph" w:styleId="Index6">
    <w:name w:val="index 6"/>
    <w:basedOn w:val="Normal"/>
    <w:next w:val="Normal"/>
    <w:rsid w:val="005C2ECF"/>
    <w:pPr>
      <w:ind w:left="1440" w:hanging="240"/>
    </w:pPr>
  </w:style>
  <w:style w:type="paragraph" w:styleId="Index7">
    <w:name w:val="index 7"/>
    <w:basedOn w:val="Normal"/>
    <w:next w:val="Normal"/>
    <w:rsid w:val="005C2ECF"/>
    <w:pPr>
      <w:ind w:left="1680" w:hanging="240"/>
    </w:pPr>
  </w:style>
  <w:style w:type="paragraph" w:styleId="Index8">
    <w:name w:val="index 8"/>
    <w:basedOn w:val="Normal"/>
    <w:next w:val="Normal"/>
    <w:rsid w:val="005C2ECF"/>
    <w:pPr>
      <w:ind w:left="1920" w:hanging="240"/>
    </w:pPr>
  </w:style>
  <w:style w:type="paragraph" w:styleId="Index9">
    <w:name w:val="index 9"/>
    <w:basedOn w:val="Normal"/>
    <w:next w:val="Normal"/>
    <w:rsid w:val="005C2ECF"/>
    <w:pPr>
      <w:ind w:left="2160" w:hanging="240"/>
    </w:pPr>
  </w:style>
  <w:style w:type="paragraph" w:styleId="IndexHeading">
    <w:name w:val="index heading"/>
    <w:basedOn w:val="Normal"/>
    <w:next w:val="Index1"/>
    <w:rsid w:val="005C2ECF"/>
    <w:rPr>
      <w:rFonts w:eastAsia="Times New Roman"/>
      <w:b/>
      <w:bCs/>
    </w:rPr>
  </w:style>
  <w:style w:type="paragraph" w:styleId="MacroText">
    <w:name w:val="macro"/>
    <w:link w:val="MacroTextChar"/>
    <w:rsid w:val="005C2ECF"/>
    <w:pPr>
      <w:tabs>
        <w:tab w:val="left" w:pos="480"/>
        <w:tab w:val="left" w:pos="960"/>
        <w:tab w:val="left" w:pos="1440"/>
        <w:tab w:val="left" w:pos="1920"/>
        <w:tab w:val="left" w:pos="2400"/>
        <w:tab w:val="left" w:pos="2880"/>
        <w:tab w:val="left" w:pos="3360"/>
        <w:tab w:val="left" w:pos="3840"/>
        <w:tab w:val="left" w:pos="4320"/>
      </w:tabs>
      <w:spacing w:before="240" w:after="240"/>
    </w:pPr>
    <w:rPr>
      <w:rFonts w:ascii="Open Sans" w:eastAsia="MS Mincho" w:hAnsi="Open Sans" w:cs="Courier New"/>
    </w:rPr>
  </w:style>
  <w:style w:type="character" w:customStyle="1" w:styleId="MacroTextChar">
    <w:name w:val="Macro Text Char"/>
    <w:link w:val="MacroText"/>
    <w:rsid w:val="005C2ECF"/>
    <w:rPr>
      <w:rFonts w:ascii="Open Sans" w:eastAsia="MS Mincho" w:hAnsi="Open Sans" w:cs="Courier New"/>
    </w:rPr>
  </w:style>
  <w:style w:type="paragraph" w:styleId="TableofAuthorities">
    <w:name w:val="table of authorities"/>
    <w:basedOn w:val="Normal"/>
    <w:next w:val="Normal"/>
    <w:locked/>
    <w:rsid w:val="00471BB7"/>
    <w:pPr>
      <w:ind w:left="240" w:hanging="240"/>
    </w:pPr>
  </w:style>
  <w:style w:type="paragraph" w:styleId="TableofFigures">
    <w:name w:val="table of figures"/>
    <w:basedOn w:val="Normal"/>
    <w:next w:val="Normal"/>
    <w:locked/>
    <w:rsid w:val="00471BB7"/>
  </w:style>
  <w:style w:type="paragraph" w:styleId="TOAHeading">
    <w:name w:val="toa heading"/>
    <w:basedOn w:val="Normal"/>
    <w:next w:val="Normal"/>
    <w:locked/>
    <w:rsid w:val="00471BB7"/>
    <w:pPr>
      <w:spacing w:before="120"/>
    </w:pPr>
    <w:rPr>
      <w:rFonts w:eastAsia="Times New Roman"/>
      <w:b/>
      <w:bCs/>
    </w:rPr>
  </w:style>
  <w:style w:type="paragraph" w:styleId="TOC5">
    <w:name w:val="toc 5"/>
    <w:basedOn w:val="Normal"/>
    <w:next w:val="Normal"/>
    <w:semiHidden/>
    <w:locked/>
    <w:rsid w:val="00471BB7"/>
    <w:pPr>
      <w:ind w:left="960"/>
    </w:pPr>
  </w:style>
  <w:style w:type="paragraph" w:styleId="TOC6">
    <w:name w:val="toc 6"/>
    <w:basedOn w:val="Normal"/>
    <w:next w:val="Normal"/>
    <w:semiHidden/>
    <w:locked/>
    <w:rsid w:val="00471BB7"/>
    <w:pPr>
      <w:ind w:left="1200"/>
    </w:pPr>
  </w:style>
  <w:style w:type="paragraph" w:styleId="TOC7">
    <w:name w:val="toc 7"/>
    <w:basedOn w:val="Normal"/>
    <w:next w:val="Normal"/>
    <w:semiHidden/>
    <w:locked/>
    <w:rsid w:val="00471BB7"/>
    <w:pPr>
      <w:ind w:left="1440"/>
    </w:pPr>
  </w:style>
  <w:style w:type="paragraph" w:styleId="TOC8">
    <w:name w:val="toc 8"/>
    <w:basedOn w:val="Normal"/>
    <w:next w:val="Normal"/>
    <w:semiHidden/>
    <w:locked/>
    <w:rsid w:val="00471BB7"/>
    <w:pPr>
      <w:ind w:left="1680"/>
    </w:pPr>
  </w:style>
  <w:style w:type="paragraph" w:styleId="TOC9">
    <w:name w:val="toc 9"/>
    <w:basedOn w:val="Normal"/>
    <w:next w:val="Normal"/>
    <w:semiHidden/>
    <w:locked/>
    <w:rsid w:val="00471BB7"/>
    <w:pPr>
      <w:ind w:left="1920"/>
    </w:pPr>
  </w:style>
  <w:style w:type="paragraph" w:styleId="NoSpacing">
    <w:name w:val="No Spacing"/>
    <w:uiPriority w:val="1"/>
    <w:rsid w:val="00471BB7"/>
    <w:rPr>
      <w:rFonts w:ascii="Open Sans" w:eastAsia="MS Mincho" w:hAnsi="Open Sans"/>
      <w:sz w:val="24"/>
      <w:szCs w:val="24"/>
    </w:rPr>
  </w:style>
  <w:style w:type="character" w:styleId="SubtleEmphasis">
    <w:name w:val="Subtle Emphasis"/>
    <w:uiPriority w:val="19"/>
    <w:locked/>
    <w:rsid w:val="00471BB7"/>
    <w:rPr>
      <w:rFonts w:ascii="Open Sans" w:hAnsi="Open Sans"/>
      <w:i w:val="0"/>
      <w:iCs/>
      <w:color w:val="auto"/>
      <w:sz w:val="24"/>
    </w:rPr>
  </w:style>
  <w:style w:type="character" w:styleId="IntenseEmphasis">
    <w:name w:val="Intense Emphasis"/>
    <w:uiPriority w:val="21"/>
    <w:locked/>
    <w:rsid w:val="00471BB7"/>
    <w:rPr>
      <w:rFonts w:ascii="Open Sans" w:hAnsi="Open Sans"/>
      <w:i w:val="0"/>
      <w:iCs/>
      <w:color w:val="auto"/>
    </w:rPr>
  </w:style>
  <w:style w:type="paragraph" w:styleId="Quote">
    <w:name w:val="Quote"/>
    <w:basedOn w:val="Normal"/>
    <w:next w:val="Normal"/>
    <w:link w:val="QuoteChar"/>
    <w:uiPriority w:val="29"/>
    <w:rsid w:val="000C5DA6"/>
    <w:pPr>
      <w:spacing w:before="200" w:after="160"/>
      <w:ind w:left="1440"/>
    </w:pPr>
    <w:rPr>
      <w:iCs/>
      <w:sz w:val="22"/>
    </w:rPr>
  </w:style>
  <w:style w:type="character" w:customStyle="1" w:styleId="QuoteChar">
    <w:name w:val="Quote Char"/>
    <w:link w:val="Quote"/>
    <w:uiPriority w:val="29"/>
    <w:rsid w:val="000C5DA6"/>
    <w:rPr>
      <w:rFonts w:ascii="Open Sans" w:eastAsia="MS Mincho" w:hAnsi="Open Sans"/>
      <w:iCs/>
      <w:sz w:val="22"/>
      <w:szCs w:val="24"/>
    </w:rPr>
  </w:style>
  <w:style w:type="paragraph" w:styleId="IntenseQuote">
    <w:name w:val="Intense Quote"/>
    <w:basedOn w:val="Normal"/>
    <w:next w:val="Normal"/>
    <w:link w:val="IntenseQuoteChar"/>
    <w:uiPriority w:val="30"/>
    <w:locked/>
    <w:rsid w:val="00471BB7"/>
    <w:pPr>
      <w:pBdr>
        <w:top w:val="single" w:sz="4" w:space="10" w:color="4472C4"/>
        <w:bottom w:val="single" w:sz="4" w:space="10" w:color="4472C4"/>
      </w:pBdr>
      <w:spacing w:before="360" w:after="360"/>
      <w:ind w:left="864" w:right="864"/>
      <w:jc w:val="center"/>
    </w:pPr>
    <w:rPr>
      <w:iCs/>
    </w:rPr>
  </w:style>
  <w:style w:type="character" w:customStyle="1" w:styleId="IntenseQuoteChar">
    <w:name w:val="Intense Quote Char"/>
    <w:link w:val="IntenseQuote"/>
    <w:uiPriority w:val="30"/>
    <w:rsid w:val="00471BB7"/>
    <w:rPr>
      <w:rFonts w:ascii="Open Sans" w:eastAsia="MS Mincho" w:hAnsi="Open Sans"/>
      <w:iCs/>
      <w:sz w:val="24"/>
      <w:szCs w:val="24"/>
    </w:rPr>
  </w:style>
  <w:style w:type="character" w:styleId="SubtleReference">
    <w:name w:val="Subtle Reference"/>
    <w:uiPriority w:val="31"/>
    <w:locked/>
    <w:rsid w:val="00471BB7"/>
    <w:rPr>
      <w:rFonts w:ascii="Open Sans" w:hAnsi="Open Sans"/>
      <w:smallCaps/>
      <w:color w:val="auto"/>
      <w:sz w:val="24"/>
    </w:rPr>
  </w:style>
  <w:style w:type="character" w:styleId="IntenseReference">
    <w:name w:val="Intense Reference"/>
    <w:uiPriority w:val="32"/>
    <w:locked/>
    <w:rsid w:val="00471BB7"/>
    <w:rPr>
      <w:rFonts w:ascii="Open Sans" w:hAnsi="Open Sans"/>
      <w:b w:val="0"/>
      <w:bCs/>
      <w:smallCaps/>
      <w:color w:val="auto"/>
      <w:spacing w:val="5"/>
      <w:sz w:val="24"/>
    </w:rPr>
  </w:style>
  <w:style w:type="character" w:styleId="BookTitle">
    <w:name w:val="Book Title"/>
    <w:aliases w:val="Text Title"/>
    <w:uiPriority w:val="33"/>
    <w:rsid w:val="00471BB7"/>
    <w:rPr>
      <w:rFonts w:ascii="Open Sans" w:hAnsi="Open Sans"/>
      <w:b w:val="0"/>
      <w:bCs/>
      <w:i/>
      <w:iCs/>
      <w:spacing w:val="5"/>
      <w:sz w:val="24"/>
    </w:rPr>
  </w:style>
  <w:style w:type="paragraph" w:styleId="ListParagraph">
    <w:name w:val="List Paragraph"/>
    <w:aliases w:val="Bullets,Recommendation,List Paragraph1,List Paragraph11,L,Numbered paragraph,NFP GP Bulleted List,FooterText,numbered,Paragraphe de liste1,Bulletr List Paragraph,列出段落,列出段落1,List Paragraph2,List Paragraph21,Listeafsnit1,Parágrafo da Lista1"/>
    <w:basedOn w:val="Normal"/>
    <w:link w:val="ListParagraphChar"/>
    <w:uiPriority w:val="34"/>
    <w:qFormat/>
    <w:locked/>
    <w:rsid w:val="00471BB7"/>
    <w:pPr>
      <w:ind w:left="720"/>
    </w:pPr>
  </w:style>
  <w:style w:type="paragraph" w:styleId="Bibliography">
    <w:name w:val="Bibliography"/>
    <w:basedOn w:val="Normal"/>
    <w:next w:val="Normal"/>
    <w:uiPriority w:val="37"/>
    <w:semiHidden/>
    <w:unhideWhenUsed/>
    <w:rsid w:val="00471BB7"/>
  </w:style>
  <w:style w:type="character" w:customStyle="1" w:styleId="Hashtag1">
    <w:name w:val="Hashtag1"/>
    <w:uiPriority w:val="99"/>
    <w:semiHidden/>
    <w:unhideWhenUsed/>
    <w:locked/>
    <w:rsid w:val="00471BB7"/>
    <w:rPr>
      <w:rFonts w:ascii="Open Sans" w:hAnsi="Open Sans"/>
      <w:color w:val="2B579A"/>
      <w:shd w:val="clear" w:color="auto" w:fill="E6E6E6"/>
    </w:rPr>
  </w:style>
  <w:style w:type="character" w:customStyle="1" w:styleId="Mention1">
    <w:name w:val="Mention1"/>
    <w:uiPriority w:val="99"/>
    <w:semiHidden/>
    <w:unhideWhenUsed/>
    <w:locked/>
    <w:rsid w:val="00471BB7"/>
    <w:rPr>
      <w:rFonts w:ascii="Open Sans" w:hAnsi="Open Sans"/>
      <w:color w:val="auto"/>
      <w:shd w:val="clear" w:color="auto" w:fill="E6E6E6"/>
    </w:rPr>
  </w:style>
  <w:style w:type="character" w:customStyle="1" w:styleId="SmartHyperlink1">
    <w:name w:val="Smart Hyperlink1"/>
    <w:uiPriority w:val="99"/>
    <w:semiHidden/>
    <w:unhideWhenUsed/>
    <w:locked/>
    <w:rsid w:val="00471BB7"/>
    <w:rPr>
      <w:rFonts w:ascii="Open Sans" w:hAnsi="Open Sans"/>
      <w:u w:val="dotted"/>
    </w:rPr>
  </w:style>
  <w:style w:type="character" w:customStyle="1" w:styleId="UnresolvedMention1">
    <w:name w:val="Unresolved Mention1"/>
    <w:uiPriority w:val="99"/>
    <w:semiHidden/>
    <w:unhideWhenUsed/>
    <w:locked/>
    <w:rsid w:val="00471BB7"/>
    <w:rPr>
      <w:rFonts w:ascii="Open Sans" w:hAnsi="Open Sans"/>
      <w:color w:val="auto"/>
      <w:shd w:val="clear" w:color="auto" w:fill="E6E6E6"/>
    </w:rPr>
  </w:style>
  <w:style w:type="character" w:customStyle="1" w:styleId="HeaderDocumentTitle">
    <w:name w:val="Header Document Title"/>
    <w:uiPriority w:val="1"/>
    <w:qFormat/>
    <w:rsid w:val="001F62CC"/>
    <w:rPr>
      <w:rFonts w:ascii="Open Sans" w:hAnsi="Open Sans"/>
      <w:b/>
      <w:noProof/>
      <w:sz w:val="18"/>
    </w:rPr>
  </w:style>
  <w:style w:type="paragraph" w:customStyle="1" w:styleId="HeaderDocumentDate">
    <w:name w:val="Header Document Date"/>
    <w:basedOn w:val="Footer"/>
    <w:qFormat/>
    <w:rsid w:val="002850B0"/>
    <w:pPr>
      <w:jc w:val="right"/>
    </w:pPr>
  </w:style>
  <w:style w:type="paragraph" w:customStyle="1" w:styleId="FooterEvenPageNumber">
    <w:name w:val="Footer Even Page Number"/>
    <w:basedOn w:val="Footer"/>
    <w:rsid w:val="00E53546"/>
  </w:style>
  <w:style w:type="paragraph" w:customStyle="1" w:styleId="FooterOddPageNumber">
    <w:name w:val="Footer Odd Page Number"/>
    <w:basedOn w:val="Footer"/>
    <w:rsid w:val="00E53546"/>
    <w:pPr>
      <w:jc w:val="right"/>
    </w:pPr>
  </w:style>
  <w:style w:type="character" w:customStyle="1" w:styleId="ListParagraphChar">
    <w:name w:val="List Paragraph Char"/>
    <w:aliases w:val="Bullets Char,Recommendation Char,List Paragraph1 Char,List Paragraph11 Char,L Char,Numbered paragraph Char,NFP GP Bulleted List Char,FooterText Char,numbered Char,Paragraphe de liste1 Char,Bulletr List Paragraph Char,列出段落 Char"/>
    <w:link w:val="ListParagraph"/>
    <w:uiPriority w:val="34"/>
    <w:rsid w:val="003376EB"/>
    <w:rPr>
      <w:rFonts w:ascii="Open Sans" w:eastAsia="MS Mincho" w:hAnsi="Open Sans"/>
      <w:sz w:val="24"/>
      <w:szCs w:val="24"/>
    </w:rPr>
  </w:style>
  <w:style w:type="paragraph" w:customStyle="1" w:styleId="xmsolistparagraph">
    <w:name w:val="x_msolistparagraph"/>
    <w:basedOn w:val="Normal"/>
    <w:rsid w:val="003376EB"/>
    <w:pPr>
      <w:spacing w:before="100" w:beforeAutospacing="1" w:after="100" w:afterAutospacing="1" w:line="252" w:lineRule="auto"/>
    </w:pPr>
    <w:rPr>
      <w:rFonts w:ascii="Times New Roman" w:eastAsia="Times New Roman" w:hAnsi="Times New Roman"/>
      <w:lang w:eastAsia="en-GB"/>
    </w:rPr>
  </w:style>
  <w:style w:type="character" w:customStyle="1" w:styleId="apple-converted-space">
    <w:name w:val="apple-converted-space"/>
    <w:basedOn w:val="DefaultParagraphFont"/>
    <w:rsid w:val="003376EB"/>
  </w:style>
  <w:style w:type="paragraph" w:styleId="FootnoteText">
    <w:name w:val="footnote text"/>
    <w:basedOn w:val="Normal"/>
    <w:link w:val="FootnoteTextChar"/>
    <w:uiPriority w:val="99"/>
    <w:unhideWhenUsed/>
    <w:locked/>
    <w:rsid w:val="00F721C6"/>
    <w:pPr>
      <w:spacing w:before="0" w:after="0"/>
    </w:pPr>
    <w:rPr>
      <w:rFonts w:asciiTheme="minorHAnsi" w:eastAsiaTheme="minorEastAsia" w:hAnsiTheme="minorHAnsi" w:cstheme="minorBidi"/>
      <w:lang w:eastAsia="en-US"/>
    </w:rPr>
  </w:style>
  <w:style w:type="character" w:customStyle="1" w:styleId="FootnoteTextChar">
    <w:name w:val="Footnote Text Char"/>
    <w:basedOn w:val="DefaultParagraphFont"/>
    <w:link w:val="FootnoteText"/>
    <w:uiPriority w:val="99"/>
    <w:rsid w:val="00F721C6"/>
    <w:rPr>
      <w:rFonts w:asciiTheme="minorHAnsi" w:eastAsiaTheme="minorEastAsia" w:hAnsiTheme="minorHAnsi" w:cstheme="minorBidi"/>
      <w:sz w:val="24"/>
      <w:szCs w:val="24"/>
      <w:lang w:eastAsia="en-US"/>
    </w:rPr>
  </w:style>
  <w:style w:type="character" w:styleId="FootnoteReference">
    <w:name w:val="footnote reference"/>
    <w:basedOn w:val="DefaultParagraphFont"/>
    <w:uiPriority w:val="99"/>
    <w:unhideWhenUsed/>
    <w:locked/>
    <w:rsid w:val="00F721C6"/>
    <w:rPr>
      <w:vertAlign w:val="superscript"/>
    </w:rPr>
  </w:style>
  <w:style w:type="character" w:customStyle="1" w:styleId="markoswn5r2p4">
    <w:name w:val="markoswn5r2p4"/>
    <w:basedOn w:val="DefaultParagraphFont"/>
    <w:rsid w:val="0016312A"/>
  </w:style>
  <w:style w:type="character" w:styleId="UnresolvedMention">
    <w:name w:val="Unresolved Mention"/>
    <w:basedOn w:val="DefaultParagraphFont"/>
    <w:uiPriority w:val="99"/>
    <w:semiHidden/>
    <w:unhideWhenUsed/>
    <w:rsid w:val="007C72BE"/>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177840938">
      <w:bodyDiv w:val="1"/>
      <w:marLeft w:val="0"/>
      <w:marRight w:val="0"/>
      <w:marTop w:val="0"/>
      <w:marBottom w:val="0"/>
      <w:divBdr>
        <w:top w:val="none" w:sz="0" w:space="0" w:color="auto"/>
        <w:left w:val="none" w:sz="0" w:space="0" w:color="auto"/>
        <w:bottom w:val="none" w:sz="0" w:space="0" w:color="auto"/>
        <w:right w:val="none" w:sz="0" w:space="0" w:color="auto"/>
      </w:divBdr>
    </w:div>
    <w:div w:id="1331329956">
      <w:bodyDiv w:val="1"/>
      <w:marLeft w:val="0"/>
      <w:marRight w:val="0"/>
      <w:marTop w:val="0"/>
      <w:marBottom w:val="0"/>
      <w:divBdr>
        <w:top w:val="none" w:sz="0" w:space="0" w:color="auto"/>
        <w:left w:val="none" w:sz="0" w:space="0" w:color="auto"/>
        <w:bottom w:val="none" w:sz="0" w:space="0" w:color="auto"/>
        <w:right w:val="none" w:sz="0" w:space="0" w:color="auto"/>
      </w:divBdr>
    </w:div>
    <w:div w:id="165297911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yperlink" Target="https://assets.publishing.service.gov.uk/government/uploads/system/uploads/attachment_data/file/686071/Revised_RDA_report_March_2018.pdf" TargetMode="External"/><Relationship Id="rId39" Type="http://schemas.openxmlformats.org/officeDocument/2006/relationships/fontTable" Target="fontTable.xml"/><Relationship Id="rId21" Type="http://schemas.openxmlformats.org/officeDocument/2006/relationships/hyperlink" Target="https://www.equalityhumanrights.com/en/britain-fairer" TargetMode="External"/><Relationship Id="rId34" Type="http://schemas.openxmlformats.org/officeDocument/2006/relationships/header" Target="header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www.canada.ca/en/canadian-heritage/campaigns/anti-racism-engagement/anti-racism-strategy.html" TargetMode="External"/><Relationship Id="rId33" Type="http://schemas.openxmlformats.org/officeDocument/2006/relationships/header" Target="header4.xml"/><Relationship Id="rId38"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humanrights.gov.au/our-work/race-discrimination/projects/national-anti-racism-framework" TargetMode="External"/><Relationship Id="rId29"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3.png"/><Relationship Id="rId32" Type="http://schemas.microsoft.com/office/2007/relationships/diagramDrawing" Target="diagrams/drawing1.xml"/><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dss.gov.au/sites/default/files/documents/01_2019/dss-fourth-action-plan-v6-web-final.pdf" TargetMode="External"/><Relationship Id="rId28" Type="http://schemas.openxmlformats.org/officeDocument/2006/relationships/diagramData" Target="diagrams/data1.xml"/><Relationship Id="rId36" Type="http://schemas.openxmlformats.org/officeDocument/2006/relationships/footer" Target="footer5.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s://www.dss.gov.au/sites/default/files/documents/08_2014/national_plan1.pdf" TargetMode="External"/><Relationship Id="rId27" Type="http://schemas.openxmlformats.org/officeDocument/2006/relationships/hyperlink" Target="https://www.ethnicity-facts-figures.service.gov.uk" TargetMode="External"/><Relationship Id="rId30" Type="http://schemas.openxmlformats.org/officeDocument/2006/relationships/diagramQuickStyle" Target="diagrams/quickStyle1.xml"/><Relationship Id="rId35" Type="http://schemas.openxmlformats.org/officeDocument/2006/relationships/footer" Target="footer4.xml"/><Relationship Id="rId8" Type="http://schemas.openxmlformats.org/officeDocument/2006/relationships/numbering" Target="numbering.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parlinfo.aph.gov.au/parlInfo/download/chamber/hansards/f0da77ea-df1b-49bb-a70d-4c511f0c093e/toc_pdf/Senate_2020_06_17_7788.pdf;fileType=application%2Fpdf" TargetMode="External"/><Relationship Id="rId2" Type="http://schemas.openxmlformats.org/officeDocument/2006/relationships/hyperlink" Target="https://www.equalityhumanrights.com/en/britain-fairer" TargetMode="External"/><Relationship Id="rId1" Type="http://schemas.openxmlformats.org/officeDocument/2006/relationships/hyperlink" Target="https://www.reconciliation.org.au/wp-content/uploads/2021/01/state-of-reconciliation-2021-full-report_web.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Commission\Guidelines%20or%20Policy%20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345DF62-2A3C-4884-9BF5-4A0870B3D8B9}" type="doc">
      <dgm:prSet loTypeId="urn:microsoft.com/office/officeart/2005/8/layout/pyramid1" loCatId="pyramid" qsTypeId="urn:microsoft.com/office/officeart/2005/8/quickstyle/simple1" qsCatId="simple" csTypeId="urn:microsoft.com/office/officeart/2005/8/colors/accent1_2" csCatId="accent1" phldr="1"/>
      <dgm:spPr/>
    </dgm:pt>
    <dgm:pt modelId="{B37B7E11-330C-43F5-AE6C-7067942F5D66}">
      <dgm:prSet phldrT="[Text]" custT="1"/>
      <dgm:spPr/>
      <dgm:t>
        <a:bodyPr/>
        <a:lstStyle/>
        <a:p>
          <a:pPr>
            <a:lnSpc>
              <a:spcPct val="90000"/>
            </a:lnSpc>
          </a:pPr>
          <a:endParaRPr lang="en-US" sz="2800" dirty="0"/>
        </a:p>
        <a:p>
          <a:pPr>
            <a:lnSpc>
              <a:spcPct val="75000"/>
            </a:lnSpc>
          </a:pPr>
          <a:r>
            <a:rPr lang="en-US" sz="2200" dirty="0"/>
            <a:t>Guiding </a:t>
          </a:r>
        </a:p>
        <a:p>
          <a:pPr>
            <a:lnSpc>
              <a:spcPct val="90000"/>
            </a:lnSpc>
          </a:pPr>
          <a:r>
            <a:rPr lang="en-US" sz="2200" dirty="0"/>
            <a:t>principles</a:t>
          </a:r>
        </a:p>
      </dgm:t>
    </dgm:pt>
    <dgm:pt modelId="{BCEEB3A6-731F-48C8-A658-B543F7255C14}" type="parTrans" cxnId="{AD51339B-FD5E-41DD-BA72-949D8DD16760}">
      <dgm:prSet/>
      <dgm:spPr/>
      <dgm:t>
        <a:bodyPr/>
        <a:lstStyle/>
        <a:p>
          <a:endParaRPr lang="en-US"/>
        </a:p>
      </dgm:t>
    </dgm:pt>
    <dgm:pt modelId="{DE1C9FD7-079B-4130-94BD-420EBFCE9E1F}" type="sibTrans" cxnId="{AD51339B-FD5E-41DD-BA72-949D8DD16760}">
      <dgm:prSet/>
      <dgm:spPr/>
      <dgm:t>
        <a:bodyPr/>
        <a:lstStyle/>
        <a:p>
          <a:endParaRPr lang="en-US"/>
        </a:p>
      </dgm:t>
    </dgm:pt>
    <dgm:pt modelId="{35E9020F-E95B-45E6-A028-7E9F6E3BBB6C}">
      <dgm:prSet phldrT="[Text]" custT="1"/>
      <dgm:spPr/>
      <dgm:t>
        <a:bodyPr/>
        <a:lstStyle/>
        <a:p>
          <a:r>
            <a:rPr lang="en-US" sz="3000" dirty="0"/>
            <a:t>National outcome areas</a:t>
          </a:r>
        </a:p>
      </dgm:t>
    </dgm:pt>
    <dgm:pt modelId="{C1961E92-441D-4F6A-B811-5F76E19A3191}" type="parTrans" cxnId="{AD869834-887A-4B19-9290-A11802D95E91}">
      <dgm:prSet/>
      <dgm:spPr/>
      <dgm:t>
        <a:bodyPr/>
        <a:lstStyle/>
        <a:p>
          <a:endParaRPr lang="en-US"/>
        </a:p>
      </dgm:t>
    </dgm:pt>
    <dgm:pt modelId="{A7EEA757-A1D3-47FE-BC2C-AD058B8F5240}" type="sibTrans" cxnId="{AD869834-887A-4B19-9290-A11802D95E91}">
      <dgm:prSet/>
      <dgm:spPr/>
      <dgm:t>
        <a:bodyPr/>
        <a:lstStyle/>
        <a:p>
          <a:endParaRPr lang="en-US"/>
        </a:p>
      </dgm:t>
    </dgm:pt>
    <dgm:pt modelId="{23D7D65D-8071-455D-81A9-2FC3894F6785}">
      <dgm:prSet phldrT="[Text]" custT="1"/>
      <dgm:spPr/>
      <dgm:t>
        <a:bodyPr/>
        <a:lstStyle/>
        <a:p>
          <a:r>
            <a:rPr lang="en-US" sz="3200" dirty="0"/>
            <a:t>Key actions and strategies</a:t>
          </a:r>
        </a:p>
      </dgm:t>
    </dgm:pt>
    <dgm:pt modelId="{A471AF31-E3C0-46C3-A21D-113CDC2681F0}" type="parTrans" cxnId="{1E6D00FA-D9A9-4A99-89CF-691F6E8220A5}">
      <dgm:prSet/>
      <dgm:spPr/>
      <dgm:t>
        <a:bodyPr/>
        <a:lstStyle/>
        <a:p>
          <a:endParaRPr lang="en-US"/>
        </a:p>
      </dgm:t>
    </dgm:pt>
    <dgm:pt modelId="{398E84CF-6F4D-449A-9B9D-C6C3EBE2C601}" type="sibTrans" cxnId="{1E6D00FA-D9A9-4A99-89CF-691F6E8220A5}">
      <dgm:prSet/>
      <dgm:spPr/>
      <dgm:t>
        <a:bodyPr/>
        <a:lstStyle/>
        <a:p>
          <a:endParaRPr lang="en-US"/>
        </a:p>
      </dgm:t>
    </dgm:pt>
    <dgm:pt modelId="{C27EF8A2-EBA5-4C74-88E1-0AD741BAD698}" type="pres">
      <dgm:prSet presAssocID="{E345DF62-2A3C-4884-9BF5-4A0870B3D8B9}" presName="Name0" presStyleCnt="0">
        <dgm:presLayoutVars>
          <dgm:dir/>
          <dgm:animLvl val="lvl"/>
          <dgm:resizeHandles val="exact"/>
        </dgm:presLayoutVars>
      </dgm:prSet>
      <dgm:spPr/>
    </dgm:pt>
    <dgm:pt modelId="{74B7EC14-F30F-4407-A6DF-9A6F7AE91F36}" type="pres">
      <dgm:prSet presAssocID="{B37B7E11-330C-43F5-AE6C-7067942F5D66}" presName="Name8" presStyleCnt="0"/>
      <dgm:spPr/>
    </dgm:pt>
    <dgm:pt modelId="{B75A0CF0-6CA2-47D4-88BC-F41B73DEE67D}" type="pres">
      <dgm:prSet presAssocID="{B37B7E11-330C-43F5-AE6C-7067942F5D66}" presName="level" presStyleLbl="node1" presStyleIdx="0" presStyleCnt="3">
        <dgm:presLayoutVars>
          <dgm:chMax val="1"/>
          <dgm:bulletEnabled val="1"/>
        </dgm:presLayoutVars>
      </dgm:prSet>
      <dgm:spPr/>
    </dgm:pt>
    <dgm:pt modelId="{6B8B812C-70F7-46DE-B404-0FC5C548CEE8}" type="pres">
      <dgm:prSet presAssocID="{B37B7E11-330C-43F5-AE6C-7067942F5D66}" presName="levelTx" presStyleLbl="revTx" presStyleIdx="0" presStyleCnt="0">
        <dgm:presLayoutVars>
          <dgm:chMax val="1"/>
          <dgm:bulletEnabled val="1"/>
        </dgm:presLayoutVars>
      </dgm:prSet>
      <dgm:spPr/>
    </dgm:pt>
    <dgm:pt modelId="{2DF3742E-444C-4D9A-9F7F-D00AF36955C8}" type="pres">
      <dgm:prSet presAssocID="{35E9020F-E95B-45E6-A028-7E9F6E3BBB6C}" presName="Name8" presStyleCnt="0"/>
      <dgm:spPr/>
    </dgm:pt>
    <dgm:pt modelId="{BF609C64-A80B-4E2C-A831-77C74CF2441E}" type="pres">
      <dgm:prSet presAssocID="{35E9020F-E95B-45E6-A028-7E9F6E3BBB6C}" presName="level" presStyleLbl="node1" presStyleIdx="1" presStyleCnt="3">
        <dgm:presLayoutVars>
          <dgm:chMax val="1"/>
          <dgm:bulletEnabled val="1"/>
        </dgm:presLayoutVars>
      </dgm:prSet>
      <dgm:spPr/>
    </dgm:pt>
    <dgm:pt modelId="{68EA92B1-4C9F-4C0A-AED3-16FA6174D1AB}" type="pres">
      <dgm:prSet presAssocID="{35E9020F-E95B-45E6-A028-7E9F6E3BBB6C}" presName="levelTx" presStyleLbl="revTx" presStyleIdx="0" presStyleCnt="0">
        <dgm:presLayoutVars>
          <dgm:chMax val="1"/>
          <dgm:bulletEnabled val="1"/>
        </dgm:presLayoutVars>
      </dgm:prSet>
      <dgm:spPr/>
    </dgm:pt>
    <dgm:pt modelId="{046FD7FD-8E07-4FFF-93F6-58B9A92BEB82}" type="pres">
      <dgm:prSet presAssocID="{23D7D65D-8071-455D-81A9-2FC3894F6785}" presName="Name8" presStyleCnt="0"/>
      <dgm:spPr/>
    </dgm:pt>
    <dgm:pt modelId="{5DFD26DB-DC09-466F-8D74-B16A52DE650A}" type="pres">
      <dgm:prSet presAssocID="{23D7D65D-8071-455D-81A9-2FC3894F6785}" presName="level" presStyleLbl="node1" presStyleIdx="2" presStyleCnt="3" custLinFactNeighborY="6348">
        <dgm:presLayoutVars>
          <dgm:chMax val="1"/>
          <dgm:bulletEnabled val="1"/>
        </dgm:presLayoutVars>
      </dgm:prSet>
      <dgm:spPr/>
    </dgm:pt>
    <dgm:pt modelId="{B4791462-241A-4F3D-9A4A-21DD69D678D1}" type="pres">
      <dgm:prSet presAssocID="{23D7D65D-8071-455D-81A9-2FC3894F6785}" presName="levelTx" presStyleLbl="revTx" presStyleIdx="0" presStyleCnt="0">
        <dgm:presLayoutVars>
          <dgm:chMax val="1"/>
          <dgm:bulletEnabled val="1"/>
        </dgm:presLayoutVars>
      </dgm:prSet>
      <dgm:spPr/>
    </dgm:pt>
  </dgm:ptLst>
  <dgm:cxnLst>
    <dgm:cxn modelId="{AD869834-887A-4B19-9290-A11802D95E91}" srcId="{E345DF62-2A3C-4884-9BF5-4A0870B3D8B9}" destId="{35E9020F-E95B-45E6-A028-7E9F6E3BBB6C}" srcOrd="1" destOrd="0" parTransId="{C1961E92-441D-4F6A-B811-5F76E19A3191}" sibTransId="{A7EEA757-A1D3-47FE-BC2C-AD058B8F5240}"/>
    <dgm:cxn modelId="{4CEB1A8A-0254-4B35-81A7-BACBB21E49BE}" type="presOf" srcId="{B37B7E11-330C-43F5-AE6C-7067942F5D66}" destId="{B75A0CF0-6CA2-47D4-88BC-F41B73DEE67D}" srcOrd="0" destOrd="0" presId="urn:microsoft.com/office/officeart/2005/8/layout/pyramid1"/>
    <dgm:cxn modelId="{E7BD6B90-9E77-41CC-ADBF-B8AA9A1285BA}" type="presOf" srcId="{E345DF62-2A3C-4884-9BF5-4A0870B3D8B9}" destId="{C27EF8A2-EBA5-4C74-88E1-0AD741BAD698}" srcOrd="0" destOrd="0" presId="urn:microsoft.com/office/officeart/2005/8/layout/pyramid1"/>
    <dgm:cxn modelId="{175BC992-8121-4759-BA26-0CD5B569FA1E}" type="presOf" srcId="{23D7D65D-8071-455D-81A9-2FC3894F6785}" destId="{5DFD26DB-DC09-466F-8D74-B16A52DE650A}" srcOrd="0" destOrd="0" presId="urn:microsoft.com/office/officeart/2005/8/layout/pyramid1"/>
    <dgm:cxn modelId="{AD51339B-FD5E-41DD-BA72-949D8DD16760}" srcId="{E345DF62-2A3C-4884-9BF5-4A0870B3D8B9}" destId="{B37B7E11-330C-43F5-AE6C-7067942F5D66}" srcOrd="0" destOrd="0" parTransId="{BCEEB3A6-731F-48C8-A658-B543F7255C14}" sibTransId="{DE1C9FD7-079B-4130-94BD-420EBFCE9E1F}"/>
    <dgm:cxn modelId="{5BA2DFB9-608E-4EB2-98A2-D3DCE9E2D07D}" type="presOf" srcId="{B37B7E11-330C-43F5-AE6C-7067942F5D66}" destId="{6B8B812C-70F7-46DE-B404-0FC5C548CEE8}" srcOrd="1" destOrd="0" presId="urn:microsoft.com/office/officeart/2005/8/layout/pyramid1"/>
    <dgm:cxn modelId="{6EDE61BA-F246-46BF-8354-E2064AF936B8}" type="presOf" srcId="{35E9020F-E95B-45E6-A028-7E9F6E3BBB6C}" destId="{BF609C64-A80B-4E2C-A831-77C74CF2441E}" srcOrd="0" destOrd="0" presId="urn:microsoft.com/office/officeart/2005/8/layout/pyramid1"/>
    <dgm:cxn modelId="{7A2AFEDA-EC72-45B6-9115-68AB6B4C8864}" type="presOf" srcId="{23D7D65D-8071-455D-81A9-2FC3894F6785}" destId="{B4791462-241A-4F3D-9A4A-21DD69D678D1}" srcOrd="1" destOrd="0" presId="urn:microsoft.com/office/officeart/2005/8/layout/pyramid1"/>
    <dgm:cxn modelId="{1E6D00FA-D9A9-4A99-89CF-691F6E8220A5}" srcId="{E345DF62-2A3C-4884-9BF5-4A0870B3D8B9}" destId="{23D7D65D-8071-455D-81A9-2FC3894F6785}" srcOrd="2" destOrd="0" parTransId="{A471AF31-E3C0-46C3-A21D-113CDC2681F0}" sibTransId="{398E84CF-6F4D-449A-9B9D-C6C3EBE2C601}"/>
    <dgm:cxn modelId="{82BB08FA-7F92-4CFC-BDE7-B90945B30AAF}" type="presOf" srcId="{35E9020F-E95B-45E6-A028-7E9F6E3BBB6C}" destId="{68EA92B1-4C9F-4C0A-AED3-16FA6174D1AB}" srcOrd="1" destOrd="0" presId="urn:microsoft.com/office/officeart/2005/8/layout/pyramid1"/>
    <dgm:cxn modelId="{6B99DB4A-E9D5-429B-8BC6-C758A416B874}" type="presParOf" srcId="{C27EF8A2-EBA5-4C74-88E1-0AD741BAD698}" destId="{74B7EC14-F30F-4407-A6DF-9A6F7AE91F36}" srcOrd="0" destOrd="0" presId="urn:microsoft.com/office/officeart/2005/8/layout/pyramid1"/>
    <dgm:cxn modelId="{B145A04B-E8DA-4AA6-9E72-C92E3AC357C7}" type="presParOf" srcId="{74B7EC14-F30F-4407-A6DF-9A6F7AE91F36}" destId="{B75A0CF0-6CA2-47D4-88BC-F41B73DEE67D}" srcOrd="0" destOrd="0" presId="urn:microsoft.com/office/officeart/2005/8/layout/pyramid1"/>
    <dgm:cxn modelId="{A8F66DBF-9529-40D0-8265-34FA0420B343}" type="presParOf" srcId="{74B7EC14-F30F-4407-A6DF-9A6F7AE91F36}" destId="{6B8B812C-70F7-46DE-B404-0FC5C548CEE8}" srcOrd="1" destOrd="0" presId="urn:microsoft.com/office/officeart/2005/8/layout/pyramid1"/>
    <dgm:cxn modelId="{609F2107-98EC-44A5-AECC-78822E380794}" type="presParOf" srcId="{C27EF8A2-EBA5-4C74-88E1-0AD741BAD698}" destId="{2DF3742E-444C-4D9A-9F7F-D00AF36955C8}" srcOrd="1" destOrd="0" presId="urn:microsoft.com/office/officeart/2005/8/layout/pyramid1"/>
    <dgm:cxn modelId="{871A379B-2DB2-4853-B642-D847D51B46D0}" type="presParOf" srcId="{2DF3742E-444C-4D9A-9F7F-D00AF36955C8}" destId="{BF609C64-A80B-4E2C-A831-77C74CF2441E}" srcOrd="0" destOrd="0" presId="urn:microsoft.com/office/officeart/2005/8/layout/pyramid1"/>
    <dgm:cxn modelId="{9791356A-6F7E-4070-B834-7114C549783C}" type="presParOf" srcId="{2DF3742E-444C-4D9A-9F7F-D00AF36955C8}" destId="{68EA92B1-4C9F-4C0A-AED3-16FA6174D1AB}" srcOrd="1" destOrd="0" presId="urn:microsoft.com/office/officeart/2005/8/layout/pyramid1"/>
    <dgm:cxn modelId="{AB44E62F-E817-4DAB-AAC2-E9106EE79F04}" type="presParOf" srcId="{C27EF8A2-EBA5-4C74-88E1-0AD741BAD698}" destId="{046FD7FD-8E07-4FFF-93F6-58B9A92BEB82}" srcOrd="2" destOrd="0" presId="urn:microsoft.com/office/officeart/2005/8/layout/pyramid1"/>
    <dgm:cxn modelId="{9AFA0C35-FF1E-41D2-857C-5B2C6ABE8AA8}" type="presParOf" srcId="{046FD7FD-8E07-4FFF-93F6-58B9A92BEB82}" destId="{5DFD26DB-DC09-466F-8D74-B16A52DE650A}" srcOrd="0" destOrd="0" presId="urn:microsoft.com/office/officeart/2005/8/layout/pyramid1"/>
    <dgm:cxn modelId="{913BE2D8-FA8E-44BE-AB3B-BCAB373A4A5F}" type="presParOf" srcId="{046FD7FD-8E07-4FFF-93F6-58B9A92BEB82}" destId="{B4791462-241A-4F3D-9A4A-21DD69D678D1}" srcOrd="1" destOrd="0" presId="urn:microsoft.com/office/officeart/2005/8/layout/pyramid1"/>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75A0CF0-6CA2-47D4-88BC-F41B73DEE67D}">
      <dsp:nvSpPr>
        <dsp:cNvPr id="0" name=""/>
        <dsp:cNvSpPr/>
      </dsp:nvSpPr>
      <dsp:spPr>
        <a:xfrm>
          <a:off x="1757801" y="0"/>
          <a:ext cx="1757800" cy="1171867"/>
        </a:xfrm>
        <a:prstGeom prst="trapezoid">
          <a:avLst>
            <a:gd name="adj" fmla="val 75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marL="0" lvl="0" indent="0" algn="ctr" defTabSz="1244600">
            <a:lnSpc>
              <a:spcPct val="90000"/>
            </a:lnSpc>
            <a:spcBef>
              <a:spcPct val="0"/>
            </a:spcBef>
            <a:spcAft>
              <a:spcPct val="35000"/>
            </a:spcAft>
            <a:buNone/>
          </a:pPr>
          <a:endParaRPr lang="en-US" sz="2800" kern="1200" dirty="0"/>
        </a:p>
        <a:p>
          <a:pPr marL="0" lvl="0" indent="0" algn="ctr" defTabSz="1244600">
            <a:lnSpc>
              <a:spcPct val="75000"/>
            </a:lnSpc>
            <a:spcBef>
              <a:spcPct val="0"/>
            </a:spcBef>
            <a:spcAft>
              <a:spcPct val="35000"/>
            </a:spcAft>
            <a:buNone/>
          </a:pPr>
          <a:r>
            <a:rPr lang="en-US" sz="2200" kern="1200" dirty="0"/>
            <a:t>Guiding </a:t>
          </a:r>
        </a:p>
        <a:p>
          <a:pPr marL="0" lvl="0" indent="0" algn="ctr" defTabSz="1244600">
            <a:lnSpc>
              <a:spcPct val="90000"/>
            </a:lnSpc>
            <a:spcBef>
              <a:spcPct val="0"/>
            </a:spcBef>
            <a:spcAft>
              <a:spcPct val="35000"/>
            </a:spcAft>
            <a:buNone/>
          </a:pPr>
          <a:r>
            <a:rPr lang="en-US" sz="2200" kern="1200" dirty="0"/>
            <a:t>principles</a:t>
          </a:r>
        </a:p>
      </dsp:txBody>
      <dsp:txXfrm>
        <a:off x="1757801" y="0"/>
        <a:ext cx="1757800" cy="1171867"/>
      </dsp:txXfrm>
    </dsp:sp>
    <dsp:sp modelId="{BF609C64-A80B-4E2C-A831-77C74CF2441E}">
      <dsp:nvSpPr>
        <dsp:cNvPr id="0" name=""/>
        <dsp:cNvSpPr/>
      </dsp:nvSpPr>
      <dsp:spPr>
        <a:xfrm>
          <a:off x="878900" y="1171867"/>
          <a:ext cx="3515601" cy="1171867"/>
        </a:xfrm>
        <a:prstGeom prst="trapezoid">
          <a:avLst>
            <a:gd name="adj" fmla="val 75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1333500">
            <a:lnSpc>
              <a:spcPct val="90000"/>
            </a:lnSpc>
            <a:spcBef>
              <a:spcPct val="0"/>
            </a:spcBef>
            <a:spcAft>
              <a:spcPct val="35000"/>
            </a:spcAft>
            <a:buNone/>
          </a:pPr>
          <a:r>
            <a:rPr lang="en-US" sz="3000" kern="1200" dirty="0"/>
            <a:t>National outcome areas</a:t>
          </a:r>
        </a:p>
      </dsp:txBody>
      <dsp:txXfrm>
        <a:off x="1494130" y="1171867"/>
        <a:ext cx="2285141" cy="1171867"/>
      </dsp:txXfrm>
    </dsp:sp>
    <dsp:sp modelId="{5DFD26DB-DC09-466F-8D74-B16A52DE650A}">
      <dsp:nvSpPr>
        <dsp:cNvPr id="0" name=""/>
        <dsp:cNvSpPr/>
      </dsp:nvSpPr>
      <dsp:spPr>
        <a:xfrm>
          <a:off x="0" y="2343734"/>
          <a:ext cx="5273402" cy="1171867"/>
        </a:xfrm>
        <a:prstGeom prst="trapezoid">
          <a:avLst>
            <a:gd name="adj" fmla="val 75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marL="0" lvl="0" indent="0" algn="ctr" defTabSz="1422400">
            <a:lnSpc>
              <a:spcPct val="90000"/>
            </a:lnSpc>
            <a:spcBef>
              <a:spcPct val="0"/>
            </a:spcBef>
            <a:spcAft>
              <a:spcPct val="35000"/>
            </a:spcAft>
            <a:buNone/>
          </a:pPr>
          <a:r>
            <a:rPr lang="en-US" sz="3200" kern="1200" dirty="0"/>
            <a:t>Key actions and strategies</a:t>
          </a:r>
        </a:p>
      </dsp:txBody>
      <dsp:txXfrm>
        <a:off x="922845" y="2343734"/>
        <a:ext cx="3427711" cy="1171867"/>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Divider xmlns="6500fe01-343b-4fb9-a1b0-68ac19d62e01">Merchandise Orders</Divider>
    <TaxCatchAll xmlns="6500fe01-343b-4fb9-a1b0-68ac19d62e01"/>
    <TaxKeywordTaxHTField xmlns="6500fe01-343b-4fb9-a1b0-68ac19d62e01">
      <Terms xmlns="http://schemas.microsoft.com/office/infopath/2007/PartnerControls"/>
    </TaxKeywordTaxHTField>
    <_dlc_DocId xmlns="6500fe01-343b-4fb9-a1b0-68ac19d62e01">DGE6U7RJ2EFV-1541854471-6660</_dlc_DocId>
    <_dlc_DocIdUrl xmlns="6500fe01-343b-4fb9-a1b0-68ac19d62e01">
      <Url>https://australianhrc.sharepoint.com/sites/PolicySectionWorkspace/_layouts/15/DocIdRedir.aspx?ID=DGE6U7RJ2EFV-1541854471-6660</Url>
      <Description>DGE6U7RJ2EFV-1541854471-6660</Description>
    </_dlc_DocIdUrl>
    <To xmlns="57f1fb52-79b9-4278-9d54-1e5db41bfcda" xsi:nil="true"/>
    <Has_x0020_Attachments xmlns="57f1fb52-79b9-4278-9d54-1e5db41bfcda" xsi:nil="true"/>
    <Subdivider xmlns="57f1fb52-79b9-4278-9d54-1e5db41bfcda">Supporter process</Subdivider>
    <Open_x0020_in_x0020_Outlook xmlns="57f1fb52-79b9-4278-9d54-1e5db41bfcda" xsi:nil="true"/>
    <From1 xmlns="57f1fb52-79b9-4278-9d54-1e5db41bfcda" xsi:nil="true"/>
    <_Flow_SignoffStatus xmlns="a6ffb128-e94a-4924-af16-68c2b3b917e8" xsi:nil="true"/>
    <Received_x002f_Sent xmlns="57f1fb52-79b9-4278-9d54-1e5db41bfcda" xsi:nil="true"/>
    <Document_x0020_Status xmlns="6500fe01-343b-4fb9-a1b0-68ac19d62e01">Draft</Document_x0020_Status>
    <c0b54d0a77474fabbf35302adb9710d7 xmlns="57f1fb52-79b9-4278-9d54-1e5db41bfcda">
      <Terms xmlns="http://schemas.microsoft.com/office/infopath/2007/PartnerControls"/>
    </c0b54d0a77474fabbf35302adb9710d7>
    <Approver xmlns="6500fe01-343b-4fb9-a1b0-68ac19d62e01">
      <UserInfo>
        <DisplayName/>
        <AccountId xsi:nil="true"/>
        <AccountType/>
      </UserInfo>
    </Approver>
  </documentManagement>
</p:properties>
</file>

<file path=customXml/item2.xml><?xml version="1.0" encoding="utf-8"?>
<?mso-contentType ?>
<SharedContentType xmlns="Microsoft.SharePoint.Taxonomy.ContentTypeSync" SourceId="975c5ac6-a0cc-43ed-b850-4a2ae59237b6"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1A24B1CA582BA84F82AD9B961011E030" ma:contentTypeVersion="60" ma:contentTypeDescription="Create a new document." ma:contentTypeScope="" ma:versionID="a22dcf48a90f8da1a6b26d2c286eac9d">
  <xsd:schema xmlns:xsd="http://www.w3.org/2001/XMLSchema" xmlns:xs="http://www.w3.org/2001/XMLSchema" xmlns:p="http://schemas.microsoft.com/office/2006/metadata/properties" xmlns:ns2="57f1fb52-79b9-4278-9d54-1e5db41bfcda" xmlns:ns3="6500fe01-343b-4fb9-a1b0-68ac19d62e01" xmlns:ns4="a6ffb128-e94a-4924-af16-68c2b3b917e8" xmlns:ns5="ad540fc0-8d75-4b74-a173-585bef8b9087" targetNamespace="http://schemas.microsoft.com/office/2006/metadata/properties" ma:root="true" ma:fieldsID="eae43fb5e344ab5176b2d91a850a9732" ns2:_="" ns3:_="" ns4:_="" ns5:_="">
    <xsd:import namespace="57f1fb52-79b9-4278-9d54-1e5db41bfcda"/>
    <xsd:import namespace="6500fe01-343b-4fb9-a1b0-68ac19d62e01"/>
    <xsd:import namespace="a6ffb128-e94a-4924-af16-68c2b3b917e8"/>
    <xsd:import namespace="ad540fc0-8d75-4b74-a173-585bef8b9087"/>
    <xsd:element name="properties">
      <xsd:complexType>
        <xsd:sequence>
          <xsd:element name="documentManagement">
            <xsd:complexType>
              <xsd:all>
                <xsd:element ref="ns3:Divider" minOccurs="0"/>
                <xsd:element ref="ns2:Subdivider" minOccurs="0"/>
                <xsd:element ref="ns3:TaxKeywordTaxHTField" minOccurs="0"/>
                <xsd:element ref="ns3:TaxCatchAll" minOccurs="0"/>
                <xsd:element ref="ns3:TaxCatchAllLabel" minOccurs="0"/>
                <xsd:element ref="ns3:_dlc_DocId" minOccurs="0"/>
                <xsd:element ref="ns3:_dlc_DocIdUrl" minOccurs="0"/>
                <xsd:element ref="ns3:_dlc_DocIdPersistId" minOccurs="0"/>
                <xsd:element ref="ns2:Open_x0020_in_x0020_Outlook" minOccurs="0"/>
                <xsd:element ref="ns3:Approver" minOccurs="0"/>
                <xsd:element ref="ns3:Document_x0020_Status" minOccurs="0"/>
                <xsd:element ref="ns2:c0b54d0a77474fabbf35302adb9710d7" minOccurs="0"/>
                <xsd:element ref="ns2:From1" minOccurs="0"/>
                <xsd:element ref="ns2:Has_x0020_Attachments" minOccurs="0"/>
                <xsd:element ref="ns2:Received_x002f_Sent" minOccurs="0"/>
                <xsd:element ref="ns2:To" minOccurs="0"/>
                <xsd:element ref="ns4:MediaServiceMetadata" minOccurs="0"/>
                <xsd:element ref="ns4:MediaServiceFastMetadata" minOccurs="0"/>
                <xsd:element ref="ns4:_Flow_SignoffStatus" minOccurs="0"/>
                <xsd:element ref="ns5:MediaServiceAutoTags" minOccurs="0"/>
                <xsd:element ref="ns5:MediaServiceOCR" minOccurs="0"/>
                <xsd:element ref="ns5:MediaServiceDateTaken" minOccurs="0"/>
                <xsd:element ref="ns5:MediaServiceLocation" minOccurs="0"/>
                <xsd:element ref="ns5:MediaServiceAutoKeyPoints" minOccurs="0"/>
                <xsd:element ref="ns5:MediaServiceKeyPoints" minOccurs="0"/>
                <xsd:element ref="ns5:MediaServiceGenerationTime" minOccurs="0"/>
                <xsd:element ref="ns5:MediaServiceEventHashCo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f1fb52-79b9-4278-9d54-1e5db41bfcda" elementFormDefault="qualified">
    <xsd:import namespace="http://schemas.microsoft.com/office/2006/documentManagement/types"/>
    <xsd:import namespace="http://schemas.microsoft.com/office/infopath/2007/PartnerControls"/>
    <xsd:element name="Subdivider" ma:index="3" nillable="true" ma:displayName="Subdivider" ma:indexed="true" ma:internalName="Subdivider">
      <xsd:simpleType>
        <xsd:restriction base="dms:Text">
          <xsd:maxLength value="255"/>
        </xsd:restriction>
      </xsd:simpleType>
    </xsd:element>
    <xsd:element name="Open_x0020_in_x0020_Outlook" ma:index="19" nillable="true" ma:displayName="Open in Outlook" ma:description="Click to download item, used for opening emails directly in Outlook (when set to automatically open in Chrome)." ma:hidden="true" ma:indexed="true" ma:internalName="Open_x0020_in_x0020_Outlook" ma:readOnly="false">
      <xsd:simpleType>
        <xsd:restriction base="dms:Text">
          <xsd:maxLength value="255"/>
        </xsd:restriction>
      </xsd:simpleType>
    </xsd:element>
    <xsd:element name="c0b54d0a77474fabbf35302adb9710d7" ma:index="22" nillable="true" ma:taxonomy="true" ma:internalName="c0b54d0a77474fabbf35302adb9710d7" ma:taxonomyFieldName="Document_x0020_Type" ma:displayName="Document Type" ma:default="" ma:fieldId="{c0b54d0a-7747-4fab-bf35-302adb9710d7}" ma:sspId="975c5ac6-a0cc-43ed-b850-4a2ae59237b6" ma:termSetId="06f72989-bf1e-40b3-b4de-fd0ca0e5cdad" ma:anchorId="00000000-0000-0000-0000-000000000000" ma:open="false" ma:isKeyword="false">
      <xsd:complexType>
        <xsd:sequence>
          <xsd:element ref="pc:Terms" minOccurs="0" maxOccurs="1"/>
        </xsd:sequence>
      </xsd:complexType>
    </xsd:element>
    <xsd:element name="From1" ma:index="23" nillable="true" ma:displayName="From" ma:hidden="true" ma:indexed="true" ma:internalName="From1" ma:readOnly="false">
      <xsd:simpleType>
        <xsd:restriction base="dms:Text">
          <xsd:maxLength value="255"/>
        </xsd:restriction>
      </xsd:simpleType>
    </xsd:element>
    <xsd:element name="Has_x0020_Attachments" ma:index="24" nillable="true" ma:displayName="Has Attachments" ma:hidden="true" ma:indexed="true" ma:internalName="Has_x0020_Attachments" ma:readOnly="false">
      <xsd:simpleType>
        <xsd:restriction base="dms:Text">
          <xsd:maxLength value="255"/>
        </xsd:restriction>
      </xsd:simpleType>
    </xsd:element>
    <xsd:element name="Received_x002f_Sent" ma:index="25" nillable="true" ma:displayName="Received/Sent" ma:format="DateOnly" ma:hidden="true" ma:indexed="true" ma:internalName="Received_x002F_Sent" ma:readOnly="false">
      <xsd:simpleType>
        <xsd:restriction base="dms:DateTime"/>
      </xsd:simpleType>
    </xsd:element>
    <xsd:element name="To" ma:index="26" nillable="true" ma:displayName="To" ma:hidden="true" ma:indexed="true" ma:internalName="To" ma:readOnly="false">
      <xsd:simpleType>
        <xsd:restriction base="dms:Text">
          <xsd:maxLength value="255"/>
        </xsd:restriction>
      </xsd:simpleType>
    </xsd:element>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Divider" ma:index="2" nillable="true" ma:displayName="Divider" ma:indexed="true" ma:internalName="Divider">
      <xsd:simpleType>
        <xsd:restriction base="dms:Text">
          <xsd:maxLength value="255"/>
        </xsd:restriction>
      </xsd:simpleType>
    </xsd:element>
    <xsd:element name="TaxKeywordTaxHTField" ma:index="8"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9674aa2f-9701-447f-b61a-873be09f9281}" ma:internalName="TaxCatchAll" ma:showField="CatchAllData" ma:web="57f1fb52-79b9-4278-9d54-1e5db41bfcd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674aa2f-9701-447f-b61a-873be09f9281}" ma:internalName="TaxCatchAllLabel" ma:readOnly="true" ma:showField="CatchAllDataLabel" ma:web="57f1fb52-79b9-4278-9d54-1e5db41bfcda">
      <xsd:complexType>
        <xsd:complexContent>
          <xsd:extension base="dms:MultiChoiceLookup">
            <xsd:sequence>
              <xsd:element name="Value" type="dms:Lookup" maxOccurs="unbounded" minOccurs="0"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Approver" ma:index="20" nillable="true" ma:displayName="Approver" ma:hidden="true" ma:list="UserInfo" ma:SharePointGroup="20" ma:internalNam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Status" ma:index="21" nillable="true" ma:displayName="Document Status" ma:default="Draft" ma:format="Dropdown" ma:hidden="true" ma:internalName="Document_x0020_Status" ma:readOnly="false">
      <xsd:simpleType>
        <xsd:restriction base="dms:Choice">
          <xsd:enumeration value="Draft"/>
          <xsd:enumeration value="Pending"/>
          <xsd:enumeration value="Approved"/>
          <xsd:enumeration value="Change Request"/>
          <xsd:enumeration value="Rejected"/>
        </xsd:restriction>
      </xsd:simpleType>
    </xsd:element>
  </xsd:schema>
  <xsd:schema xmlns:xsd="http://www.w3.org/2001/XMLSchema" xmlns:xs="http://www.w3.org/2001/XMLSchema" xmlns:dms="http://schemas.microsoft.com/office/2006/documentManagement/types" xmlns:pc="http://schemas.microsoft.com/office/infopath/2007/PartnerControls" targetNamespace="a6ffb128-e94a-4924-af16-68c2b3b917e8"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_Flow_SignoffStatus" ma:index="29" nillable="true" ma:displayName="Sign-off status" ma:hidden="true" ma:internalName="Sign_x002d_off_x0020_status"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540fc0-8d75-4b74-a173-585bef8b9087" elementFormDefault="qualified">
    <xsd:import namespace="http://schemas.microsoft.com/office/2006/documentManagement/types"/>
    <xsd:import namespace="http://schemas.microsoft.com/office/infopath/2007/PartnerControls"/>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ServiceLocation" ma:index="33" nillable="true" ma:displayName="Location" ma:internalName="MediaServiceLocation"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FDBFF-4990-4D79-BD88-9C2499F05828}">
  <ds:schemaRefs>
    <ds:schemaRef ds:uri="http://schemas.microsoft.com/office/2006/metadata/properties"/>
    <ds:schemaRef ds:uri="http://schemas.microsoft.com/office/infopath/2007/PartnerControls"/>
    <ds:schemaRef ds:uri="6500fe01-343b-4fb9-a1b0-68ac19d62e01"/>
    <ds:schemaRef ds:uri="57f1fb52-79b9-4278-9d54-1e5db41bfcda"/>
    <ds:schemaRef ds:uri="a6ffb128-e94a-4924-af16-68c2b3b917e8"/>
  </ds:schemaRefs>
</ds:datastoreItem>
</file>

<file path=customXml/itemProps2.xml><?xml version="1.0" encoding="utf-8"?>
<ds:datastoreItem xmlns:ds="http://schemas.openxmlformats.org/officeDocument/2006/customXml" ds:itemID="{563E4535-00FF-462D-A9AE-6A7F421E5D9C}">
  <ds:schemaRefs>
    <ds:schemaRef ds:uri="Microsoft.SharePoint.Taxonomy.ContentTypeSync"/>
  </ds:schemaRefs>
</ds:datastoreItem>
</file>

<file path=customXml/itemProps3.xml><?xml version="1.0" encoding="utf-8"?>
<ds:datastoreItem xmlns:ds="http://schemas.openxmlformats.org/officeDocument/2006/customXml" ds:itemID="{49B4D66E-F28A-49DA-A372-7A59E6ABB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f1fb52-79b9-4278-9d54-1e5db41bfcda"/>
    <ds:schemaRef ds:uri="6500fe01-343b-4fb9-a1b0-68ac19d62e01"/>
    <ds:schemaRef ds:uri="a6ffb128-e94a-4924-af16-68c2b3b917e8"/>
    <ds:schemaRef ds:uri="ad540fc0-8d75-4b74-a173-585bef8b90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FA87F4-D19A-4344-AD80-DB5328B8FFB7}">
  <ds:schemaRefs>
    <ds:schemaRef ds:uri="http://schemas.microsoft.com/office/2006/metadata/customXsn"/>
  </ds:schemaRefs>
</ds:datastoreItem>
</file>

<file path=customXml/itemProps5.xml><?xml version="1.0" encoding="utf-8"?>
<ds:datastoreItem xmlns:ds="http://schemas.openxmlformats.org/officeDocument/2006/customXml" ds:itemID="{2E17E0AC-A06A-41E7-A3A5-4F13B08A9D62}">
  <ds:schemaRefs>
    <ds:schemaRef ds:uri="http://schemas.microsoft.com/sharepoint/events"/>
  </ds:schemaRefs>
</ds:datastoreItem>
</file>

<file path=customXml/itemProps6.xml><?xml version="1.0" encoding="utf-8"?>
<ds:datastoreItem xmlns:ds="http://schemas.openxmlformats.org/officeDocument/2006/customXml" ds:itemID="{2B9B5D55-2AB5-47A7-8AAE-A43A623EA79C}">
  <ds:schemaRefs>
    <ds:schemaRef ds:uri="http://schemas.microsoft.com/sharepoint/v3/contenttype/forms"/>
  </ds:schemaRefs>
</ds:datastoreItem>
</file>

<file path=customXml/itemProps7.xml><?xml version="1.0" encoding="utf-8"?>
<ds:datastoreItem xmlns:ds="http://schemas.openxmlformats.org/officeDocument/2006/customXml" ds:itemID="{F72D2A45-2CC1-2141-A8FF-D9CC3A735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G:\Templates\Commission\Guidelines or Policy template.dotx</Template>
  <TotalTime>1</TotalTime>
  <Pages>27</Pages>
  <Words>5653</Words>
  <Characters>34695</Characters>
  <Application>Microsoft Office Word</Application>
  <DocSecurity>0</DocSecurity>
  <Lines>289</Lines>
  <Paragraphs>80</Paragraphs>
  <ScaleCrop>false</ScaleCrop>
  <Company>Human Rights and Equal Opportunity Commission</Company>
  <LinksUpToDate>false</LinksUpToDate>
  <CharactersWithSpaces>40268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subject/>
  <dc:creator>Laura Tebb</dc:creator>
  <cp:keywords/>
  <cp:lastModifiedBy>Liz Stephens</cp:lastModifiedBy>
  <cp:revision>2</cp:revision>
  <cp:lastPrinted>2021-03-15T23:26:00Z</cp:lastPrinted>
  <dcterms:created xsi:type="dcterms:W3CDTF">2021-03-16T01:13:00Z</dcterms:created>
  <dcterms:modified xsi:type="dcterms:W3CDTF">2021-03-16T01:13:00Z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0x0101001A24B1CA582BA84F82AD9B961011E030</vt:lpwstr>
  </property>
  <property fmtid="{D5CDD505-2E9C-101B-9397-08002B2CF9AE}" pid="3" name="TaxKeyword">
    <vt:lpwstr/>
  </property>
  <property fmtid="{D5CDD505-2E9C-101B-9397-08002B2CF9AE}" pid="4" name="Document Type">
    <vt:lpwstr/>
  </property>
  <property fmtid="{D5CDD505-2E9C-101B-9397-08002B2CF9AE}" pid="5" name="_dlc_DocIdItemGuid">
    <vt:lpwstr>a4f69151-27ce-4b65-9547-dabb8de7a027</vt:lpwstr>
  </property>
</Properties>
</file>