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330E6" w14:textId="6E4AD7C6" w:rsidR="00E8614C" w:rsidRDefault="00E8614C">
      <w:pPr>
        <w:keepLines w:val="0"/>
        <w:rPr>
          <w:rFonts w:cs="Arial"/>
          <w:b/>
          <w:sz w:val="36"/>
          <w:szCs w:val="36"/>
        </w:rPr>
      </w:pPr>
      <w:r w:rsidRPr="00E8614C">
        <w:rPr>
          <w:rFonts w:cs="Arial"/>
          <w:b/>
          <w:noProof/>
          <w:sz w:val="36"/>
          <w:szCs w:val="36"/>
          <w:lang w:eastAsia="en-AU"/>
        </w:rPr>
        <w:drawing>
          <wp:anchor distT="0" distB="0" distL="114300" distR="114300" simplePos="0" relativeHeight="251659264" behindDoc="1" locked="0" layoutInCell="0" allowOverlap="1" wp14:anchorId="4844B4A0" wp14:editId="0ED234F8">
            <wp:simplePos x="0" y="0"/>
            <wp:positionH relativeFrom="margin">
              <wp:posOffset>-887095</wp:posOffset>
            </wp:positionH>
            <wp:positionV relativeFrom="margin">
              <wp:posOffset>-914400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614C">
        <w:rPr>
          <w:rFonts w:cs="Arial"/>
          <w:b/>
          <w:noProof/>
          <w:sz w:val="36"/>
          <w:szCs w:val="36"/>
          <w:lang w:eastAsia="en-AU"/>
        </w:rPr>
        <mc:AlternateContent>
          <mc:Choice Requires="wps">
            <w:drawing>
              <wp:anchor distT="0" distB="0" distL="114300" distR="114300" simplePos="0" relativeHeight="251660288" behindDoc="0" locked="0" layoutInCell="1" allowOverlap="1" wp14:anchorId="3146D594" wp14:editId="057C4D2F">
                <wp:simplePos x="0" y="0"/>
                <wp:positionH relativeFrom="column">
                  <wp:posOffset>2614295</wp:posOffset>
                </wp:positionH>
                <wp:positionV relativeFrom="paragraph">
                  <wp:posOffset>608965</wp:posOffset>
                </wp:positionV>
                <wp:extent cx="328041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8041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643E05" w14:textId="11941EAB" w:rsidR="009E4BFF" w:rsidRDefault="009E4BFF" w:rsidP="0083279D">
                            <w:pPr>
                              <w:spacing w:after="200"/>
                              <w:jc w:val="right"/>
                              <w:rPr>
                                <w:rFonts w:cs="Arial"/>
                                <w:b/>
                                <w:color w:val="548DD4" w:themeColor="text2" w:themeTint="99"/>
                                <w:sz w:val="48"/>
                                <w:szCs w:val="48"/>
                              </w:rPr>
                            </w:pPr>
                            <w:r>
                              <w:rPr>
                                <w:rFonts w:cs="Arial"/>
                                <w:b/>
                                <w:color w:val="548DD4" w:themeColor="text2" w:themeTint="99"/>
                                <w:sz w:val="48"/>
                                <w:szCs w:val="48"/>
                              </w:rPr>
                              <w:t>Tapara v</w:t>
                            </w:r>
                          </w:p>
                          <w:p w14:paraId="55AC29FF" w14:textId="77777777" w:rsidR="009E4BFF" w:rsidRDefault="009E4BFF" w:rsidP="00E8614C">
                            <w:pPr>
                              <w:spacing w:after="80"/>
                              <w:jc w:val="right"/>
                              <w:rPr>
                                <w:rFonts w:cs="Arial"/>
                                <w:b/>
                                <w:color w:val="548DD4" w:themeColor="text2" w:themeTint="99"/>
                                <w:sz w:val="48"/>
                                <w:szCs w:val="48"/>
                              </w:rPr>
                            </w:pPr>
                            <w:r>
                              <w:rPr>
                                <w:rFonts w:cs="Arial"/>
                                <w:b/>
                                <w:color w:val="548DD4" w:themeColor="text2" w:themeTint="99"/>
                                <w:sz w:val="48"/>
                                <w:szCs w:val="48"/>
                              </w:rPr>
                              <w:t>Commonwealth of</w:t>
                            </w:r>
                          </w:p>
                          <w:p w14:paraId="48D3EFDB" w14:textId="77777777" w:rsidR="009E4BFF" w:rsidRPr="00833542" w:rsidRDefault="009E4BFF" w:rsidP="0083279D">
                            <w:pPr>
                              <w:spacing w:after="400"/>
                              <w:jc w:val="right"/>
                              <w:rPr>
                                <w:rFonts w:cs="Arial"/>
                                <w:b/>
                                <w:color w:val="548DD4" w:themeColor="text2" w:themeTint="99"/>
                                <w:sz w:val="48"/>
                                <w:szCs w:val="48"/>
                              </w:rPr>
                            </w:pPr>
                            <w:r>
                              <w:rPr>
                                <w:rFonts w:cs="Arial"/>
                                <w:b/>
                                <w:color w:val="548DD4" w:themeColor="text2" w:themeTint="99"/>
                                <w:sz w:val="48"/>
                                <w:szCs w:val="48"/>
                              </w:rPr>
                              <w:t xml:space="preserve"> Australia (DIBP)</w:t>
                            </w:r>
                          </w:p>
                          <w:p w14:paraId="05A584B2" w14:textId="3251EE91" w:rsidR="009E4BFF" w:rsidRPr="00E46837" w:rsidRDefault="009E4BFF" w:rsidP="00E8614C">
                            <w:pPr>
                              <w:jc w:val="right"/>
                              <w:rPr>
                                <w:rFonts w:ascii="Arial Narrow Bold" w:hAnsi="Arial Narrow Bold"/>
                                <w:sz w:val="32"/>
                                <w:szCs w:val="32"/>
                              </w:rPr>
                            </w:pPr>
                            <w:r>
                              <w:rPr>
                                <w:rFonts w:ascii="Arial Narrow Bold" w:hAnsi="Arial Narrow Bold"/>
                                <w:sz w:val="32"/>
                                <w:szCs w:val="32"/>
                              </w:rPr>
                              <w:t xml:space="preserve"> [2014] AusHRC 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205.85pt;margin-top:47.95pt;width:258.3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aBMc8CAAAP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" filled="f" stroked="f">
                <v:textbox>
                  <w:txbxContent>
                    <w:p w14:paraId="39643E05" w14:textId="11941EAB" w:rsidR="0083279D" w:rsidRDefault="0083279D" w:rsidP="0083279D">
                      <w:pPr>
                        <w:spacing w:after="200"/>
                        <w:jc w:val="right"/>
                        <w:rPr>
                          <w:rFonts w:cs="Arial"/>
                          <w:b/>
                          <w:color w:val="548DD4" w:themeColor="text2" w:themeTint="99"/>
                          <w:sz w:val="48"/>
                          <w:szCs w:val="48"/>
                        </w:rPr>
                      </w:pPr>
                      <w:proofErr w:type="spellStart"/>
                      <w:r>
                        <w:rPr>
                          <w:rFonts w:cs="Arial"/>
                          <w:b/>
                          <w:color w:val="548DD4" w:themeColor="text2" w:themeTint="99"/>
                          <w:sz w:val="48"/>
                          <w:szCs w:val="48"/>
                        </w:rPr>
                        <w:t>Tapara</w:t>
                      </w:r>
                      <w:proofErr w:type="spellEnd"/>
                      <w:r>
                        <w:rPr>
                          <w:rFonts w:cs="Arial"/>
                          <w:b/>
                          <w:color w:val="548DD4" w:themeColor="text2" w:themeTint="99"/>
                          <w:sz w:val="48"/>
                          <w:szCs w:val="48"/>
                        </w:rPr>
                        <w:t xml:space="preserve"> v</w:t>
                      </w:r>
                    </w:p>
                    <w:p w14:paraId="55AC29FF" w14:textId="77777777" w:rsidR="0083279D" w:rsidRDefault="0083279D" w:rsidP="00E8614C">
                      <w:pPr>
                        <w:spacing w:after="80"/>
                        <w:jc w:val="right"/>
                        <w:rPr>
                          <w:rFonts w:cs="Arial"/>
                          <w:b/>
                          <w:color w:val="548DD4" w:themeColor="text2" w:themeTint="99"/>
                          <w:sz w:val="48"/>
                          <w:szCs w:val="48"/>
                        </w:rPr>
                      </w:pPr>
                      <w:r>
                        <w:rPr>
                          <w:rFonts w:cs="Arial"/>
                          <w:b/>
                          <w:color w:val="548DD4" w:themeColor="text2" w:themeTint="99"/>
                          <w:sz w:val="48"/>
                          <w:szCs w:val="48"/>
                        </w:rPr>
                        <w:t>Commonwealth of</w:t>
                      </w:r>
                    </w:p>
                    <w:p w14:paraId="48D3EFDB" w14:textId="77777777" w:rsidR="0083279D" w:rsidRPr="00833542" w:rsidRDefault="0083279D" w:rsidP="0083279D">
                      <w:pPr>
                        <w:spacing w:after="400"/>
                        <w:jc w:val="right"/>
                        <w:rPr>
                          <w:rFonts w:cs="Arial"/>
                          <w:b/>
                          <w:color w:val="548DD4" w:themeColor="text2" w:themeTint="99"/>
                          <w:sz w:val="48"/>
                          <w:szCs w:val="48"/>
                        </w:rPr>
                      </w:pPr>
                      <w:r>
                        <w:rPr>
                          <w:rFonts w:cs="Arial"/>
                          <w:b/>
                          <w:color w:val="548DD4" w:themeColor="text2" w:themeTint="99"/>
                          <w:sz w:val="48"/>
                          <w:szCs w:val="48"/>
                        </w:rPr>
                        <w:t xml:space="preserve"> Australia (</w:t>
                      </w:r>
                      <w:proofErr w:type="spellStart"/>
                      <w:r>
                        <w:rPr>
                          <w:rFonts w:cs="Arial"/>
                          <w:b/>
                          <w:color w:val="548DD4" w:themeColor="text2" w:themeTint="99"/>
                          <w:sz w:val="48"/>
                          <w:szCs w:val="48"/>
                        </w:rPr>
                        <w:t>DIBP</w:t>
                      </w:r>
                      <w:proofErr w:type="spellEnd"/>
                      <w:r>
                        <w:rPr>
                          <w:rFonts w:cs="Arial"/>
                          <w:b/>
                          <w:color w:val="548DD4" w:themeColor="text2" w:themeTint="99"/>
                          <w:sz w:val="48"/>
                          <w:szCs w:val="48"/>
                        </w:rPr>
                        <w:t>)</w:t>
                      </w:r>
                    </w:p>
                    <w:p w14:paraId="05A584B2" w14:textId="3251EE91" w:rsidR="0083279D" w:rsidRPr="00E46837" w:rsidRDefault="0083279D" w:rsidP="00E8614C">
                      <w:pPr>
                        <w:jc w:val="right"/>
                        <w:rPr>
                          <w:rFonts w:ascii="Arial Narrow Bold" w:hAnsi="Arial Narrow Bold"/>
                          <w:sz w:val="32"/>
                          <w:szCs w:val="32"/>
                        </w:rPr>
                      </w:pPr>
                      <w:r>
                        <w:rPr>
                          <w:rFonts w:ascii="Arial Narrow Bold" w:hAnsi="Arial Narrow Bold"/>
                          <w:sz w:val="32"/>
                          <w:szCs w:val="32"/>
                        </w:rPr>
                        <w:t xml:space="preserve"> [2014] </w:t>
                      </w:r>
                      <w:proofErr w:type="spellStart"/>
                      <w:r>
                        <w:rPr>
                          <w:rFonts w:ascii="Arial Narrow Bold" w:hAnsi="Arial Narrow Bold"/>
                          <w:sz w:val="32"/>
                          <w:szCs w:val="32"/>
                        </w:rPr>
                        <w:t>AusHRC</w:t>
                      </w:r>
                      <w:proofErr w:type="spellEnd"/>
                      <w:r>
                        <w:rPr>
                          <w:rFonts w:ascii="Arial Narrow Bold" w:hAnsi="Arial Narrow Bold"/>
                          <w:sz w:val="32"/>
                          <w:szCs w:val="32"/>
                        </w:rPr>
                        <w:t xml:space="preserve"> 91</w:t>
                      </w:r>
                    </w:p>
                  </w:txbxContent>
                </v:textbox>
                <w10:wrap type="square"/>
              </v:shape>
            </w:pict>
          </mc:Fallback>
        </mc:AlternateContent>
      </w:r>
      <w:r>
        <w:rPr>
          <w:rFonts w:cs="Arial"/>
          <w:b/>
          <w:sz w:val="36"/>
          <w:szCs w:val="36"/>
        </w:rPr>
        <w:br w:type="page"/>
      </w:r>
    </w:p>
    <w:p w14:paraId="37A47FC4" w14:textId="77777777" w:rsidR="000010F1" w:rsidRDefault="000010F1" w:rsidP="000010F1"/>
    <w:p w14:paraId="3CC64F9B" w14:textId="77777777" w:rsidR="000010F1" w:rsidRDefault="000010F1" w:rsidP="000010F1"/>
    <w:p w14:paraId="1A0ED938" w14:textId="77777777" w:rsidR="000010F1" w:rsidRDefault="000010F1" w:rsidP="000010F1"/>
    <w:p w14:paraId="46B008D8" w14:textId="77777777" w:rsidR="000010F1" w:rsidRDefault="000010F1" w:rsidP="000010F1"/>
    <w:p w14:paraId="6A501597" w14:textId="77777777" w:rsidR="000010F1" w:rsidRDefault="000010F1" w:rsidP="000010F1"/>
    <w:p w14:paraId="1EE8B923" w14:textId="77777777" w:rsidR="000010F1" w:rsidRDefault="000010F1" w:rsidP="000010F1"/>
    <w:p w14:paraId="611346A9" w14:textId="77777777" w:rsidR="000010F1" w:rsidRDefault="000010F1" w:rsidP="000010F1"/>
    <w:p w14:paraId="3B8A9E28" w14:textId="77777777" w:rsidR="000010F1" w:rsidRDefault="000010F1" w:rsidP="000010F1"/>
    <w:p w14:paraId="1901546F" w14:textId="77777777" w:rsidR="000010F1" w:rsidRDefault="000010F1" w:rsidP="000010F1"/>
    <w:p w14:paraId="6310EEB4" w14:textId="77777777" w:rsidR="000010F1" w:rsidRDefault="000010F1" w:rsidP="000010F1"/>
    <w:p w14:paraId="1BA25B11" w14:textId="77777777" w:rsidR="000010F1" w:rsidRDefault="000010F1" w:rsidP="000010F1"/>
    <w:p w14:paraId="3E8C4F54" w14:textId="77777777" w:rsidR="000010F1" w:rsidRDefault="000010F1" w:rsidP="000010F1"/>
    <w:p w14:paraId="27CC0D2D" w14:textId="77777777" w:rsidR="000010F1" w:rsidRDefault="000010F1" w:rsidP="000010F1"/>
    <w:p w14:paraId="4FE2396D" w14:textId="77777777" w:rsidR="000010F1" w:rsidRDefault="000010F1" w:rsidP="000010F1"/>
    <w:p w14:paraId="34C1DCB8" w14:textId="77777777" w:rsidR="000010F1" w:rsidRDefault="000010F1" w:rsidP="000010F1"/>
    <w:p w14:paraId="0C3D5BAF" w14:textId="77777777" w:rsidR="000010F1" w:rsidRPr="00F20955" w:rsidRDefault="000010F1" w:rsidP="000010F1">
      <w:pPr>
        <w:widowControl w:val="0"/>
        <w:tabs>
          <w:tab w:val="left" w:pos="567"/>
        </w:tabs>
        <w:suppressAutoHyphens/>
        <w:autoSpaceDE w:val="0"/>
        <w:autoSpaceDN w:val="0"/>
        <w:adjustRightInd w:val="0"/>
        <w:spacing w:after="113"/>
        <w:textAlignment w:val="center"/>
        <w:rPr>
          <w:rFonts w:cs="Arial"/>
          <w:b/>
          <w:bCs/>
          <w:color w:val="000000"/>
          <w:sz w:val="20"/>
          <w:u w:color="000000"/>
          <w:lang w:val="en-US" w:eastAsia="en-AU"/>
        </w:rPr>
      </w:pPr>
      <w:r w:rsidRPr="00F20955">
        <w:rPr>
          <w:rFonts w:cs="Arial"/>
          <w:b/>
          <w:bCs/>
          <w:color w:val="000000"/>
          <w:sz w:val="20"/>
          <w:u w:color="000000"/>
          <w:lang w:eastAsia="en-AU"/>
        </w:rPr>
        <w:t>© Australian Human Rights Commission 2014.</w:t>
      </w:r>
    </w:p>
    <w:p w14:paraId="28F2FE13" w14:textId="77777777" w:rsidR="000010F1" w:rsidRPr="00F20955" w:rsidRDefault="000010F1" w:rsidP="000010F1">
      <w:pPr>
        <w:widowControl w:val="0"/>
        <w:autoSpaceDE w:val="0"/>
        <w:autoSpaceDN w:val="0"/>
        <w:adjustRightInd w:val="0"/>
        <w:spacing w:after="113"/>
        <w:textAlignment w:val="center"/>
        <w:rPr>
          <w:rFonts w:cs="Arial"/>
          <w:color w:val="000000"/>
          <w:sz w:val="20"/>
          <w:lang w:val="en-US" w:eastAsia="en-AU"/>
        </w:rPr>
      </w:pPr>
      <w:r>
        <w:rPr>
          <w:rFonts w:cs="Arial"/>
          <w:noProof/>
          <w:color w:val="000000"/>
          <w:sz w:val="20"/>
          <w:lang w:eastAsia="en-AU"/>
        </w:rPr>
        <w:drawing>
          <wp:inline distT="0" distB="0" distL="0" distR="0" wp14:anchorId="457B9A72" wp14:editId="31E0D9C3">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0D09ECE8" w14:textId="77777777" w:rsidR="000010F1" w:rsidRPr="00F20955" w:rsidRDefault="000010F1" w:rsidP="000010F1">
      <w:pPr>
        <w:widowControl w:val="0"/>
        <w:tabs>
          <w:tab w:val="left" w:pos="567"/>
        </w:tabs>
        <w:suppressAutoHyphens/>
        <w:autoSpaceDE w:val="0"/>
        <w:autoSpaceDN w:val="0"/>
        <w:adjustRightInd w:val="0"/>
        <w:spacing w:after="113"/>
        <w:textAlignment w:val="center"/>
        <w:rPr>
          <w:rFonts w:cs="Arial"/>
          <w:color w:val="000000"/>
          <w:sz w:val="20"/>
          <w:u w:color="000000"/>
          <w:lang w:eastAsia="en-AU"/>
        </w:rPr>
      </w:pPr>
      <w:r w:rsidRPr="00F20955">
        <w:rPr>
          <w:rFonts w:cs="Arial"/>
          <w:b/>
          <w:bCs/>
          <w:color w:val="000000"/>
          <w:sz w:val="20"/>
          <w:u w:color="000000"/>
          <w:lang w:eastAsia="en-AU"/>
        </w:rPr>
        <w:t>ISSN 1837-1183</w:t>
      </w:r>
    </w:p>
    <w:p w14:paraId="50D23721" w14:textId="77777777" w:rsidR="000010F1" w:rsidRPr="00F20955" w:rsidRDefault="000010F1" w:rsidP="000010F1">
      <w:pPr>
        <w:widowControl w:val="0"/>
        <w:tabs>
          <w:tab w:val="left" w:pos="567"/>
        </w:tabs>
        <w:suppressAutoHyphens/>
        <w:autoSpaceDE w:val="0"/>
        <w:autoSpaceDN w:val="0"/>
        <w:adjustRightInd w:val="0"/>
        <w:spacing w:after="57"/>
        <w:textAlignment w:val="center"/>
        <w:rPr>
          <w:rFonts w:cs="Arial"/>
          <w:color w:val="000000"/>
          <w:sz w:val="20"/>
          <w:u w:color="000000"/>
          <w:lang w:eastAsia="en-AU"/>
        </w:rPr>
      </w:pPr>
      <w:r w:rsidRPr="00F20955">
        <w:rPr>
          <w:rFonts w:cs="Arial"/>
          <w:color w:val="000000"/>
          <w:sz w:val="20"/>
          <w:u w:color="000000"/>
          <w:lang w:eastAsia="en-AU"/>
        </w:rPr>
        <w:t>The Australian Human Rights Commission encourages the dissemination and exchange of information presented in this publication.</w:t>
      </w:r>
    </w:p>
    <w:p w14:paraId="2B99C555" w14:textId="77777777" w:rsidR="000010F1" w:rsidRPr="00F20955" w:rsidRDefault="000010F1" w:rsidP="000010F1">
      <w:pPr>
        <w:widowControl w:val="0"/>
        <w:tabs>
          <w:tab w:val="left" w:pos="567"/>
        </w:tabs>
        <w:suppressAutoHyphens/>
        <w:autoSpaceDE w:val="0"/>
        <w:autoSpaceDN w:val="0"/>
        <w:adjustRightInd w:val="0"/>
        <w:spacing w:after="57"/>
        <w:textAlignment w:val="center"/>
        <w:rPr>
          <w:rFonts w:cs="Arial"/>
          <w:color w:val="000000"/>
          <w:sz w:val="20"/>
          <w:u w:color="000000"/>
          <w:lang w:eastAsia="en-AU"/>
        </w:rPr>
      </w:pPr>
      <w:r w:rsidRPr="00F20955">
        <w:rPr>
          <w:rFonts w:cs="Arial"/>
          <w:color w:val="000000"/>
          <w:sz w:val="20"/>
          <w:u w:color="000000"/>
          <w:lang w:eastAsia="en-AU"/>
        </w:rPr>
        <w:t>All material presented in this publication is licenced under a Creative Commons Attribution 3.0 Australia licence, with the exception of the Australian Human Rights Commission Logo.</w:t>
      </w:r>
    </w:p>
    <w:p w14:paraId="45340746" w14:textId="77777777" w:rsidR="000010F1" w:rsidRPr="00F20955" w:rsidRDefault="000010F1" w:rsidP="000010F1">
      <w:pPr>
        <w:widowControl w:val="0"/>
        <w:tabs>
          <w:tab w:val="left" w:pos="567"/>
        </w:tabs>
        <w:suppressAutoHyphens/>
        <w:autoSpaceDE w:val="0"/>
        <w:autoSpaceDN w:val="0"/>
        <w:adjustRightInd w:val="0"/>
        <w:spacing w:after="57"/>
        <w:textAlignment w:val="center"/>
        <w:rPr>
          <w:rFonts w:cs="Arial"/>
          <w:color w:val="000000"/>
          <w:sz w:val="20"/>
          <w:u w:color="000000"/>
          <w:lang w:eastAsia="en-AU"/>
        </w:rPr>
      </w:pPr>
      <w:r w:rsidRPr="00F20955">
        <w:rPr>
          <w:rFonts w:cs="Arial"/>
          <w:color w:val="000000"/>
          <w:sz w:val="20"/>
          <w:u w:color="000000"/>
          <w:lang w:eastAsia="en-AU"/>
        </w:rPr>
        <w:t xml:space="preserve">To view a copy of this licence, visit </w:t>
      </w:r>
      <w:hyperlink r:id="rId11" w:history="1">
        <w:r w:rsidRPr="00EA571C">
          <w:rPr>
            <w:rStyle w:val="Hyperlink"/>
            <w:rFonts w:cs="Arial"/>
            <w:b/>
            <w:sz w:val="20"/>
            <w:u w:color="000000"/>
          </w:rPr>
          <w:t>http://creativecommons.org/licences/by/3.0/au</w:t>
        </w:r>
      </w:hyperlink>
      <w:r>
        <w:rPr>
          <w:rFonts w:cs="Arial"/>
          <w:color w:val="000000"/>
          <w:sz w:val="20"/>
          <w:u w:color="000000"/>
          <w:lang w:eastAsia="en-AU"/>
        </w:rPr>
        <w:t>.</w:t>
      </w:r>
    </w:p>
    <w:p w14:paraId="7807E783" w14:textId="77777777" w:rsidR="000010F1" w:rsidRPr="00F20955" w:rsidRDefault="000010F1" w:rsidP="000010F1">
      <w:pPr>
        <w:widowControl w:val="0"/>
        <w:tabs>
          <w:tab w:val="left" w:pos="567"/>
        </w:tabs>
        <w:suppressAutoHyphens/>
        <w:autoSpaceDE w:val="0"/>
        <w:autoSpaceDN w:val="0"/>
        <w:adjustRightInd w:val="0"/>
        <w:spacing w:after="340"/>
        <w:textAlignment w:val="center"/>
        <w:rPr>
          <w:rFonts w:cs="Arial"/>
          <w:color w:val="000000"/>
          <w:sz w:val="20"/>
          <w:u w:color="000000"/>
          <w:lang w:eastAsia="en-AU"/>
        </w:rPr>
      </w:pPr>
      <w:r w:rsidRPr="00F20955">
        <w:rPr>
          <w:rFonts w:cs="Arial"/>
          <w:color w:val="000000"/>
          <w:sz w:val="20"/>
          <w:u w:color="000000"/>
          <w:lang w:eastAsia="en-AU"/>
        </w:rPr>
        <w:t>In essence, you are free to copy, communicate and adapt the work, as long as you attribute the work to the Australian Human Rights Commission and abide by the other licence terms.</w:t>
      </w:r>
    </w:p>
    <w:p w14:paraId="624979AF" w14:textId="77777777" w:rsidR="000010F1" w:rsidRPr="00F20955" w:rsidRDefault="000010F1" w:rsidP="000010F1">
      <w:pPr>
        <w:widowControl w:val="0"/>
        <w:tabs>
          <w:tab w:val="left" w:pos="567"/>
        </w:tabs>
        <w:suppressAutoHyphens/>
        <w:autoSpaceDE w:val="0"/>
        <w:autoSpaceDN w:val="0"/>
        <w:adjustRightInd w:val="0"/>
        <w:spacing w:before="113" w:after="57"/>
        <w:textAlignment w:val="center"/>
        <w:rPr>
          <w:rFonts w:cs="Arial"/>
          <w:b/>
          <w:bCs/>
          <w:color w:val="000000"/>
          <w:sz w:val="20"/>
          <w:u w:color="000000"/>
          <w:lang w:eastAsia="en-AU"/>
        </w:rPr>
      </w:pPr>
      <w:r w:rsidRPr="00F20955">
        <w:rPr>
          <w:rFonts w:cs="Arial"/>
          <w:b/>
          <w:bCs/>
          <w:color w:val="000000"/>
          <w:sz w:val="20"/>
          <w:u w:color="000000"/>
          <w:lang w:eastAsia="en-AU"/>
        </w:rPr>
        <w:t>Electronic format</w:t>
      </w:r>
    </w:p>
    <w:p w14:paraId="37CE1A66" w14:textId="77777777" w:rsidR="000010F1" w:rsidRPr="00F20955" w:rsidRDefault="000010F1" w:rsidP="000010F1">
      <w:pPr>
        <w:widowControl w:val="0"/>
        <w:tabs>
          <w:tab w:val="left" w:pos="567"/>
        </w:tabs>
        <w:suppressAutoHyphens/>
        <w:autoSpaceDE w:val="0"/>
        <w:autoSpaceDN w:val="0"/>
        <w:adjustRightInd w:val="0"/>
        <w:spacing w:after="57"/>
        <w:textAlignment w:val="center"/>
        <w:rPr>
          <w:rFonts w:cs="Arial"/>
          <w:color w:val="000000"/>
          <w:sz w:val="20"/>
          <w:u w:color="000000"/>
          <w:lang w:eastAsia="en-AU"/>
        </w:rPr>
      </w:pPr>
      <w:r w:rsidRPr="00F20955">
        <w:rPr>
          <w:rFonts w:cs="Arial"/>
          <w:color w:val="000000"/>
          <w:sz w:val="20"/>
          <w:u w:color="000000"/>
          <w:lang w:eastAsia="en-AU"/>
        </w:rPr>
        <w:t xml:space="preserve">This publication can be found in electronic format on the website of the Australian Human Rights Commission: </w:t>
      </w:r>
      <w:hyperlink r:id="rId12" w:history="1">
        <w:r w:rsidRPr="00EA571C">
          <w:rPr>
            <w:rStyle w:val="Hyperlink"/>
            <w:rFonts w:cs="Arial"/>
            <w:b/>
            <w:sz w:val="20"/>
            <w:u w:color="000000"/>
          </w:rPr>
          <w:t>http://www.humanrights.gov.au/publications/index.html</w:t>
        </w:r>
      </w:hyperlink>
      <w:r w:rsidRPr="00F20955">
        <w:rPr>
          <w:rFonts w:cs="Arial"/>
          <w:color w:val="000000"/>
          <w:sz w:val="20"/>
          <w:u w:color="000000"/>
          <w:lang w:eastAsia="en-AU"/>
        </w:rPr>
        <w:t>.</w:t>
      </w:r>
    </w:p>
    <w:p w14:paraId="78D77D23" w14:textId="77777777" w:rsidR="000010F1" w:rsidRPr="00F20955" w:rsidRDefault="000010F1" w:rsidP="000010F1">
      <w:pPr>
        <w:widowControl w:val="0"/>
        <w:tabs>
          <w:tab w:val="left" w:pos="567"/>
        </w:tabs>
        <w:suppressAutoHyphens/>
        <w:autoSpaceDE w:val="0"/>
        <w:autoSpaceDN w:val="0"/>
        <w:adjustRightInd w:val="0"/>
        <w:spacing w:before="113" w:after="57"/>
        <w:textAlignment w:val="center"/>
        <w:rPr>
          <w:rFonts w:cs="Arial"/>
          <w:b/>
          <w:bCs/>
          <w:color w:val="000000"/>
          <w:sz w:val="20"/>
          <w:u w:color="000000"/>
          <w:lang w:eastAsia="en-AU"/>
        </w:rPr>
      </w:pPr>
      <w:r w:rsidRPr="00F20955">
        <w:rPr>
          <w:rFonts w:cs="Arial"/>
          <w:b/>
          <w:bCs/>
          <w:color w:val="000000"/>
          <w:sz w:val="20"/>
          <w:u w:color="000000"/>
          <w:lang w:eastAsia="en-AU"/>
        </w:rPr>
        <w:t>Contact details</w:t>
      </w:r>
    </w:p>
    <w:p w14:paraId="7DE8AFDB" w14:textId="77777777" w:rsidR="000010F1" w:rsidRDefault="000010F1" w:rsidP="000010F1">
      <w:pPr>
        <w:widowControl w:val="0"/>
        <w:tabs>
          <w:tab w:val="left" w:pos="567"/>
        </w:tabs>
        <w:suppressAutoHyphens/>
        <w:autoSpaceDE w:val="0"/>
        <w:autoSpaceDN w:val="0"/>
        <w:adjustRightInd w:val="0"/>
        <w:spacing w:after="57"/>
        <w:textAlignment w:val="center"/>
        <w:rPr>
          <w:rFonts w:cs="Arial"/>
          <w:color w:val="000000"/>
          <w:sz w:val="20"/>
          <w:u w:color="000000"/>
          <w:lang w:eastAsia="en-AU"/>
        </w:rPr>
      </w:pPr>
      <w:r w:rsidRPr="00F20955">
        <w:rPr>
          <w:rFonts w:cs="Arial"/>
          <w:color w:val="000000"/>
          <w:sz w:val="20"/>
          <w:u w:color="000000"/>
          <w:lang w:eastAsia="en-AU"/>
        </w:rPr>
        <w:t xml:space="preserve">For further information about the Australian Human Rights Commission, please visit </w:t>
      </w:r>
      <w:hyperlink r:id="rId13" w:history="1">
        <w:r w:rsidRPr="00EA571C">
          <w:rPr>
            <w:rStyle w:val="Hyperlink"/>
            <w:rFonts w:cs="Arial"/>
            <w:b/>
            <w:sz w:val="20"/>
            <w:u w:color="000000"/>
          </w:rPr>
          <w:t>http://www.humanrights.gov.au</w:t>
        </w:r>
      </w:hyperlink>
      <w:r>
        <w:rPr>
          <w:rFonts w:cs="Arial"/>
          <w:color w:val="000000"/>
          <w:sz w:val="20"/>
          <w:u w:color="000000"/>
          <w:lang w:eastAsia="en-AU"/>
        </w:rPr>
        <w:t xml:space="preserve"> </w:t>
      </w:r>
      <w:r w:rsidRPr="00F20955">
        <w:rPr>
          <w:rFonts w:cs="Arial"/>
          <w:color w:val="000000"/>
          <w:sz w:val="20"/>
          <w:u w:color="000000"/>
          <w:lang w:eastAsia="en-AU"/>
        </w:rPr>
        <w:t xml:space="preserve">or email </w:t>
      </w:r>
      <w:hyperlink r:id="rId14" w:history="1">
        <w:r>
          <w:rPr>
            <w:rStyle w:val="Hyperlink"/>
            <w:rFonts w:cs="Arial"/>
            <w:b/>
            <w:sz w:val="20"/>
            <w:u w:color="000000"/>
          </w:rPr>
          <w:t>communications@humanrights.gov.au</w:t>
        </w:r>
      </w:hyperlink>
      <w:r>
        <w:rPr>
          <w:rFonts w:cs="Arial"/>
          <w:color w:val="000000"/>
          <w:sz w:val="20"/>
          <w:u w:color="000000"/>
          <w:lang w:eastAsia="en-AU"/>
        </w:rPr>
        <w:t>.</w:t>
      </w:r>
    </w:p>
    <w:p w14:paraId="62AF6668" w14:textId="77777777" w:rsidR="000010F1" w:rsidRPr="00F20955" w:rsidRDefault="000010F1" w:rsidP="000010F1">
      <w:pPr>
        <w:widowControl w:val="0"/>
        <w:tabs>
          <w:tab w:val="left" w:pos="567"/>
        </w:tabs>
        <w:suppressAutoHyphens/>
        <w:autoSpaceDE w:val="0"/>
        <w:autoSpaceDN w:val="0"/>
        <w:adjustRightInd w:val="0"/>
        <w:spacing w:after="57"/>
        <w:textAlignment w:val="center"/>
        <w:rPr>
          <w:rFonts w:cs="Arial"/>
          <w:color w:val="000000"/>
          <w:sz w:val="20"/>
          <w:u w:color="000000"/>
          <w:lang w:eastAsia="en-AU"/>
        </w:rPr>
      </w:pPr>
      <w:r w:rsidRPr="00F20955">
        <w:rPr>
          <w:rFonts w:cs="Arial"/>
          <w:color w:val="000000"/>
          <w:sz w:val="20"/>
          <w:u w:color="000000"/>
          <w:lang w:eastAsia="en-AU"/>
        </w:rPr>
        <w:t>You can also write to:</w:t>
      </w:r>
    </w:p>
    <w:p w14:paraId="7DF89BBD" w14:textId="77777777" w:rsidR="000010F1" w:rsidRPr="00F20955" w:rsidRDefault="000010F1" w:rsidP="000010F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4D7D161D" w14:textId="77777777" w:rsidR="000010F1" w:rsidRDefault="000010F1">
      <w:pPr>
        <w:keepLines w:val="0"/>
      </w:pPr>
    </w:p>
    <w:p w14:paraId="52C631A6" w14:textId="77777777" w:rsidR="000010F1" w:rsidRDefault="000010F1">
      <w:pPr>
        <w:keepLines w:val="0"/>
      </w:pPr>
    </w:p>
    <w:p w14:paraId="30EBBED0" w14:textId="2B422546" w:rsidR="000010F1" w:rsidRDefault="000010F1">
      <w:pPr>
        <w:keepLines w:val="0"/>
      </w:pPr>
      <w:r>
        <w:br w:type="page"/>
      </w:r>
    </w:p>
    <w:p w14:paraId="239CB29E" w14:textId="77777777" w:rsidR="00536D9A" w:rsidRPr="0083279D" w:rsidRDefault="00536D9A" w:rsidP="0083279D"/>
    <w:p w14:paraId="347BE1BB" w14:textId="77777777" w:rsidR="0083279D" w:rsidRDefault="0083279D" w:rsidP="0083279D"/>
    <w:p w14:paraId="21ED8449" w14:textId="77777777" w:rsidR="0083279D" w:rsidRDefault="0083279D" w:rsidP="0083279D"/>
    <w:p w14:paraId="5649AA71" w14:textId="77777777" w:rsidR="000010F1" w:rsidRDefault="000010F1" w:rsidP="0083279D"/>
    <w:p w14:paraId="631C978D" w14:textId="77777777" w:rsidR="000010F1" w:rsidRDefault="000010F1" w:rsidP="0083279D"/>
    <w:p w14:paraId="5AEEE8A4" w14:textId="77777777" w:rsidR="000010F1" w:rsidRDefault="000010F1" w:rsidP="0083279D"/>
    <w:p w14:paraId="07530C91" w14:textId="77777777" w:rsidR="000010F1" w:rsidRDefault="000010F1" w:rsidP="0083279D"/>
    <w:p w14:paraId="1815D7B7" w14:textId="77777777" w:rsidR="000010F1" w:rsidRDefault="000010F1" w:rsidP="0083279D"/>
    <w:p w14:paraId="1A5FD56A" w14:textId="77777777" w:rsidR="000010F1" w:rsidRDefault="000010F1" w:rsidP="0083279D"/>
    <w:p w14:paraId="698B0452" w14:textId="77777777" w:rsidR="000010F1" w:rsidRDefault="000010F1" w:rsidP="0083279D"/>
    <w:p w14:paraId="4ABD0690" w14:textId="68D6B897" w:rsidR="000010F1" w:rsidRPr="00337D9F" w:rsidRDefault="000010F1" w:rsidP="000010F1">
      <w:pPr>
        <w:pStyle w:val="InternalTitleBold"/>
        <w:spacing w:after="600"/>
        <w:rPr>
          <w:rFonts w:ascii="Arial" w:hAnsi="Arial" w:cs="Arial"/>
          <w:color w:val="808080" w:themeColor="background1" w:themeShade="80"/>
          <w:sz w:val="48"/>
          <w:szCs w:val="48"/>
        </w:rPr>
      </w:pPr>
      <w:r>
        <w:rPr>
          <w:rFonts w:ascii="Arial" w:hAnsi="Arial" w:cs="Arial"/>
          <w:color w:val="808080" w:themeColor="background1" w:themeShade="80"/>
          <w:sz w:val="48"/>
          <w:szCs w:val="48"/>
        </w:rPr>
        <w:t>Tapara v Commonwealth of Australia (Department of Immigration and Border Protection)</w:t>
      </w:r>
    </w:p>
    <w:p w14:paraId="50B19D6D" w14:textId="43718459" w:rsidR="000010F1" w:rsidRPr="00FD73E1" w:rsidRDefault="000010F1" w:rsidP="000010F1">
      <w:pPr>
        <w:pStyle w:val="InternalSubTitlePlain"/>
        <w:rPr>
          <w:rFonts w:ascii="Arial" w:hAnsi="Arial" w:cs="Arial"/>
          <w:color w:val="808080" w:themeColor="background1" w:themeShade="80"/>
          <w:sz w:val="44"/>
          <w:szCs w:val="44"/>
        </w:rPr>
      </w:pPr>
      <w:r w:rsidRPr="00FD73E1">
        <w:rPr>
          <w:rFonts w:ascii="Arial" w:hAnsi="Arial" w:cs="Arial"/>
          <w:color w:val="808080" w:themeColor="background1" w:themeShade="80"/>
          <w:sz w:val="44"/>
          <w:szCs w:val="44"/>
        </w:rPr>
        <w:t xml:space="preserve">Report into </w:t>
      </w:r>
      <w:r>
        <w:rPr>
          <w:rFonts w:ascii="Arial" w:hAnsi="Arial" w:cs="Arial"/>
          <w:color w:val="808080" w:themeColor="background1" w:themeShade="80"/>
          <w:sz w:val="44"/>
          <w:szCs w:val="44"/>
        </w:rPr>
        <w:t>arbitrary</w:t>
      </w:r>
      <w:r w:rsidR="008D3020">
        <w:rPr>
          <w:rFonts w:ascii="Arial" w:hAnsi="Arial" w:cs="Arial"/>
          <w:color w:val="808080" w:themeColor="background1" w:themeShade="80"/>
          <w:sz w:val="44"/>
          <w:szCs w:val="44"/>
        </w:rPr>
        <w:t xml:space="preserve"> detention</w:t>
      </w:r>
    </w:p>
    <w:p w14:paraId="48F133A4" w14:textId="4D0A455F" w:rsidR="000010F1" w:rsidRPr="00A44514" w:rsidRDefault="000010F1" w:rsidP="000010F1">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eastAsia="en-AU"/>
        </w:rPr>
      </w:pPr>
      <w:r w:rsidRPr="00A44514">
        <w:rPr>
          <w:rFonts w:cs="Arial"/>
          <w:color w:val="808080" w:themeColor="background1" w:themeShade="80"/>
          <w:sz w:val="48"/>
          <w:szCs w:val="48"/>
          <w:lang w:eastAsia="en-AU"/>
        </w:rPr>
        <w:t xml:space="preserve">[2014] AusHRC </w:t>
      </w:r>
      <w:r>
        <w:rPr>
          <w:rFonts w:cs="Arial"/>
          <w:color w:val="808080" w:themeColor="background1" w:themeShade="80"/>
          <w:sz w:val="48"/>
          <w:szCs w:val="48"/>
          <w:lang w:eastAsia="en-AU"/>
        </w:rPr>
        <w:t>91</w:t>
      </w:r>
    </w:p>
    <w:p w14:paraId="6856FAA2" w14:textId="77777777" w:rsidR="000010F1" w:rsidRPr="00833542" w:rsidRDefault="000010F1" w:rsidP="000010F1">
      <w:pPr>
        <w:widowControl w:val="0"/>
        <w:tabs>
          <w:tab w:val="left" w:pos="680"/>
        </w:tabs>
        <w:suppressAutoHyphens/>
        <w:autoSpaceDE w:val="0"/>
        <w:autoSpaceDN w:val="0"/>
        <w:adjustRightInd w:val="0"/>
        <w:ind w:left="283" w:hanging="283"/>
        <w:textAlignment w:val="center"/>
        <w:rPr>
          <w:rFonts w:cs="Arial"/>
          <w:b/>
          <w:bCs/>
          <w:color w:val="808080" w:themeColor="background1" w:themeShade="80"/>
          <w:lang w:eastAsia="en-AU"/>
        </w:rPr>
      </w:pPr>
      <w:r w:rsidRPr="00833542">
        <w:rPr>
          <w:rFonts w:cs="Arial"/>
          <w:b/>
          <w:bCs/>
          <w:color w:val="808080" w:themeColor="background1" w:themeShade="80"/>
          <w:lang w:eastAsia="en-AU"/>
        </w:rPr>
        <w:t>Australian Human Rights Commission 2014</w:t>
      </w:r>
    </w:p>
    <w:p w14:paraId="6BDA13CE" w14:textId="77777777" w:rsidR="000010F1" w:rsidRDefault="000010F1" w:rsidP="000010F1"/>
    <w:p w14:paraId="2836C8D0" w14:textId="77777777" w:rsidR="000010F1" w:rsidRDefault="000010F1" w:rsidP="000010F1"/>
    <w:p w14:paraId="58C29A85" w14:textId="77777777" w:rsidR="000010F1" w:rsidRDefault="000010F1" w:rsidP="000010F1"/>
    <w:p w14:paraId="3CAEBAAE" w14:textId="77777777" w:rsidR="000010F1" w:rsidRDefault="000010F1" w:rsidP="000010F1"/>
    <w:p w14:paraId="163C814D" w14:textId="77777777" w:rsidR="000010F1" w:rsidRDefault="000010F1" w:rsidP="000010F1"/>
    <w:p w14:paraId="2A392384" w14:textId="77777777" w:rsidR="000010F1" w:rsidRDefault="000010F1" w:rsidP="000010F1">
      <w:r>
        <w:rPr>
          <w:noProof/>
          <w:lang w:eastAsia="en-AU"/>
        </w:rPr>
        <w:drawing>
          <wp:inline distT="0" distB="0" distL="0" distR="0" wp14:anchorId="6D144FCC" wp14:editId="3F4644F0">
            <wp:extent cx="1696720" cy="548640"/>
            <wp:effectExtent l="0" t="0" r="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5319C34" w14:textId="77777777" w:rsidR="000010F1" w:rsidRDefault="000010F1" w:rsidP="0083279D"/>
    <w:p w14:paraId="0F8F85A0" w14:textId="77777777" w:rsidR="0083279D" w:rsidRPr="0083279D" w:rsidRDefault="0083279D" w:rsidP="0083279D"/>
    <w:p w14:paraId="1CABBCF3" w14:textId="77777777" w:rsidR="00A61DAC" w:rsidRPr="000010F1" w:rsidRDefault="00A61DAC" w:rsidP="004E5579">
      <w:pPr>
        <w:rPr>
          <w:rFonts w:cs="Arial"/>
          <w:b/>
          <w:sz w:val="36"/>
          <w:szCs w:val="36"/>
        </w:rPr>
      </w:pPr>
      <w:r w:rsidRPr="000263C1">
        <w:rPr>
          <w:rFonts w:cs="Arial"/>
          <w:szCs w:val="24"/>
        </w:rPr>
        <w:br w:type="page"/>
      </w:r>
      <w:r w:rsidRPr="000010F1">
        <w:rPr>
          <w:rFonts w:cs="Arial"/>
          <w:b/>
          <w:sz w:val="36"/>
          <w:szCs w:val="36"/>
        </w:rPr>
        <w:lastRenderedPageBreak/>
        <w:t xml:space="preserve">Contents </w:t>
      </w:r>
    </w:p>
    <w:p w14:paraId="037C7C0A" w14:textId="77777777" w:rsidR="00A61DAC" w:rsidRPr="000263C1" w:rsidRDefault="00A61DAC" w:rsidP="004E5579">
      <w:pPr>
        <w:rPr>
          <w:rFonts w:cs="Arial"/>
          <w:szCs w:val="24"/>
        </w:rPr>
      </w:pPr>
    </w:p>
    <w:p w14:paraId="59AF433A" w14:textId="77777777" w:rsidR="0027392D" w:rsidRDefault="0027392D">
      <w:pPr>
        <w:pStyle w:val="TOC1"/>
        <w:rPr>
          <w:rFonts w:cs="Arial"/>
          <w:b w:val="0"/>
          <w:szCs w:val="24"/>
        </w:rPr>
      </w:pPr>
    </w:p>
    <w:p w14:paraId="0F9D69AA" w14:textId="77777777" w:rsidR="000010F1" w:rsidRDefault="00EA7010">
      <w:pPr>
        <w:pStyle w:val="TOC1"/>
        <w:tabs>
          <w:tab w:val="left" w:pos="368"/>
        </w:tabs>
        <w:rPr>
          <w:rFonts w:asciiTheme="minorHAnsi" w:eastAsiaTheme="minorEastAsia" w:hAnsiTheme="minorHAnsi" w:cstheme="minorBidi"/>
          <w:b w:val="0"/>
          <w:noProof/>
          <w:spacing w:val="0"/>
          <w:szCs w:val="24"/>
          <w:lang w:eastAsia="ja-JP"/>
        </w:rPr>
      </w:pPr>
      <w:r w:rsidRPr="000263C1">
        <w:rPr>
          <w:rFonts w:cs="Arial"/>
          <w:b w:val="0"/>
          <w:szCs w:val="24"/>
        </w:rPr>
        <w:fldChar w:fldCharType="begin"/>
      </w:r>
      <w:r w:rsidR="00A61DAC" w:rsidRPr="000263C1">
        <w:rPr>
          <w:rFonts w:cs="Arial"/>
          <w:b w:val="0"/>
          <w:szCs w:val="24"/>
        </w:rPr>
        <w:instrText xml:space="preserve"> TOC \o "1-3" \h \z \u </w:instrText>
      </w:r>
      <w:r w:rsidRPr="000263C1">
        <w:rPr>
          <w:rFonts w:cs="Arial"/>
          <w:b w:val="0"/>
          <w:szCs w:val="24"/>
        </w:rPr>
        <w:fldChar w:fldCharType="separate"/>
      </w:r>
      <w:r w:rsidR="000010F1">
        <w:rPr>
          <w:noProof/>
        </w:rPr>
        <w:t>1</w:t>
      </w:r>
      <w:r w:rsidR="000010F1">
        <w:rPr>
          <w:rFonts w:asciiTheme="minorHAnsi" w:eastAsiaTheme="minorEastAsia" w:hAnsiTheme="minorHAnsi" w:cstheme="minorBidi"/>
          <w:b w:val="0"/>
          <w:noProof/>
          <w:spacing w:val="0"/>
          <w:szCs w:val="24"/>
          <w:lang w:eastAsia="ja-JP"/>
        </w:rPr>
        <w:tab/>
      </w:r>
      <w:r w:rsidR="000010F1">
        <w:rPr>
          <w:noProof/>
        </w:rPr>
        <w:t>Introduction to this inquiry</w:t>
      </w:r>
      <w:r w:rsidR="000010F1">
        <w:rPr>
          <w:noProof/>
        </w:rPr>
        <w:tab/>
      </w:r>
      <w:r w:rsidR="000010F1">
        <w:rPr>
          <w:noProof/>
        </w:rPr>
        <w:fldChar w:fldCharType="begin"/>
      </w:r>
      <w:r w:rsidR="000010F1">
        <w:rPr>
          <w:noProof/>
        </w:rPr>
        <w:instrText xml:space="preserve"> PAGEREF _Toc282871314 \h </w:instrText>
      </w:r>
      <w:r w:rsidR="000010F1">
        <w:rPr>
          <w:noProof/>
        </w:rPr>
      </w:r>
      <w:r w:rsidR="000010F1">
        <w:rPr>
          <w:noProof/>
        </w:rPr>
        <w:fldChar w:fldCharType="separate"/>
      </w:r>
      <w:r w:rsidR="000010F1">
        <w:rPr>
          <w:noProof/>
        </w:rPr>
        <w:t>6</w:t>
      </w:r>
      <w:r w:rsidR="000010F1">
        <w:rPr>
          <w:noProof/>
        </w:rPr>
        <w:fldChar w:fldCharType="end"/>
      </w:r>
    </w:p>
    <w:p w14:paraId="24EB6544" w14:textId="77777777" w:rsidR="000010F1" w:rsidRDefault="000010F1">
      <w:pPr>
        <w:pStyle w:val="TOC1"/>
        <w:tabs>
          <w:tab w:val="left" w:pos="368"/>
        </w:tabs>
        <w:rPr>
          <w:rFonts w:asciiTheme="minorHAnsi" w:eastAsiaTheme="minorEastAsia" w:hAnsiTheme="minorHAnsi" w:cstheme="minorBidi"/>
          <w:b w:val="0"/>
          <w:noProof/>
          <w:spacing w:val="0"/>
          <w:szCs w:val="24"/>
          <w:lang w:eastAsia="ja-JP"/>
        </w:rPr>
      </w:pPr>
      <w:r>
        <w:rPr>
          <w:noProof/>
        </w:rPr>
        <w:t>2</w:t>
      </w:r>
      <w:r>
        <w:rPr>
          <w:rFonts w:asciiTheme="minorHAnsi" w:eastAsiaTheme="minorEastAsia" w:hAnsiTheme="minorHAnsi" w:cstheme="minorBidi"/>
          <w:b w:val="0"/>
          <w:noProof/>
          <w:spacing w:val="0"/>
          <w:szCs w:val="24"/>
          <w:lang w:eastAsia="ja-JP"/>
        </w:rPr>
        <w:tab/>
      </w:r>
      <w:r>
        <w:rPr>
          <w:noProof/>
        </w:rPr>
        <w:t>Background</w:t>
      </w:r>
      <w:r>
        <w:rPr>
          <w:noProof/>
        </w:rPr>
        <w:tab/>
      </w:r>
      <w:r>
        <w:rPr>
          <w:noProof/>
        </w:rPr>
        <w:fldChar w:fldCharType="begin"/>
      </w:r>
      <w:r>
        <w:rPr>
          <w:noProof/>
        </w:rPr>
        <w:instrText xml:space="preserve"> PAGEREF _Toc282871315 \h </w:instrText>
      </w:r>
      <w:r>
        <w:rPr>
          <w:noProof/>
        </w:rPr>
      </w:r>
      <w:r>
        <w:rPr>
          <w:noProof/>
        </w:rPr>
        <w:fldChar w:fldCharType="separate"/>
      </w:r>
      <w:r>
        <w:rPr>
          <w:noProof/>
        </w:rPr>
        <w:t>6</w:t>
      </w:r>
      <w:r>
        <w:rPr>
          <w:noProof/>
        </w:rPr>
        <w:fldChar w:fldCharType="end"/>
      </w:r>
    </w:p>
    <w:p w14:paraId="7598B89E" w14:textId="77777777" w:rsidR="000010F1" w:rsidRDefault="000010F1">
      <w:pPr>
        <w:pStyle w:val="TOC1"/>
        <w:tabs>
          <w:tab w:val="left" w:pos="368"/>
        </w:tabs>
        <w:rPr>
          <w:rFonts w:asciiTheme="minorHAnsi" w:eastAsiaTheme="minorEastAsia" w:hAnsiTheme="minorHAnsi" w:cstheme="minorBidi"/>
          <w:b w:val="0"/>
          <w:noProof/>
          <w:spacing w:val="0"/>
          <w:szCs w:val="24"/>
          <w:lang w:eastAsia="ja-JP"/>
        </w:rPr>
      </w:pPr>
      <w:r>
        <w:rPr>
          <w:noProof/>
        </w:rPr>
        <w:t>3</w:t>
      </w:r>
      <w:r>
        <w:rPr>
          <w:rFonts w:asciiTheme="minorHAnsi" w:eastAsiaTheme="minorEastAsia" w:hAnsiTheme="minorHAnsi" w:cstheme="minorBidi"/>
          <w:b w:val="0"/>
          <w:noProof/>
          <w:spacing w:val="0"/>
          <w:szCs w:val="24"/>
          <w:lang w:eastAsia="ja-JP"/>
        </w:rPr>
        <w:tab/>
      </w:r>
      <w:r>
        <w:rPr>
          <w:noProof/>
        </w:rPr>
        <w:t>Legislative framework</w:t>
      </w:r>
      <w:r>
        <w:rPr>
          <w:noProof/>
        </w:rPr>
        <w:tab/>
      </w:r>
      <w:r>
        <w:rPr>
          <w:noProof/>
        </w:rPr>
        <w:fldChar w:fldCharType="begin"/>
      </w:r>
      <w:r>
        <w:rPr>
          <w:noProof/>
        </w:rPr>
        <w:instrText xml:space="preserve"> PAGEREF _Toc282871316 \h </w:instrText>
      </w:r>
      <w:r>
        <w:rPr>
          <w:noProof/>
        </w:rPr>
      </w:r>
      <w:r>
        <w:rPr>
          <w:noProof/>
        </w:rPr>
        <w:fldChar w:fldCharType="separate"/>
      </w:r>
      <w:r>
        <w:rPr>
          <w:noProof/>
        </w:rPr>
        <w:t>7</w:t>
      </w:r>
      <w:r>
        <w:rPr>
          <w:noProof/>
        </w:rPr>
        <w:fldChar w:fldCharType="end"/>
      </w:r>
    </w:p>
    <w:p w14:paraId="7EEF7A35" w14:textId="77777777" w:rsidR="000010F1" w:rsidRDefault="000010F1">
      <w:pPr>
        <w:pStyle w:val="TOC2"/>
        <w:tabs>
          <w:tab w:val="left" w:pos="797"/>
          <w:tab w:val="right" w:leader="dot" w:pos="9060"/>
        </w:tabs>
        <w:rPr>
          <w:rFonts w:asciiTheme="minorHAnsi" w:eastAsiaTheme="minorEastAsia" w:hAnsiTheme="minorHAnsi" w:cstheme="minorBidi"/>
          <w:b w:val="0"/>
          <w:i w:val="0"/>
          <w:noProof/>
          <w:spacing w:val="0"/>
          <w:szCs w:val="24"/>
          <w:lang w:eastAsia="ja-JP"/>
        </w:rPr>
      </w:pPr>
      <w:r>
        <w:rPr>
          <w:noProof/>
        </w:rPr>
        <w:t>3.1</w:t>
      </w:r>
      <w:r>
        <w:rPr>
          <w:rFonts w:asciiTheme="minorHAnsi" w:eastAsiaTheme="minorEastAsia" w:hAnsiTheme="minorHAnsi" w:cstheme="minorBidi"/>
          <w:b w:val="0"/>
          <w:i w:val="0"/>
          <w:noProof/>
          <w:spacing w:val="0"/>
          <w:szCs w:val="24"/>
          <w:lang w:eastAsia="ja-JP"/>
        </w:rPr>
        <w:tab/>
      </w:r>
      <w:r>
        <w:rPr>
          <w:noProof/>
        </w:rPr>
        <w:t>Functions of the Commission</w:t>
      </w:r>
      <w:r>
        <w:rPr>
          <w:noProof/>
        </w:rPr>
        <w:tab/>
      </w:r>
      <w:r>
        <w:rPr>
          <w:noProof/>
        </w:rPr>
        <w:fldChar w:fldCharType="begin"/>
      </w:r>
      <w:r>
        <w:rPr>
          <w:noProof/>
        </w:rPr>
        <w:instrText xml:space="preserve"> PAGEREF _Toc282871317 \h </w:instrText>
      </w:r>
      <w:r>
        <w:rPr>
          <w:noProof/>
        </w:rPr>
      </w:r>
      <w:r>
        <w:rPr>
          <w:noProof/>
        </w:rPr>
        <w:fldChar w:fldCharType="separate"/>
      </w:r>
      <w:r>
        <w:rPr>
          <w:noProof/>
        </w:rPr>
        <w:t>7</w:t>
      </w:r>
      <w:r>
        <w:rPr>
          <w:noProof/>
        </w:rPr>
        <w:fldChar w:fldCharType="end"/>
      </w:r>
    </w:p>
    <w:p w14:paraId="44304A5A" w14:textId="252EAB24" w:rsidR="000010F1" w:rsidRDefault="000010F1">
      <w:pPr>
        <w:pStyle w:val="TOC2"/>
        <w:tabs>
          <w:tab w:val="left" w:pos="797"/>
          <w:tab w:val="right" w:leader="dot" w:pos="9060"/>
        </w:tabs>
        <w:rPr>
          <w:rFonts w:asciiTheme="minorHAnsi" w:eastAsiaTheme="minorEastAsia" w:hAnsiTheme="minorHAnsi" w:cstheme="minorBidi"/>
          <w:b w:val="0"/>
          <w:i w:val="0"/>
          <w:noProof/>
          <w:spacing w:val="0"/>
          <w:szCs w:val="24"/>
          <w:lang w:eastAsia="ja-JP"/>
        </w:rPr>
      </w:pPr>
      <w:r>
        <w:rPr>
          <w:noProof/>
        </w:rPr>
        <w:t>3.2</w:t>
      </w:r>
      <w:r>
        <w:rPr>
          <w:rFonts w:asciiTheme="minorHAnsi" w:eastAsiaTheme="minorEastAsia" w:hAnsiTheme="minorHAnsi" w:cstheme="minorBidi"/>
          <w:b w:val="0"/>
          <w:i w:val="0"/>
          <w:noProof/>
          <w:spacing w:val="0"/>
          <w:szCs w:val="24"/>
          <w:lang w:eastAsia="ja-JP"/>
        </w:rPr>
        <w:tab/>
      </w:r>
      <w:r>
        <w:rPr>
          <w:noProof/>
        </w:rPr>
        <w:t>What is an ‘act’ or ‘practice’</w:t>
      </w:r>
      <w:r w:rsidR="00912E30">
        <w:rPr>
          <w:noProof/>
        </w:rPr>
        <w:t>?</w:t>
      </w:r>
      <w:r>
        <w:rPr>
          <w:noProof/>
        </w:rPr>
        <w:tab/>
      </w:r>
      <w:r>
        <w:rPr>
          <w:noProof/>
        </w:rPr>
        <w:fldChar w:fldCharType="begin"/>
      </w:r>
      <w:r>
        <w:rPr>
          <w:noProof/>
        </w:rPr>
        <w:instrText xml:space="preserve"> PAGEREF _Toc282871318 \h </w:instrText>
      </w:r>
      <w:r>
        <w:rPr>
          <w:noProof/>
        </w:rPr>
      </w:r>
      <w:r>
        <w:rPr>
          <w:noProof/>
        </w:rPr>
        <w:fldChar w:fldCharType="separate"/>
      </w:r>
      <w:r>
        <w:rPr>
          <w:noProof/>
        </w:rPr>
        <w:t>7</w:t>
      </w:r>
      <w:r>
        <w:rPr>
          <w:noProof/>
        </w:rPr>
        <w:fldChar w:fldCharType="end"/>
      </w:r>
    </w:p>
    <w:p w14:paraId="0BA1255B" w14:textId="77777777" w:rsidR="000010F1" w:rsidRDefault="000010F1">
      <w:pPr>
        <w:pStyle w:val="TOC2"/>
        <w:tabs>
          <w:tab w:val="left" w:pos="797"/>
          <w:tab w:val="right" w:leader="dot" w:pos="9060"/>
        </w:tabs>
        <w:rPr>
          <w:rFonts w:asciiTheme="minorHAnsi" w:eastAsiaTheme="minorEastAsia" w:hAnsiTheme="minorHAnsi" w:cstheme="minorBidi"/>
          <w:b w:val="0"/>
          <w:i w:val="0"/>
          <w:noProof/>
          <w:spacing w:val="0"/>
          <w:szCs w:val="24"/>
          <w:lang w:eastAsia="ja-JP"/>
        </w:rPr>
      </w:pPr>
      <w:r>
        <w:rPr>
          <w:noProof/>
        </w:rPr>
        <w:t>3.3</w:t>
      </w:r>
      <w:r>
        <w:rPr>
          <w:rFonts w:asciiTheme="minorHAnsi" w:eastAsiaTheme="minorEastAsia" w:hAnsiTheme="minorHAnsi" w:cstheme="minorBidi"/>
          <w:b w:val="0"/>
          <w:i w:val="0"/>
          <w:noProof/>
          <w:spacing w:val="0"/>
          <w:szCs w:val="24"/>
          <w:lang w:eastAsia="ja-JP"/>
        </w:rPr>
        <w:tab/>
      </w:r>
      <w:r>
        <w:rPr>
          <w:noProof/>
        </w:rPr>
        <w:t>What is a human right?</w:t>
      </w:r>
      <w:r>
        <w:rPr>
          <w:noProof/>
        </w:rPr>
        <w:tab/>
      </w:r>
      <w:r>
        <w:rPr>
          <w:noProof/>
        </w:rPr>
        <w:fldChar w:fldCharType="begin"/>
      </w:r>
      <w:r>
        <w:rPr>
          <w:noProof/>
        </w:rPr>
        <w:instrText xml:space="preserve"> PAGEREF _Toc282871319 \h </w:instrText>
      </w:r>
      <w:r>
        <w:rPr>
          <w:noProof/>
        </w:rPr>
      </w:r>
      <w:r>
        <w:rPr>
          <w:noProof/>
        </w:rPr>
        <w:fldChar w:fldCharType="separate"/>
      </w:r>
      <w:r>
        <w:rPr>
          <w:noProof/>
        </w:rPr>
        <w:t>8</w:t>
      </w:r>
      <w:r>
        <w:rPr>
          <w:noProof/>
        </w:rPr>
        <w:fldChar w:fldCharType="end"/>
      </w:r>
    </w:p>
    <w:p w14:paraId="4022D28D" w14:textId="77777777" w:rsidR="000010F1" w:rsidRDefault="000010F1">
      <w:pPr>
        <w:pStyle w:val="TOC1"/>
        <w:tabs>
          <w:tab w:val="left" w:pos="368"/>
        </w:tabs>
        <w:rPr>
          <w:rFonts w:asciiTheme="minorHAnsi" w:eastAsiaTheme="minorEastAsia" w:hAnsiTheme="minorHAnsi" w:cstheme="minorBidi"/>
          <w:b w:val="0"/>
          <w:noProof/>
          <w:spacing w:val="0"/>
          <w:szCs w:val="24"/>
          <w:lang w:eastAsia="ja-JP"/>
        </w:rPr>
      </w:pPr>
      <w:r>
        <w:rPr>
          <w:noProof/>
        </w:rPr>
        <w:t>4</w:t>
      </w:r>
      <w:r>
        <w:rPr>
          <w:rFonts w:asciiTheme="minorHAnsi" w:eastAsiaTheme="minorEastAsia" w:hAnsiTheme="minorHAnsi" w:cstheme="minorBidi"/>
          <w:b w:val="0"/>
          <w:noProof/>
          <w:spacing w:val="0"/>
          <w:szCs w:val="24"/>
          <w:lang w:eastAsia="ja-JP"/>
        </w:rPr>
        <w:tab/>
      </w:r>
      <w:r>
        <w:rPr>
          <w:noProof/>
        </w:rPr>
        <w:t>Act or practice of the Commonwealth?</w:t>
      </w:r>
      <w:r>
        <w:rPr>
          <w:noProof/>
        </w:rPr>
        <w:tab/>
      </w:r>
      <w:r>
        <w:rPr>
          <w:noProof/>
        </w:rPr>
        <w:fldChar w:fldCharType="begin"/>
      </w:r>
      <w:r>
        <w:rPr>
          <w:noProof/>
        </w:rPr>
        <w:instrText xml:space="preserve"> PAGEREF _Toc282871320 \h </w:instrText>
      </w:r>
      <w:r>
        <w:rPr>
          <w:noProof/>
        </w:rPr>
      </w:r>
      <w:r>
        <w:rPr>
          <w:noProof/>
        </w:rPr>
        <w:fldChar w:fldCharType="separate"/>
      </w:r>
      <w:r>
        <w:rPr>
          <w:noProof/>
        </w:rPr>
        <w:t>8</w:t>
      </w:r>
      <w:r>
        <w:rPr>
          <w:noProof/>
        </w:rPr>
        <w:fldChar w:fldCharType="end"/>
      </w:r>
    </w:p>
    <w:p w14:paraId="12F4316F" w14:textId="77777777" w:rsidR="000010F1" w:rsidRDefault="000010F1">
      <w:pPr>
        <w:pStyle w:val="TOC1"/>
        <w:tabs>
          <w:tab w:val="left" w:pos="368"/>
        </w:tabs>
        <w:rPr>
          <w:rFonts w:asciiTheme="minorHAnsi" w:eastAsiaTheme="minorEastAsia" w:hAnsiTheme="minorHAnsi" w:cstheme="minorBidi"/>
          <w:b w:val="0"/>
          <w:noProof/>
          <w:spacing w:val="0"/>
          <w:szCs w:val="24"/>
          <w:lang w:eastAsia="ja-JP"/>
        </w:rPr>
      </w:pPr>
      <w:r>
        <w:rPr>
          <w:noProof/>
        </w:rPr>
        <w:t>5</w:t>
      </w:r>
      <w:r>
        <w:rPr>
          <w:rFonts w:asciiTheme="minorHAnsi" w:eastAsiaTheme="minorEastAsia" w:hAnsiTheme="minorHAnsi" w:cstheme="minorBidi"/>
          <w:b w:val="0"/>
          <w:noProof/>
          <w:spacing w:val="0"/>
          <w:szCs w:val="24"/>
          <w:lang w:eastAsia="ja-JP"/>
        </w:rPr>
        <w:tab/>
      </w:r>
      <w:r>
        <w:rPr>
          <w:noProof/>
        </w:rPr>
        <w:t>Arbitrary detention</w:t>
      </w:r>
      <w:r>
        <w:rPr>
          <w:noProof/>
        </w:rPr>
        <w:tab/>
      </w:r>
      <w:r>
        <w:rPr>
          <w:noProof/>
        </w:rPr>
        <w:fldChar w:fldCharType="begin"/>
      </w:r>
      <w:r>
        <w:rPr>
          <w:noProof/>
        </w:rPr>
        <w:instrText xml:space="preserve"> PAGEREF _Toc282871321 \h </w:instrText>
      </w:r>
      <w:r>
        <w:rPr>
          <w:noProof/>
        </w:rPr>
      </w:r>
      <w:r>
        <w:rPr>
          <w:noProof/>
        </w:rPr>
        <w:fldChar w:fldCharType="separate"/>
      </w:r>
      <w:r>
        <w:rPr>
          <w:noProof/>
        </w:rPr>
        <w:t>9</w:t>
      </w:r>
      <w:r>
        <w:rPr>
          <w:noProof/>
        </w:rPr>
        <w:fldChar w:fldCharType="end"/>
      </w:r>
    </w:p>
    <w:p w14:paraId="3D192A5E" w14:textId="77777777" w:rsidR="000010F1" w:rsidRDefault="000010F1">
      <w:pPr>
        <w:pStyle w:val="TOC2"/>
        <w:tabs>
          <w:tab w:val="left" w:pos="797"/>
          <w:tab w:val="right" w:leader="dot" w:pos="9060"/>
        </w:tabs>
        <w:rPr>
          <w:rFonts w:asciiTheme="minorHAnsi" w:eastAsiaTheme="minorEastAsia" w:hAnsiTheme="minorHAnsi" w:cstheme="minorBidi"/>
          <w:b w:val="0"/>
          <w:i w:val="0"/>
          <w:noProof/>
          <w:spacing w:val="0"/>
          <w:szCs w:val="24"/>
          <w:lang w:eastAsia="ja-JP"/>
        </w:rPr>
      </w:pPr>
      <w:r>
        <w:rPr>
          <w:noProof/>
        </w:rPr>
        <w:t>5.1</w:t>
      </w:r>
      <w:r>
        <w:rPr>
          <w:rFonts w:asciiTheme="minorHAnsi" w:eastAsiaTheme="minorEastAsia" w:hAnsiTheme="minorHAnsi" w:cstheme="minorBidi"/>
          <w:b w:val="0"/>
          <w:i w:val="0"/>
          <w:noProof/>
          <w:spacing w:val="0"/>
          <w:szCs w:val="24"/>
          <w:lang w:eastAsia="ja-JP"/>
        </w:rPr>
        <w:tab/>
      </w:r>
      <w:r>
        <w:rPr>
          <w:noProof/>
        </w:rPr>
        <w:t>Law</w:t>
      </w:r>
      <w:r>
        <w:rPr>
          <w:noProof/>
        </w:rPr>
        <w:tab/>
      </w:r>
      <w:r>
        <w:rPr>
          <w:noProof/>
        </w:rPr>
        <w:fldChar w:fldCharType="begin"/>
      </w:r>
      <w:r>
        <w:rPr>
          <w:noProof/>
        </w:rPr>
        <w:instrText xml:space="preserve"> PAGEREF _Toc282871322 \h </w:instrText>
      </w:r>
      <w:r>
        <w:rPr>
          <w:noProof/>
        </w:rPr>
      </w:r>
      <w:r>
        <w:rPr>
          <w:noProof/>
        </w:rPr>
        <w:fldChar w:fldCharType="separate"/>
      </w:r>
      <w:r>
        <w:rPr>
          <w:noProof/>
        </w:rPr>
        <w:t>9</w:t>
      </w:r>
      <w:r>
        <w:rPr>
          <w:noProof/>
        </w:rPr>
        <w:fldChar w:fldCharType="end"/>
      </w:r>
    </w:p>
    <w:p w14:paraId="097B3716" w14:textId="77777777" w:rsidR="000010F1" w:rsidRDefault="000010F1">
      <w:pPr>
        <w:pStyle w:val="TOC2"/>
        <w:tabs>
          <w:tab w:val="left" w:pos="797"/>
          <w:tab w:val="right" w:leader="dot" w:pos="9060"/>
        </w:tabs>
        <w:rPr>
          <w:rFonts w:asciiTheme="minorHAnsi" w:eastAsiaTheme="minorEastAsia" w:hAnsiTheme="minorHAnsi" w:cstheme="minorBidi"/>
          <w:b w:val="0"/>
          <w:i w:val="0"/>
          <w:noProof/>
          <w:spacing w:val="0"/>
          <w:szCs w:val="24"/>
          <w:lang w:eastAsia="ja-JP"/>
        </w:rPr>
      </w:pPr>
      <w:r>
        <w:rPr>
          <w:noProof/>
        </w:rPr>
        <w:t>5.2</w:t>
      </w:r>
      <w:r>
        <w:rPr>
          <w:rFonts w:asciiTheme="minorHAnsi" w:eastAsiaTheme="minorEastAsia" w:hAnsiTheme="minorHAnsi" w:cstheme="minorBidi"/>
          <w:b w:val="0"/>
          <w:i w:val="0"/>
          <w:noProof/>
          <w:spacing w:val="0"/>
          <w:szCs w:val="24"/>
          <w:lang w:eastAsia="ja-JP"/>
        </w:rPr>
        <w:tab/>
      </w:r>
      <w:r>
        <w:rPr>
          <w:noProof/>
        </w:rPr>
        <w:t>The Department’s response</w:t>
      </w:r>
      <w:r>
        <w:rPr>
          <w:noProof/>
        </w:rPr>
        <w:tab/>
      </w:r>
      <w:r>
        <w:rPr>
          <w:noProof/>
        </w:rPr>
        <w:fldChar w:fldCharType="begin"/>
      </w:r>
      <w:r>
        <w:rPr>
          <w:noProof/>
        </w:rPr>
        <w:instrText xml:space="preserve"> PAGEREF _Toc282871323 \h </w:instrText>
      </w:r>
      <w:r>
        <w:rPr>
          <w:noProof/>
        </w:rPr>
      </w:r>
      <w:r>
        <w:rPr>
          <w:noProof/>
        </w:rPr>
        <w:fldChar w:fldCharType="separate"/>
      </w:r>
      <w:r>
        <w:rPr>
          <w:noProof/>
        </w:rPr>
        <w:t>10</w:t>
      </w:r>
      <w:r>
        <w:rPr>
          <w:noProof/>
        </w:rPr>
        <w:fldChar w:fldCharType="end"/>
      </w:r>
    </w:p>
    <w:p w14:paraId="56FCFFC9" w14:textId="77777777" w:rsidR="000010F1" w:rsidRDefault="000010F1">
      <w:pPr>
        <w:pStyle w:val="TOC2"/>
        <w:tabs>
          <w:tab w:val="left" w:pos="797"/>
          <w:tab w:val="right" w:leader="dot" w:pos="9060"/>
        </w:tabs>
        <w:rPr>
          <w:rFonts w:asciiTheme="minorHAnsi" w:eastAsiaTheme="minorEastAsia" w:hAnsiTheme="minorHAnsi" w:cstheme="minorBidi"/>
          <w:b w:val="0"/>
          <w:i w:val="0"/>
          <w:noProof/>
          <w:spacing w:val="0"/>
          <w:szCs w:val="24"/>
          <w:lang w:eastAsia="ja-JP"/>
        </w:rPr>
      </w:pPr>
      <w:r>
        <w:rPr>
          <w:noProof/>
        </w:rPr>
        <w:t>5.3</w:t>
      </w:r>
      <w:r>
        <w:rPr>
          <w:rFonts w:asciiTheme="minorHAnsi" w:eastAsiaTheme="minorEastAsia" w:hAnsiTheme="minorHAnsi" w:cstheme="minorBidi"/>
          <w:b w:val="0"/>
          <w:i w:val="0"/>
          <w:noProof/>
          <w:spacing w:val="0"/>
          <w:szCs w:val="24"/>
          <w:lang w:eastAsia="ja-JP"/>
        </w:rPr>
        <w:tab/>
      </w:r>
      <w:r>
        <w:rPr>
          <w:noProof/>
        </w:rPr>
        <w:t>Mr Tapara’s risk to the Australian community</w:t>
      </w:r>
      <w:r>
        <w:rPr>
          <w:noProof/>
        </w:rPr>
        <w:tab/>
      </w:r>
      <w:r>
        <w:rPr>
          <w:noProof/>
        </w:rPr>
        <w:fldChar w:fldCharType="begin"/>
      </w:r>
      <w:r>
        <w:rPr>
          <w:noProof/>
        </w:rPr>
        <w:instrText xml:space="preserve"> PAGEREF _Toc282871324 \h </w:instrText>
      </w:r>
      <w:r>
        <w:rPr>
          <w:noProof/>
        </w:rPr>
      </w:r>
      <w:r>
        <w:rPr>
          <w:noProof/>
        </w:rPr>
        <w:fldChar w:fldCharType="separate"/>
      </w:r>
      <w:r>
        <w:rPr>
          <w:noProof/>
        </w:rPr>
        <w:t>10</w:t>
      </w:r>
      <w:r>
        <w:rPr>
          <w:noProof/>
        </w:rPr>
        <w:fldChar w:fldCharType="end"/>
      </w:r>
    </w:p>
    <w:p w14:paraId="42EDB615" w14:textId="77777777" w:rsidR="000010F1" w:rsidRDefault="000010F1">
      <w:pPr>
        <w:pStyle w:val="TOC2"/>
        <w:tabs>
          <w:tab w:val="left" w:pos="797"/>
          <w:tab w:val="right" w:leader="dot" w:pos="9060"/>
        </w:tabs>
        <w:rPr>
          <w:rFonts w:asciiTheme="minorHAnsi" w:eastAsiaTheme="minorEastAsia" w:hAnsiTheme="minorHAnsi" w:cstheme="minorBidi"/>
          <w:b w:val="0"/>
          <w:i w:val="0"/>
          <w:noProof/>
          <w:spacing w:val="0"/>
          <w:szCs w:val="24"/>
          <w:lang w:eastAsia="ja-JP"/>
        </w:rPr>
      </w:pPr>
      <w:r>
        <w:rPr>
          <w:noProof/>
        </w:rPr>
        <w:t>5.4</w:t>
      </w:r>
      <w:r>
        <w:rPr>
          <w:rFonts w:asciiTheme="minorHAnsi" w:eastAsiaTheme="minorEastAsia" w:hAnsiTheme="minorHAnsi" w:cstheme="minorBidi"/>
          <w:b w:val="0"/>
          <w:i w:val="0"/>
          <w:noProof/>
          <w:spacing w:val="0"/>
          <w:szCs w:val="24"/>
          <w:lang w:eastAsia="ja-JP"/>
        </w:rPr>
        <w:tab/>
      </w:r>
      <w:r>
        <w:rPr>
          <w:noProof/>
        </w:rPr>
        <w:t>Finding</w:t>
      </w:r>
      <w:r>
        <w:rPr>
          <w:noProof/>
        </w:rPr>
        <w:tab/>
      </w:r>
      <w:r>
        <w:rPr>
          <w:noProof/>
        </w:rPr>
        <w:fldChar w:fldCharType="begin"/>
      </w:r>
      <w:r>
        <w:rPr>
          <w:noProof/>
        </w:rPr>
        <w:instrText xml:space="preserve"> PAGEREF _Toc282871325 \h </w:instrText>
      </w:r>
      <w:r>
        <w:rPr>
          <w:noProof/>
        </w:rPr>
      </w:r>
      <w:r>
        <w:rPr>
          <w:noProof/>
        </w:rPr>
        <w:fldChar w:fldCharType="separate"/>
      </w:r>
      <w:r>
        <w:rPr>
          <w:noProof/>
        </w:rPr>
        <w:t>11</w:t>
      </w:r>
      <w:r>
        <w:rPr>
          <w:noProof/>
        </w:rPr>
        <w:fldChar w:fldCharType="end"/>
      </w:r>
    </w:p>
    <w:p w14:paraId="346F2B55" w14:textId="77777777" w:rsidR="000010F1" w:rsidRDefault="000010F1">
      <w:pPr>
        <w:pStyle w:val="TOC1"/>
        <w:tabs>
          <w:tab w:val="left" w:pos="368"/>
        </w:tabs>
        <w:rPr>
          <w:rFonts w:asciiTheme="minorHAnsi" w:eastAsiaTheme="minorEastAsia" w:hAnsiTheme="minorHAnsi" w:cstheme="minorBidi"/>
          <w:b w:val="0"/>
          <w:noProof/>
          <w:spacing w:val="0"/>
          <w:szCs w:val="24"/>
          <w:lang w:eastAsia="ja-JP"/>
        </w:rPr>
      </w:pPr>
      <w:r>
        <w:rPr>
          <w:noProof/>
        </w:rPr>
        <w:t>6</w:t>
      </w:r>
      <w:r>
        <w:rPr>
          <w:rFonts w:asciiTheme="minorHAnsi" w:eastAsiaTheme="minorEastAsia" w:hAnsiTheme="minorHAnsi" w:cstheme="minorBidi"/>
          <w:b w:val="0"/>
          <w:noProof/>
          <w:spacing w:val="0"/>
          <w:szCs w:val="24"/>
          <w:lang w:eastAsia="ja-JP"/>
        </w:rPr>
        <w:tab/>
      </w:r>
      <w:r>
        <w:rPr>
          <w:noProof/>
        </w:rPr>
        <w:t>Interference with family</w:t>
      </w:r>
      <w:r>
        <w:rPr>
          <w:noProof/>
        </w:rPr>
        <w:tab/>
      </w:r>
      <w:r>
        <w:rPr>
          <w:noProof/>
        </w:rPr>
        <w:fldChar w:fldCharType="begin"/>
      </w:r>
      <w:r>
        <w:rPr>
          <w:noProof/>
        </w:rPr>
        <w:instrText xml:space="preserve"> PAGEREF _Toc282871326 \h </w:instrText>
      </w:r>
      <w:r>
        <w:rPr>
          <w:noProof/>
        </w:rPr>
      </w:r>
      <w:r>
        <w:rPr>
          <w:noProof/>
        </w:rPr>
        <w:fldChar w:fldCharType="separate"/>
      </w:r>
      <w:r>
        <w:rPr>
          <w:noProof/>
        </w:rPr>
        <w:t>12</w:t>
      </w:r>
      <w:r>
        <w:rPr>
          <w:noProof/>
        </w:rPr>
        <w:fldChar w:fldCharType="end"/>
      </w:r>
    </w:p>
    <w:p w14:paraId="27DE1E58" w14:textId="77777777" w:rsidR="000010F1" w:rsidRDefault="000010F1">
      <w:pPr>
        <w:pStyle w:val="TOC2"/>
        <w:tabs>
          <w:tab w:val="left" w:pos="797"/>
          <w:tab w:val="right" w:leader="dot" w:pos="9060"/>
        </w:tabs>
        <w:rPr>
          <w:rFonts w:asciiTheme="minorHAnsi" w:eastAsiaTheme="minorEastAsia" w:hAnsiTheme="minorHAnsi" w:cstheme="minorBidi"/>
          <w:b w:val="0"/>
          <w:i w:val="0"/>
          <w:noProof/>
          <w:spacing w:val="0"/>
          <w:szCs w:val="24"/>
          <w:lang w:eastAsia="ja-JP"/>
        </w:rPr>
      </w:pPr>
      <w:r>
        <w:rPr>
          <w:noProof/>
        </w:rPr>
        <w:t>6.1</w:t>
      </w:r>
      <w:r>
        <w:rPr>
          <w:rFonts w:asciiTheme="minorHAnsi" w:eastAsiaTheme="minorEastAsia" w:hAnsiTheme="minorHAnsi" w:cstheme="minorBidi"/>
          <w:b w:val="0"/>
          <w:i w:val="0"/>
          <w:noProof/>
          <w:spacing w:val="0"/>
          <w:szCs w:val="24"/>
          <w:lang w:eastAsia="ja-JP"/>
        </w:rPr>
        <w:tab/>
      </w:r>
      <w:r>
        <w:rPr>
          <w:noProof/>
        </w:rPr>
        <w:t>The Department’s response</w:t>
      </w:r>
      <w:r>
        <w:rPr>
          <w:noProof/>
        </w:rPr>
        <w:tab/>
      </w:r>
      <w:r>
        <w:rPr>
          <w:noProof/>
        </w:rPr>
        <w:fldChar w:fldCharType="begin"/>
      </w:r>
      <w:r>
        <w:rPr>
          <w:noProof/>
        </w:rPr>
        <w:instrText xml:space="preserve"> PAGEREF _Toc282871327 \h </w:instrText>
      </w:r>
      <w:r>
        <w:rPr>
          <w:noProof/>
        </w:rPr>
      </w:r>
      <w:r>
        <w:rPr>
          <w:noProof/>
        </w:rPr>
        <w:fldChar w:fldCharType="separate"/>
      </w:r>
      <w:r>
        <w:rPr>
          <w:noProof/>
        </w:rPr>
        <w:t>12</w:t>
      </w:r>
      <w:r>
        <w:rPr>
          <w:noProof/>
        </w:rPr>
        <w:fldChar w:fldCharType="end"/>
      </w:r>
    </w:p>
    <w:p w14:paraId="0F3ECDDE" w14:textId="77777777" w:rsidR="000010F1" w:rsidRDefault="000010F1">
      <w:pPr>
        <w:pStyle w:val="TOC2"/>
        <w:tabs>
          <w:tab w:val="left" w:pos="797"/>
          <w:tab w:val="right" w:leader="dot" w:pos="9060"/>
        </w:tabs>
        <w:rPr>
          <w:rFonts w:asciiTheme="minorHAnsi" w:eastAsiaTheme="minorEastAsia" w:hAnsiTheme="minorHAnsi" w:cstheme="minorBidi"/>
          <w:b w:val="0"/>
          <w:i w:val="0"/>
          <w:noProof/>
          <w:spacing w:val="0"/>
          <w:szCs w:val="24"/>
          <w:lang w:eastAsia="ja-JP"/>
        </w:rPr>
      </w:pPr>
      <w:r>
        <w:rPr>
          <w:noProof/>
        </w:rPr>
        <w:t>6.2</w:t>
      </w:r>
      <w:r>
        <w:rPr>
          <w:rFonts w:asciiTheme="minorHAnsi" w:eastAsiaTheme="minorEastAsia" w:hAnsiTheme="minorHAnsi" w:cstheme="minorBidi"/>
          <w:b w:val="0"/>
          <w:i w:val="0"/>
          <w:noProof/>
          <w:spacing w:val="0"/>
          <w:szCs w:val="24"/>
          <w:lang w:eastAsia="ja-JP"/>
        </w:rPr>
        <w:tab/>
      </w:r>
      <w:r>
        <w:rPr>
          <w:noProof/>
        </w:rPr>
        <w:t>Finding</w:t>
      </w:r>
      <w:r>
        <w:rPr>
          <w:noProof/>
        </w:rPr>
        <w:tab/>
      </w:r>
      <w:r>
        <w:rPr>
          <w:noProof/>
        </w:rPr>
        <w:fldChar w:fldCharType="begin"/>
      </w:r>
      <w:r>
        <w:rPr>
          <w:noProof/>
        </w:rPr>
        <w:instrText xml:space="preserve"> PAGEREF _Toc282871328 \h </w:instrText>
      </w:r>
      <w:r>
        <w:rPr>
          <w:noProof/>
        </w:rPr>
      </w:r>
      <w:r>
        <w:rPr>
          <w:noProof/>
        </w:rPr>
        <w:fldChar w:fldCharType="separate"/>
      </w:r>
      <w:r>
        <w:rPr>
          <w:noProof/>
        </w:rPr>
        <w:t>13</w:t>
      </w:r>
      <w:r>
        <w:rPr>
          <w:noProof/>
        </w:rPr>
        <w:fldChar w:fldCharType="end"/>
      </w:r>
    </w:p>
    <w:p w14:paraId="776C8474" w14:textId="77777777" w:rsidR="000010F1" w:rsidRDefault="000010F1">
      <w:pPr>
        <w:pStyle w:val="TOC2"/>
        <w:tabs>
          <w:tab w:val="left" w:pos="797"/>
          <w:tab w:val="right" w:leader="dot" w:pos="9060"/>
        </w:tabs>
        <w:rPr>
          <w:rFonts w:asciiTheme="minorHAnsi" w:eastAsiaTheme="minorEastAsia" w:hAnsiTheme="minorHAnsi" w:cstheme="minorBidi"/>
          <w:b w:val="0"/>
          <w:i w:val="0"/>
          <w:noProof/>
          <w:spacing w:val="0"/>
          <w:szCs w:val="24"/>
          <w:lang w:eastAsia="ja-JP"/>
        </w:rPr>
      </w:pPr>
      <w:r>
        <w:rPr>
          <w:noProof/>
        </w:rPr>
        <w:t>6.3</w:t>
      </w:r>
      <w:r>
        <w:rPr>
          <w:rFonts w:asciiTheme="minorHAnsi" w:eastAsiaTheme="minorEastAsia" w:hAnsiTheme="minorHAnsi" w:cstheme="minorBidi"/>
          <w:b w:val="0"/>
          <w:i w:val="0"/>
          <w:noProof/>
          <w:spacing w:val="0"/>
          <w:szCs w:val="24"/>
          <w:lang w:eastAsia="ja-JP"/>
        </w:rPr>
        <w:tab/>
      </w:r>
      <w:r>
        <w:rPr>
          <w:noProof/>
        </w:rPr>
        <w:t>Failure to attend funeral on 22 February 2012</w:t>
      </w:r>
      <w:r>
        <w:rPr>
          <w:noProof/>
        </w:rPr>
        <w:tab/>
      </w:r>
      <w:r>
        <w:rPr>
          <w:noProof/>
        </w:rPr>
        <w:fldChar w:fldCharType="begin"/>
      </w:r>
      <w:r>
        <w:rPr>
          <w:noProof/>
        </w:rPr>
        <w:instrText xml:space="preserve"> PAGEREF _Toc282871329 \h </w:instrText>
      </w:r>
      <w:r>
        <w:rPr>
          <w:noProof/>
        </w:rPr>
      </w:r>
      <w:r>
        <w:rPr>
          <w:noProof/>
        </w:rPr>
        <w:fldChar w:fldCharType="separate"/>
      </w:r>
      <w:r>
        <w:rPr>
          <w:noProof/>
        </w:rPr>
        <w:t>14</w:t>
      </w:r>
      <w:r>
        <w:rPr>
          <w:noProof/>
        </w:rPr>
        <w:fldChar w:fldCharType="end"/>
      </w:r>
    </w:p>
    <w:p w14:paraId="192248EF" w14:textId="77777777" w:rsidR="000010F1" w:rsidRDefault="000010F1">
      <w:pPr>
        <w:pStyle w:val="TOC1"/>
        <w:tabs>
          <w:tab w:val="left" w:pos="368"/>
        </w:tabs>
        <w:rPr>
          <w:rFonts w:asciiTheme="minorHAnsi" w:eastAsiaTheme="minorEastAsia" w:hAnsiTheme="minorHAnsi" w:cstheme="minorBidi"/>
          <w:b w:val="0"/>
          <w:noProof/>
          <w:spacing w:val="0"/>
          <w:szCs w:val="24"/>
          <w:lang w:eastAsia="ja-JP"/>
        </w:rPr>
      </w:pPr>
      <w:r>
        <w:rPr>
          <w:noProof/>
        </w:rPr>
        <w:t>7</w:t>
      </w:r>
      <w:r>
        <w:rPr>
          <w:rFonts w:asciiTheme="minorHAnsi" w:eastAsiaTheme="minorEastAsia" w:hAnsiTheme="minorHAnsi" w:cstheme="minorBidi"/>
          <w:b w:val="0"/>
          <w:noProof/>
          <w:spacing w:val="0"/>
          <w:szCs w:val="24"/>
          <w:lang w:eastAsia="ja-JP"/>
        </w:rPr>
        <w:tab/>
      </w:r>
      <w:r>
        <w:rPr>
          <w:noProof/>
        </w:rPr>
        <w:t>Recommendations</w:t>
      </w:r>
      <w:r>
        <w:rPr>
          <w:noProof/>
        </w:rPr>
        <w:tab/>
      </w:r>
      <w:r>
        <w:rPr>
          <w:noProof/>
        </w:rPr>
        <w:fldChar w:fldCharType="begin"/>
      </w:r>
      <w:r>
        <w:rPr>
          <w:noProof/>
        </w:rPr>
        <w:instrText xml:space="preserve"> PAGEREF _Toc282871330 \h </w:instrText>
      </w:r>
      <w:r>
        <w:rPr>
          <w:noProof/>
        </w:rPr>
      </w:r>
      <w:r>
        <w:rPr>
          <w:noProof/>
        </w:rPr>
        <w:fldChar w:fldCharType="separate"/>
      </w:r>
      <w:r>
        <w:rPr>
          <w:noProof/>
        </w:rPr>
        <w:t>15</w:t>
      </w:r>
      <w:r>
        <w:rPr>
          <w:noProof/>
        </w:rPr>
        <w:fldChar w:fldCharType="end"/>
      </w:r>
    </w:p>
    <w:p w14:paraId="5354B6CA" w14:textId="77777777" w:rsidR="000010F1" w:rsidRDefault="000010F1">
      <w:pPr>
        <w:pStyle w:val="TOC2"/>
        <w:tabs>
          <w:tab w:val="left" w:pos="797"/>
          <w:tab w:val="right" w:leader="dot" w:pos="9060"/>
        </w:tabs>
        <w:rPr>
          <w:rFonts w:asciiTheme="minorHAnsi" w:eastAsiaTheme="minorEastAsia" w:hAnsiTheme="minorHAnsi" w:cstheme="minorBidi"/>
          <w:b w:val="0"/>
          <w:i w:val="0"/>
          <w:noProof/>
          <w:spacing w:val="0"/>
          <w:szCs w:val="24"/>
          <w:lang w:eastAsia="ja-JP"/>
        </w:rPr>
      </w:pPr>
      <w:r>
        <w:rPr>
          <w:noProof/>
        </w:rPr>
        <w:t>7.1</w:t>
      </w:r>
      <w:r>
        <w:rPr>
          <w:rFonts w:asciiTheme="minorHAnsi" w:eastAsiaTheme="minorEastAsia" w:hAnsiTheme="minorHAnsi" w:cstheme="minorBidi"/>
          <w:b w:val="0"/>
          <w:i w:val="0"/>
          <w:noProof/>
          <w:spacing w:val="0"/>
          <w:szCs w:val="24"/>
          <w:lang w:eastAsia="ja-JP"/>
        </w:rPr>
        <w:tab/>
      </w:r>
      <w:r>
        <w:rPr>
          <w:noProof/>
        </w:rPr>
        <w:t>Compensation</w:t>
      </w:r>
      <w:r>
        <w:rPr>
          <w:noProof/>
        </w:rPr>
        <w:tab/>
      </w:r>
      <w:r>
        <w:rPr>
          <w:noProof/>
        </w:rPr>
        <w:fldChar w:fldCharType="begin"/>
      </w:r>
      <w:r>
        <w:rPr>
          <w:noProof/>
        </w:rPr>
        <w:instrText xml:space="preserve"> PAGEREF _Toc282871331 \h </w:instrText>
      </w:r>
      <w:r>
        <w:rPr>
          <w:noProof/>
        </w:rPr>
      </w:r>
      <w:r>
        <w:rPr>
          <w:noProof/>
        </w:rPr>
        <w:fldChar w:fldCharType="separate"/>
      </w:r>
      <w:r>
        <w:rPr>
          <w:noProof/>
        </w:rPr>
        <w:t>15</w:t>
      </w:r>
      <w:r>
        <w:rPr>
          <w:noProof/>
        </w:rPr>
        <w:fldChar w:fldCharType="end"/>
      </w:r>
    </w:p>
    <w:p w14:paraId="73F54589" w14:textId="77777777" w:rsidR="000010F1" w:rsidRDefault="000010F1">
      <w:pPr>
        <w:pStyle w:val="TOC3"/>
        <w:tabs>
          <w:tab w:val="left" w:pos="1000"/>
          <w:tab w:val="right" w:leader="dot" w:pos="9060"/>
        </w:tabs>
        <w:rPr>
          <w:rFonts w:asciiTheme="minorHAnsi" w:eastAsiaTheme="minorEastAsia" w:hAnsiTheme="minorHAnsi" w:cstheme="minorBidi"/>
          <w:i w:val="0"/>
          <w:spacing w:val="0"/>
          <w:szCs w:val="24"/>
          <w:lang w:eastAsia="ja-JP"/>
        </w:rPr>
      </w:pPr>
      <w:r w:rsidRPr="00F53C99">
        <w:rPr>
          <w:iCs/>
        </w:rPr>
        <w:t>(a)</w:t>
      </w:r>
      <w:r>
        <w:rPr>
          <w:rFonts w:asciiTheme="minorHAnsi" w:eastAsiaTheme="minorEastAsia" w:hAnsiTheme="minorHAnsi" w:cstheme="minorBidi"/>
          <w:i w:val="0"/>
          <w:spacing w:val="0"/>
          <w:szCs w:val="24"/>
          <w:lang w:eastAsia="ja-JP"/>
        </w:rPr>
        <w:tab/>
      </w:r>
      <w:r>
        <w:t>Principles relating to compensation for detention and interference with family</w:t>
      </w:r>
      <w:r>
        <w:tab/>
      </w:r>
      <w:r>
        <w:fldChar w:fldCharType="begin"/>
      </w:r>
      <w:r>
        <w:instrText xml:space="preserve"> PAGEREF _Toc282871332 \h </w:instrText>
      </w:r>
      <w:r>
        <w:fldChar w:fldCharType="separate"/>
      </w:r>
      <w:r>
        <w:t>15</w:t>
      </w:r>
      <w:r>
        <w:fldChar w:fldCharType="end"/>
      </w:r>
    </w:p>
    <w:p w14:paraId="23799707" w14:textId="77777777" w:rsidR="000010F1" w:rsidRDefault="000010F1">
      <w:pPr>
        <w:pStyle w:val="TOC3"/>
        <w:tabs>
          <w:tab w:val="left" w:pos="1000"/>
          <w:tab w:val="right" w:leader="dot" w:pos="9060"/>
        </w:tabs>
        <w:rPr>
          <w:rFonts w:asciiTheme="minorHAnsi" w:eastAsiaTheme="minorEastAsia" w:hAnsiTheme="minorHAnsi" w:cstheme="minorBidi"/>
          <w:i w:val="0"/>
          <w:spacing w:val="0"/>
          <w:szCs w:val="24"/>
          <w:lang w:eastAsia="ja-JP"/>
        </w:rPr>
      </w:pPr>
      <w:r w:rsidRPr="00F53C99">
        <w:rPr>
          <w:iCs/>
        </w:rPr>
        <w:t>(b)</w:t>
      </w:r>
      <w:r>
        <w:rPr>
          <w:rFonts w:asciiTheme="minorHAnsi" w:eastAsiaTheme="minorEastAsia" w:hAnsiTheme="minorHAnsi" w:cstheme="minorBidi"/>
          <w:i w:val="0"/>
          <w:spacing w:val="0"/>
          <w:szCs w:val="24"/>
          <w:lang w:eastAsia="ja-JP"/>
        </w:rPr>
        <w:tab/>
      </w:r>
      <w:r>
        <w:t>Recommendation that compensation be paid</w:t>
      </w:r>
      <w:r>
        <w:tab/>
      </w:r>
      <w:r>
        <w:fldChar w:fldCharType="begin"/>
      </w:r>
      <w:r>
        <w:instrText xml:space="preserve"> PAGEREF _Toc282871333 \h </w:instrText>
      </w:r>
      <w:r>
        <w:fldChar w:fldCharType="separate"/>
      </w:r>
      <w:r>
        <w:t>17</w:t>
      </w:r>
      <w:r>
        <w:fldChar w:fldCharType="end"/>
      </w:r>
    </w:p>
    <w:p w14:paraId="0AA39D92" w14:textId="77777777" w:rsidR="000010F1" w:rsidRDefault="000010F1">
      <w:pPr>
        <w:pStyle w:val="TOC2"/>
        <w:tabs>
          <w:tab w:val="left" w:pos="797"/>
          <w:tab w:val="right" w:leader="dot" w:pos="9060"/>
        </w:tabs>
        <w:rPr>
          <w:rFonts w:asciiTheme="minorHAnsi" w:eastAsiaTheme="minorEastAsia" w:hAnsiTheme="minorHAnsi" w:cstheme="minorBidi"/>
          <w:b w:val="0"/>
          <w:i w:val="0"/>
          <w:noProof/>
          <w:spacing w:val="0"/>
          <w:szCs w:val="24"/>
          <w:lang w:eastAsia="ja-JP"/>
        </w:rPr>
      </w:pPr>
      <w:r>
        <w:rPr>
          <w:noProof/>
        </w:rPr>
        <w:t>7.2</w:t>
      </w:r>
      <w:r>
        <w:rPr>
          <w:rFonts w:asciiTheme="minorHAnsi" w:eastAsiaTheme="minorEastAsia" w:hAnsiTheme="minorHAnsi" w:cstheme="minorBidi"/>
          <w:b w:val="0"/>
          <w:i w:val="0"/>
          <w:noProof/>
          <w:spacing w:val="0"/>
          <w:szCs w:val="24"/>
          <w:lang w:eastAsia="ja-JP"/>
        </w:rPr>
        <w:tab/>
      </w:r>
      <w:r>
        <w:rPr>
          <w:noProof/>
        </w:rPr>
        <w:t>Apology</w:t>
      </w:r>
      <w:r>
        <w:rPr>
          <w:noProof/>
        </w:rPr>
        <w:tab/>
      </w:r>
      <w:r>
        <w:rPr>
          <w:noProof/>
        </w:rPr>
        <w:fldChar w:fldCharType="begin"/>
      </w:r>
      <w:r>
        <w:rPr>
          <w:noProof/>
        </w:rPr>
        <w:instrText xml:space="preserve"> PAGEREF _Toc282871334 \h </w:instrText>
      </w:r>
      <w:r>
        <w:rPr>
          <w:noProof/>
        </w:rPr>
      </w:r>
      <w:r>
        <w:rPr>
          <w:noProof/>
        </w:rPr>
        <w:fldChar w:fldCharType="separate"/>
      </w:r>
      <w:r>
        <w:rPr>
          <w:noProof/>
        </w:rPr>
        <w:t>18</w:t>
      </w:r>
      <w:r>
        <w:rPr>
          <w:noProof/>
        </w:rPr>
        <w:fldChar w:fldCharType="end"/>
      </w:r>
    </w:p>
    <w:p w14:paraId="41E09C17" w14:textId="77777777" w:rsidR="000010F1" w:rsidRDefault="000010F1">
      <w:pPr>
        <w:pStyle w:val="TOC1"/>
        <w:tabs>
          <w:tab w:val="left" w:pos="368"/>
        </w:tabs>
        <w:rPr>
          <w:rFonts w:asciiTheme="minorHAnsi" w:eastAsiaTheme="minorEastAsia" w:hAnsiTheme="minorHAnsi" w:cstheme="minorBidi"/>
          <w:b w:val="0"/>
          <w:noProof/>
          <w:spacing w:val="0"/>
          <w:szCs w:val="24"/>
          <w:lang w:eastAsia="ja-JP"/>
        </w:rPr>
      </w:pPr>
      <w:r>
        <w:rPr>
          <w:noProof/>
        </w:rPr>
        <w:t>8</w:t>
      </w:r>
      <w:r>
        <w:rPr>
          <w:rFonts w:asciiTheme="minorHAnsi" w:eastAsiaTheme="minorEastAsia" w:hAnsiTheme="minorHAnsi" w:cstheme="minorBidi"/>
          <w:b w:val="0"/>
          <w:noProof/>
          <w:spacing w:val="0"/>
          <w:szCs w:val="24"/>
          <w:lang w:eastAsia="ja-JP"/>
        </w:rPr>
        <w:tab/>
      </w:r>
      <w:r>
        <w:rPr>
          <w:noProof/>
        </w:rPr>
        <w:t>The Department’s responses to my finding and recommendations</w:t>
      </w:r>
      <w:r>
        <w:rPr>
          <w:noProof/>
        </w:rPr>
        <w:tab/>
      </w:r>
      <w:r>
        <w:rPr>
          <w:noProof/>
        </w:rPr>
        <w:fldChar w:fldCharType="begin"/>
      </w:r>
      <w:r>
        <w:rPr>
          <w:noProof/>
        </w:rPr>
        <w:instrText xml:space="preserve"> PAGEREF _Toc282871335 \h </w:instrText>
      </w:r>
      <w:r>
        <w:rPr>
          <w:noProof/>
        </w:rPr>
      </w:r>
      <w:r>
        <w:rPr>
          <w:noProof/>
        </w:rPr>
        <w:fldChar w:fldCharType="separate"/>
      </w:r>
      <w:r>
        <w:rPr>
          <w:noProof/>
        </w:rPr>
        <w:t>18</w:t>
      </w:r>
      <w:r>
        <w:rPr>
          <w:noProof/>
        </w:rPr>
        <w:fldChar w:fldCharType="end"/>
      </w:r>
    </w:p>
    <w:p w14:paraId="73992CDB" w14:textId="77777777" w:rsidR="007A034D" w:rsidRDefault="00EA7010" w:rsidP="000201D7">
      <w:pPr>
        <w:spacing w:line="480" w:lineRule="auto"/>
        <w:rPr>
          <w:rFonts w:cs="Arial"/>
          <w:b/>
          <w:szCs w:val="24"/>
        </w:rPr>
      </w:pPr>
      <w:r w:rsidRPr="000263C1">
        <w:rPr>
          <w:rFonts w:cs="Arial"/>
          <w:b/>
          <w:szCs w:val="24"/>
        </w:rPr>
        <w:fldChar w:fldCharType="end"/>
      </w:r>
    </w:p>
    <w:p w14:paraId="565ABBC7" w14:textId="77777777" w:rsidR="007A034D" w:rsidRDefault="007A034D" w:rsidP="000201D7">
      <w:pPr>
        <w:spacing w:line="480" w:lineRule="auto"/>
        <w:rPr>
          <w:rFonts w:cs="Arial"/>
          <w:szCs w:val="24"/>
        </w:rPr>
      </w:pPr>
    </w:p>
    <w:p w14:paraId="71E2A29F" w14:textId="77777777" w:rsidR="007A034D" w:rsidRDefault="007A034D">
      <w:pPr>
        <w:rPr>
          <w:rFonts w:cs="Arial"/>
          <w:szCs w:val="24"/>
        </w:rPr>
      </w:pPr>
      <w:r>
        <w:rPr>
          <w:rFonts w:cs="Arial"/>
          <w:szCs w:val="24"/>
        </w:rPr>
        <w:br w:type="page"/>
      </w:r>
    </w:p>
    <w:p w14:paraId="1E85AC18" w14:textId="77777777" w:rsidR="007A034D" w:rsidRDefault="00240CE5" w:rsidP="007A034D">
      <w:pPr>
        <w:keepNext/>
        <w:spacing w:before="360"/>
        <w:rPr>
          <w:spacing w:val="0"/>
          <w:szCs w:val="24"/>
          <w:lang w:eastAsia="en-AU"/>
        </w:rPr>
      </w:pPr>
      <w:r>
        <w:rPr>
          <w:spacing w:val="0"/>
          <w:szCs w:val="24"/>
          <w:lang w:eastAsia="en-AU"/>
        </w:rPr>
        <w:lastRenderedPageBreak/>
        <w:t xml:space="preserve">18 </w:t>
      </w:r>
      <w:r w:rsidR="0034299A">
        <w:rPr>
          <w:spacing w:val="0"/>
          <w:szCs w:val="24"/>
          <w:lang w:eastAsia="en-AU"/>
        </w:rPr>
        <w:t>Novembe</w:t>
      </w:r>
      <w:r w:rsidR="007A034D">
        <w:rPr>
          <w:spacing w:val="0"/>
          <w:szCs w:val="24"/>
          <w:lang w:eastAsia="en-AU"/>
        </w:rPr>
        <w:t>r 2014</w:t>
      </w:r>
    </w:p>
    <w:p w14:paraId="0927D1CA" w14:textId="77777777" w:rsidR="007A034D" w:rsidRDefault="007A034D" w:rsidP="007A034D">
      <w:pPr>
        <w:keepNext/>
        <w:spacing w:before="240"/>
        <w:rPr>
          <w:spacing w:val="0"/>
          <w:szCs w:val="24"/>
          <w:lang w:eastAsia="en-AU"/>
        </w:rPr>
      </w:pPr>
      <w:r>
        <w:rPr>
          <w:spacing w:val="0"/>
          <w:szCs w:val="24"/>
          <w:lang w:eastAsia="en-AU"/>
        </w:rPr>
        <w:br/>
        <w:t>Senator t</w:t>
      </w:r>
      <w:r w:rsidRPr="00E46988">
        <w:rPr>
          <w:spacing w:val="0"/>
          <w:szCs w:val="24"/>
          <w:lang w:eastAsia="en-AU"/>
        </w:rPr>
        <w:t>he Hon</w:t>
      </w:r>
      <w:r>
        <w:rPr>
          <w:spacing w:val="0"/>
          <w:szCs w:val="24"/>
          <w:lang w:eastAsia="en-AU"/>
        </w:rPr>
        <w:t>.</w:t>
      </w:r>
      <w:r w:rsidRPr="00E46988">
        <w:rPr>
          <w:spacing w:val="0"/>
          <w:szCs w:val="24"/>
          <w:lang w:eastAsia="en-AU"/>
        </w:rPr>
        <w:t xml:space="preserve"> </w:t>
      </w:r>
      <w:r>
        <w:rPr>
          <w:spacing w:val="0"/>
          <w:szCs w:val="24"/>
          <w:lang w:eastAsia="en-AU"/>
        </w:rPr>
        <w:t>George Brandis QC</w:t>
      </w:r>
      <w:r>
        <w:rPr>
          <w:spacing w:val="0"/>
          <w:szCs w:val="24"/>
          <w:lang w:eastAsia="en-AU"/>
        </w:rPr>
        <w:br/>
        <w:t>Attorney-</w:t>
      </w:r>
      <w:r w:rsidRPr="00E46988">
        <w:rPr>
          <w:spacing w:val="0"/>
          <w:szCs w:val="24"/>
          <w:lang w:eastAsia="en-AU"/>
        </w:rPr>
        <w:t>General</w:t>
      </w:r>
      <w:r w:rsidRPr="00E46988">
        <w:rPr>
          <w:spacing w:val="0"/>
          <w:szCs w:val="24"/>
          <w:lang w:eastAsia="en-AU"/>
        </w:rPr>
        <w:br/>
        <w:t>Parliament House</w:t>
      </w:r>
      <w:r w:rsidRPr="00E46988">
        <w:rPr>
          <w:spacing w:val="0"/>
          <w:szCs w:val="24"/>
          <w:lang w:eastAsia="en-AU"/>
        </w:rPr>
        <w:br/>
      </w:r>
      <w:r>
        <w:rPr>
          <w:spacing w:val="0"/>
          <w:szCs w:val="24"/>
          <w:lang w:eastAsia="en-AU"/>
        </w:rPr>
        <w:t xml:space="preserve">Canberra </w:t>
      </w:r>
      <w:r w:rsidRPr="00E46988">
        <w:rPr>
          <w:spacing w:val="0"/>
          <w:szCs w:val="24"/>
          <w:lang w:eastAsia="en-AU"/>
        </w:rPr>
        <w:t>ACT</w:t>
      </w:r>
      <w:r>
        <w:rPr>
          <w:spacing w:val="0"/>
          <w:szCs w:val="24"/>
          <w:lang w:eastAsia="en-AU"/>
        </w:rPr>
        <w:t xml:space="preserve"> </w:t>
      </w:r>
      <w:r w:rsidRPr="00E46988">
        <w:rPr>
          <w:spacing w:val="0"/>
          <w:szCs w:val="24"/>
          <w:lang w:eastAsia="en-AU"/>
        </w:rPr>
        <w:t>2600</w:t>
      </w:r>
    </w:p>
    <w:p w14:paraId="57A7E748" w14:textId="77777777" w:rsidR="007A034D" w:rsidRPr="00E46988" w:rsidRDefault="007A034D" w:rsidP="007A034D">
      <w:pPr>
        <w:keepNext/>
        <w:spacing w:before="240"/>
        <w:rPr>
          <w:spacing w:val="0"/>
          <w:szCs w:val="24"/>
          <w:lang w:eastAsia="en-AU"/>
        </w:rPr>
      </w:pPr>
      <w:r w:rsidRPr="00E46988">
        <w:rPr>
          <w:spacing w:val="0"/>
          <w:szCs w:val="24"/>
          <w:lang w:eastAsia="en-AU"/>
        </w:rPr>
        <w:br/>
        <w:t>Dear Attorney</w:t>
      </w:r>
      <w:r>
        <w:rPr>
          <w:spacing w:val="0"/>
          <w:szCs w:val="24"/>
          <w:lang w:eastAsia="en-AU"/>
        </w:rPr>
        <w:t>,</w:t>
      </w:r>
      <w:r w:rsidRPr="00E46988">
        <w:rPr>
          <w:spacing w:val="0"/>
          <w:szCs w:val="24"/>
          <w:lang w:eastAsia="en-AU"/>
        </w:rPr>
        <w:br/>
      </w:r>
      <w:r w:rsidRPr="00E46988">
        <w:rPr>
          <w:spacing w:val="0"/>
          <w:szCs w:val="24"/>
          <w:lang w:eastAsia="en-AU"/>
        </w:rPr>
        <w:br/>
        <w:t xml:space="preserve">I </w:t>
      </w:r>
      <w:r>
        <w:rPr>
          <w:spacing w:val="0"/>
          <w:szCs w:val="24"/>
          <w:lang w:eastAsia="en-AU"/>
        </w:rPr>
        <w:t xml:space="preserve">have completed my </w:t>
      </w:r>
      <w:r w:rsidRPr="00E46988">
        <w:rPr>
          <w:spacing w:val="0"/>
          <w:szCs w:val="24"/>
          <w:lang w:eastAsia="en-AU"/>
        </w:rPr>
        <w:t xml:space="preserve">report </w:t>
      </w:r>
      <w:r>
        <w:rPr>
          <w:spacing w:val="0"/>
          <w:szCs w:val="24"/>
          <w:lang w:eastAsia="en-AU"/>
        </w:rPr>
        <w:t xml:space="preserve">pursuant </w:t>
      </w:r>
      <w:r w:rsidRPr="00E46988">
        <w:rPr>
          <w:spacing w:val="0"/>
          <w:szCs w:val="24"/>
          <w:lang w:eastAsia="en-AU"/>
        </w:rPr>
        <w:t xml:space="preserve">to </w:t>
      </w:r>
      <w:r>
        <w:rPr>
          <w:spacing w:val="0"/>
          <w:szCs w:val="24"/>
          <w:lang w:eastAsia="en-AU"/>
        </w:rPr>
        <w:t>s </w:t>
      </w:r>
      <w:r w:rsidRPr="00E46988">
        <w:rPr>
          <w:spacing w:val="0"/>
          <w:szCs w:val="24"/>
          <w:lang w:eastAsia="en-AU"/>
        </w:rPr>
        <w:t xml:space="preserve">11(1)(f)(ii) of the </w:t>
      </w:r>
      <w:r w:rsidRPr="00E46988">
        <w:rPr>
          <w:i/>
          <w:spacing w:val="0"/>
          <w:szCs w:val="24"/>
          <w:lang w:eastAsia="en-AU"/>
        </w:rPr>
        <w:t>Australian Human Rights Commission Act 1986</w:t>
      </w:r>
      <w:r w:rsidRPr="00E46988">
        <w:rPr>
          <w:spacing w:val="0"/>
          <w:szCs w:val="24"/>
          <w:lang w:eastAsia="en-AU"/>
        </w:rPr>
        <w:t xml:space="preserve"> (Cth) into the complaint made by</w:t>
      </w:r>
      <w:r>
        <w:rPr>
          <w:spacing w:val="0"/>
          <w:szCs w:val="24"/>
          <w:lang w:eastAsia="en-AU"/>
        </w:rPr>
        <w:t xml:space="preserve"> </w:t>
      </w:r>
      <w:r w:rsidRPr="00DE05DF">
        <w:rPr>
          <w:rFonts w:cs="Arial"/>
          <w:szCs w:val="24"/>
        </w:rPr>
        <w:t xml:space="preserve">Mr </w:t>
      </w:r>
      <w:r>
        <w:rPr>
          <w:rFonts w:cs="Arial"/>
          <w:szCs w:val="24"/>
        </w:rPr>
        <w:t>Tapara</w:t>
      </w:r>
      <w:r w:rsidRPr="00DE05DF">
        <w:rPr>
          <w:rFonts w:cs="Arial"/>
          <w:szCs w:val="24"/>
        </w:rPr>
        <w:t xml:space="preserve"> against the Commonwealth of Australia – Department of Immigration and </w:t>
      </w:r>
      <w:r>
        <w:rPr>
          <w:rFonts w:cs="Arial"/>
          <w:szCs w:val="24"/>
        </w:rPr>
        <w:t>Border Protection (Department).</w:t>
      </w:r>
    </w:p>
    <w:p w14:paraId="5F609823" w14:textId="77777777" w:rsidR="001A6770" w:rsidRPr="000934B0" w:rsidRDefault="001A6770" w:rsidP="001A6770">
      <w:pPr>
        <w:spacing w:before="240" w:after="240"/>
        <w:rPr>
          <w:szCs w:val="24"/>
        </w:rPr>
      </w:pPr>
      <w:r w:rsidRPr="000934B0">
        <w:rPr>
          <w:szCs w:val="24"/>
        </w:rPr>
        <w:t xml:space="preserve">I have found that Mr Tapara’s detention from </w:t>
      </w:r>
      <w:r>
        <w:rPr>
          <w:szCs w:val="24"/>
        </w:rPr>
        <w:t xml:space="preserve">2 December 2011 until his release from </w:t>
      </w:r>
      <w:r w:rsidR="0082586D">
        <w:rPr>
          <w:szCs w:val="24"/>
        </w:rPr>
        <w:t xml:space="preserve">the </w:t>
      </w:r>
      <w:r w:rsidR="0082586D">
        <w:rPr>
          <w:rFonts w:cs="Arial"/>
          <w:szCs w:val="24"/>
        </w:rPr>
        <w:t>Maribyrnong Immigration Detention Centre</w:t>
      </w:r>
      <w:r w:rsidR="0082586D" w:rsidRPr="001C6A35">
        <w:rPr>
          <w:rFonts w:cs="Arial"/>
          <w:szCs w:val="24"/>
        </w:rPr>
        <w:t xml:space="preserve"> </w:t>
      </w:r>
      <w:r>
        <w:rPr>
          <w:szCs w:val="24"/>
        </w:rPr>
        <w:t xml:space="preserve">on 10 May 2013 </w:t>
      </w:r>
      <w:r w:rsidRPr="000934B0">
        <w:rPr>
          <w:szCs w:val="24"/>
        </w:rPr>
        <w:t>was arbitrary within the meaning of article 9(1) of the</w:t>
      </w:r>
      <w:r w:rsidRPr="001A6770">
        <w:rPr>
          <w:rFonts w:cs="Arial"/>
          <w:i/>
          <w:szCs w:val="24"/>
        </w:rPr>
        <w:t xml:space="preserve"> </w:t>
      </w:r>
      <w:r w:rsidRPr="007560F1">
        <w:rPr>
          <w:rFonts w:cs="Arial"/>
          <w:i/>
          <w:szCs w:val="24"/>
        </w:rPr>
        <w:t>International Covenant on Civil and Political Rights</w:t>
      </w:r>
      <w:r w:rsidRPr="000934B0">
        <w:rPr>
          <w:szCs w:val="24"/>
        </w:rPr>
        <w:t xml:space="preserve"> </w:t>
      </w:r>
      <w:r>
        <w:rPr>
          <w:szCs w:val="24"/>
        </w:rPr>
        <w:t>(</w:t>
      </w:r>
      <w:r w:rsidRPr="000934B0">
        <w:rPr>
          <w:szCs w:val="24"/>
        </w:rPr>
        <w:t>ICCPR</w:t>
      </w:r>
      <w:r>
        <w:rPr>
          <w:szCs w:val="24"/>
        </w:rPr>
        <w:t>)</w:t>
      </w:r>
      <w:r w:rsidR="001C2C1A">
        <w:rPr>
          <w:szCs w:val="24"/>
        </w:rPr>
        <w:t xml:space="preserve">. It also </w:t>
      </w:r>
      <w:r w:rsidRPr="000934B0">
        <w:rPr>
          <w:szCs w:val="24"/>
        </w:rPr>
        <w:t xml:space="preserve">arbitrarily interfered with his family in breach of articles 17(1) and 23(1) of the ICCPR. </w:t>
      </w:r>
    </w:p>
    <w:p w14:paraId="17B94E89" w14:textId="77777777" w:rsidR="007A034D" w:rsidRDefault="007A034D" w:rsidP="007A034D">
      <w:pPr>
        <w:spacing w:before="240"/>
        <w:rPr>
          <w:rFonts w:cs="Arial"/>
          <w:szCs w:val="24"/>
        </w:rPr>
      </w:pPr>
      <w:r>
        <w:rPr>
          <w:rFonts w:cs="Arial"/>
          <w:szCs w:val="24"/>
        </w:rPr>
        <w:t xml:space="preserve">In light of my findings, I recommend that </w:t>
      </w:r>
      <w:r w:rsidRPr="00114A06">
        <w:rPr>
          <w:rFonts w:cs="Arial"/>
          <w:szCs w:val="24"/>
        </w:rPr>
        <w:t xml:space="preserve">the Commonwealth pay compensation to Mr </w:t>
      </w:r>
      <w:r w:rsidR="00350C13">
        <w:rPr>
          <w:rFonts w:cs="Arial"/>
          <w:szCs w:val="24"/>
        </w:rPr>
        <w:t>Tapara</w:t>
      </w:r>
      <w:r w:rsidRPr="00114A06">
        <w:rPr>
          <w:rFonts w:cs="Arial"/>
          <w:szCs w:val="24"/>
        </w:rPr>
        <w:t xml:space="preserve"> in the amount of $</w:t>
      </w:r>
      <w:r w:rsidR="00350C13">
        <w:rPr>
          <w:rFonts w:cs="Arial"/>
          <w:szCs w:val="24"/>
        </w:rPr>
        <w:t>1</w:t>
      </w:r>
      <w:r w:rsidRPr="00114A06">
        <w:rPr>
          <w:rFonts w:cs="Arial"/>
          <w:szCs w:val="24"/>
        </w:rPr>
        <w:t>00,000</w:t>
      </w:r>
      <w:r w:rsidR="00350C13">
        <w:rPr>
          <w:rFonts w:cs="Arial"/>
          <w:szCs w:val="24"/>
        </w:rPr>
        <w:t xml:space="preserve"> and provide</w:t>
      </w:r>
      <w:r w:rsidR="001A6770">
        <w:rPr>
          <w:rFonts w:cs="Arial"/>
          <w:szCs w:val="24"/>
        </w:rPr>
        <w:t xml:space="preserve"> him with</w:t>
      </w:r>
      <w:r w:rsidR="00350C13">
        <w:rPr>
          <w:rFonts w:cs="Arial"/>
          <w:szCs w:val="24"/>
        </w:rPr>
        <w:t xml:space="preserve"> a formal written apology</w:t>
      </w:r>
      <w:r w:rsidRPr="00114A06">
        <w:rPr>
          <w:rFonts w:cs="Arial"/>
          <w:szCs w:val="24"/>
        </w:rPr>
        <w:t>.</w:t>
      </w:r>
    </w:p>
    <w:p w14:paraId="3B068CC0" w14:textId="77777777" w:rsidR="007A034D" w:rsidRPr="009D5F54" w:rsidRDefault="007A034D" w:rsidP="007A034D">
      <w:pPr>
        <w:spacing w:before="240"/>
        <w:rPr>
          <w:rFonts w:cs="Arial"/>
          <w:szCs w:val="24"/>
        </w:rPr>
      </w:pPr>
      <w:r w:rsidRPr="009D5F54">
        <w:rPr>
          <w:spacing w:val="0"/>
          <w:szCs w:val="24"/>
          <w:lang w:eastAsia="en-AU"/>
        </w:rPr>
        <w:t xml:space="preserve">By letter dated </w:t>
      </w:r>
      <w:r w:rsidR="00C45AB5">
        <w:rPr>
          <w:spacing w:val="0"/>
          <w:szCs w:val="24"/>
          <w:lang w:eastAsia="en-AU"/>
        </w:rPr>
        <w:t>10 October</w:t>
      </w:r>
      <w:r>
        <w:rPr>
          <w:spacing w:val="0"/>
          <w:szCs w:val="24"/>
          <w:lang w:eastAsia="en-AU"/>
        </w:rPr>
        <w:t xml:space="preserve"> 2014</w:t>
      </w:r>
      <w:r w:rsidRPr="009D5F54">
        <w:rPr>
          <w:spacing w:val="0"/>
          <w:szCs w:val="24"/>
          <w:lang w:eastAsia="en-AU"/>
        </w:rPr>
        <w:t xml:space="preserve"> the </w:t>
      </w:r>
      <w:r>
        <w:rPr>
          <w:spacing w:val="0"/>
          <w:szCs w:val="24"/>
          <w:lang w:eastAsia="en-AU"/>
        </w:rPr>
        <w:t>D</w:t>
      </w:r>
      <w:r w:rsidRPr="009D5F54">
        <w:rPr>
          <w:spacing w:val="0"/>
          <w:szCs w:val="24"/>
          <w:lang w:eastAsia="en-AU"/>
        </w:rPr>
        <w:t>epartment pr</w:t>
      </w:r>
      <w:r>
        <w:rPr>
          <w:spacing w:val="0"/>
          <w:szCs w:val="24"/>
          <w:lang w:eastAsia="en-AU"/>
        </w:rPr>
        <w:t>ovided a response to my finding</w:t>
      </w:r>
      <w:r w:rsidR="00EF0604">
        <w:rPr>
          <w:spacing w:val="0"/>
          <w:szCs w:val="24"/>
          <w:lang w:eastAsia="en-AU"/>
        </w:rPr>
        <w:t>s</w:t>
      </w:r>
      <w:r w:rsidRPr="009D5F54">
        <w:rPr>
          <w:spacing w:val="0"/>
          <w:szCs w:val="24"/>
          <w:lang w:eastAsia="en-AU"/>
        </w:rPr>
        <w:t xml:space="preserve"> and recommendations. </w:t>
      </w:r>
      <w:r>
        <w:rPr>
          <w:spacing w:val="0"/>
          <w:szCs w:val="24"/>
          <w:lang w:eastAsia="en-AU"/>
        </w:rPr>
        <w:t>I have outlined the Department’s response in Part 8 of this report.</w:t>
      </w:r>
    </w:p>
    <w:p w14:paraId="05527752" w14:textId="77777777" w:rsidR="007A034D" w:rsidRDefault="007A034D" w:rsidP="007A034D">
      <w:pPr>
        <w:spacing w:before="240"/>
        <w:rPr>
          <w:spacing w:val="0"/>
          <w:szCs w:val="24"/>
          <w:lang w:eastAsia="en-AU"/>
        </w:rPr>
      </w:pPr>
      <w:r>
        <w:rPr>
          <w:spacing w:val="0"/>
          <w:szCs w:val="24"/>
          <w:lang w:eastAsia="en-AU"/>
        </w:rPr>
        <w:t>I enclose a copy of my report.</w:t>
      </w:r>
    </w:p>
    <w:p w14:paraId="47B848E6" w14:textId="77777777" w:rsidR="007A034D" w:rsidRPr="00722D12" w:rsidRDefault="007A034D" w:rsidP="007A034D">
      <w:pPr>
        <w:spacing w:before="240"/>
        <w:rPr>
          <w:spacing w:val="0"/>
          <w:szCs w:val="24"/>
          <w:lang w:eastAsia="en-AU"/>
        </w:rPr>
      </w:pPr>
    </w:p>
    <w:p w14:paraId="03D17DAB" w14:textId="77777777" w:rsidR="007A034D" w:rsidRDefault="007A034D" w:rsidP="007A034D">
      <w:pPr>
        <w:keepNext/>
        <w:jc w:val="both"/>
        <w:rPr>
          <w:rFonts w:cs="ArialMT"/>
          <w:color w:val="000000"/>
          <w:spacing w:val="0"/>
          <w:szCs w:val="24"/>
          <w:lang w:val="en-US" w:bidi="en-US"/>
        </w:rPr>
      </w:pPr>
      <w:r w:rsidRPr="00E46988">
        <w:rPr>
          <w:rFonts w:cs="ArialMT"/>
          <w:color w:val="000000"/>
          <w:spacing w:val="0"/>
          <w:szCs w:val="24"/>
          <w:lang w:val="en-US" w:bidi="en-US"/>
        </w:rPr>
        <w:t>Yours sincerely</w:t>
      </w:r>
      <w:r>
        <w:rPr>
          <w:rFonts w:cs="ArialMT"/>
          <w:color w:val="000000"/>
          <w:spacing w:val="0"/>
          <w:szCs w:val="24"/>
          <w:lang w:val="en-US" w:bidi="en-US"/>
        </w:rPr>
        <w:t>,</w:t>
      </w:r>
    </w:p>
    <w:p w14:paraId="16CEC1FF" w14:textId="77777777" w:rsidR="007A034D" w:rsidRDefault="007A034D" w:rsidP="007A034D"/>
    <w:p w14:paraId="14F501F2" w14:textId="77777777" w:rsidR="007A034D" w:rsidRDefault="00240CE5" w:rsidP="007A034D">
      <w:pPr>
        <w:rPr>
          <w:noProof/>
          <w:lang w:eastAsia="en-AU"/>
        </w:rPr>
      </w:pPr>
      <w:r>
        <w:rPr>
          <w:noProof/>
          <w:lang w:eastAsia="en-AU"/>
        </w:rPr>
        <w:drawing>
          <wp:inline distT="0" distB="0" distL="0" distR="0" wp14:anchorId="46AD40B6" wp14:editId="7F986652">
            <wp:extent cx="2007235" cy="1187450"/>
            <wp:effectExtent l="0" t="0" r="0" b="0"/>
            <wp:docPr id="1" name="Picture 1" descr="cid:image006.jpg@01CFD652.DC74F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jpg@01CFD652.DC74FA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07235" cy="1187450"/>
                    </a:xfrm>
                    <a:prstGeom prst="rect">
                      <a:avLst/>
                    </a:prstGeom>
                    <a:noFill/>
                    <a:ln>
                      <a:noFill/>
                    </a:ln>
                  </pic:spPr>
                </pic:pic>
              </a:graphicData>
            </a:graphic>
          </wp:inline>
        </w:drawing>
      </w:r>
    </w:p>
    <w:p w14:paraId="16585E22" w14:textId="77777777" w:rsidR="007A034D" w:rsidRPr="001034C2" w:rsidRDefault="007A034D" w:rsidP="007A034D">
      <w:pPr>
        <w:rPr>
          <w:szCs w:val="24"/>
        </w:rPr>
      </w:pPr>
      <w:r>
        <w:rPr>
          <w:szCs w:val="24"/>
        </w:rPr>
        <w:t>Gillian Triggs</w:t>
      </w:r>
    </w:p>
    <w:p w14:paraId="57200130" w14:textId="77777777" w:rsidR="007A034D" w:rsidRPr="001034C2" w:rsidRDefault="007A034D" w:rsidP="007A034D">
      <w:pPr>
        <w:rPr>
          <w:szCs w:val="24"/>
        </w:rPr>
      </w:pPr>
      <w:r w:rsidRPr="001034C2">
        <w:rPr>
          <w:b/>
          <w:szCs w:val="24"/>
        </w:rPr>
        <w:t>President</w:t>
      </w:r>
      <w:r w:rsidRPr="001034C2">
        <w:rPr>
          <w:szCs w:val="24"/>
        </w:rPr>
        <w:t xml:space="preserve"> </w:t>
      </w:r>
    </w:p>
    <w:p w14:paraId="01DA692E" w14:textId="77777777" w:rsidR="007A034D" w:rsidRPr="001034C2" w:rsidRDefault="007A034D" w:rsidP="007A034D">
      <w:pPr>
        <w:rPr>
          <w:szCs w:val="24"/>
        </w:rPr>
      </w:pPr>
      <w:r w:rsidRPr="001034C2">
        <w:rPr>
          <w:szCs w:val="24"/>
        </w:rPr>
        <w:t>Australian Human Rights Commission</w:t>
      </w:r>
    </w:p>
    <w:p w14:paraId="3301BBEA" w14:textId="77777777" w:rsidR="007A034D" w:rsidRDefault="007A034D" w:rsidP="007A034D">
      <w:pPr>
        <w:rPr>
          <w:sz w:val="28"/>
          <w:szCs w:val="28"/>
        </w:rPr>
      </w:pPr>
      <w:r>
        <w:br w:type="page"/>
      </w:r>
    </w:p>
    <w:p w14:paraId="6492CE4F" w14:textId="77777777" w:rsidR="00A61DAC" w:rsidRPr="005439AD" w:rsidRDefault="00A61DAC" w:rsidP="005439AD">
      <w:pPr>
        <w:pStyle w:val="Heading1"/>
      </w:pPr>
      <w:bookmarkStart w:id="0" w:name="_Toc282871314"/>
      <w:r w:rsidRPr="00534C56">
        <w:lastRenderedPageBreak/>
        <w:t xml:space="preserve">Introduction </w:t>
      </w:r>
      <w:r>
        <w:t>to this inquiry</w:t>
      </w:r>
      <w:bookmarkEnd w:id="0"/>
      <w:r w:rsidR="00F636DC">
        <w:t xml:space="preserve"> </w:t>
      </w:r>
    </w:p>
    <w:p w14:paraId="6F01966C" w14:textId="77777777" w:rsidR="000D2CCE" w:rsidRPr="000D2CCE" w:rsidRDefault="00D42376" w:rsidP="00A43544">
      <w:pPr>
        <w:numPr>
          <w:ilvl w:val="0"/>
          <w:numId w:val="7"/>
        </w:numPr>
        <w:spacing w:before="240" w:after="240"/>
        <w:rPr>
          <w:rFonts w:cs="Arial"/>
          <w:szCs w:val="24"/>
        </w:rPr>
      </w:pPr>
      <w:r>
        <w:rPr>
          <w:rFonts w:cs="Arial"/>
          <w:szCs w:val="24"/>
        </w:rPr>
        <w:t xml:space="preserve">This is a notice setting out the findings of the </w:t>
      </w:r>
      <w:r w:rsidR="00A43544" w:rsidRPr="000D2CCE">
        <w:rPr>
          <w:rFonts w:cs="Arial"/>
          <w:szCs w:val="24"/>
        </w:rPr>
        <w:t xml:space="preserve">Australian Human Rights Commission </w:t>
      </w:r>
      <w:r>
        <w:rPr>
          <w:rFonts w:cs="Arial"/>
          <w:szCs w:val="24"/>
        </w:rPr>
        <w:t xml:space="preserve">following an </w:t>
      </w:r>
      <w:r w:rsidR="00A43544" w:rsidRPr="000D2CCE">
        <w:rPr>
          <w:rFonts w:cs="Arial"/>
          <w:szCs w:val="24"/>
        </w:rPr>
        <w:t xml:space="preserve">inquiry into a complaint by </w:t>
      </w:r>
      <w:r w:rsidR="000D2CCE" w:rsidRPr="000D2CCE">
        <w:rPr>
          <w:rFonts w:cs="Arial"/>
          <w:szCs w:val="24"/>
        </w:rPr>
        <w:t>Mr</w:t>
      </w:r>
      <w:r w:rsidR="00A43544" w:rsidRPr="000D2CCE">
        <w:rPr>
          <w:rFonts w:cs="Arial"/>
          <w:szCs w:val="24"/>
        </w:rPr>
        <w:t xml:space="preserve"> </w:t>
      </w:r>
      <w:r w:rsidR="00CD291B">
        <w:rPr>
          <w:rFonts w:cs="Arial"/>
          <w:szCs w:val="24"/>
        </w:rPr>
        <w:t>Phillip Tapara</w:t>
      </w:r>
      <w:r w:rsidR="00A43544" w:rsidRPr="000D2CCE">
        <w:rPr>
          <w:rFonts w:cs="Arial"/>
          <w:szCs w:val="24"/>
        </w:rPr>
        <w:t xml:space="preserve"> against the Commonwealth of Australia </w:t>
      </w:r>
      <w:r w:rsidR="00E26A92">
        <w:rPr>
          <w:rFonts w:cs="Arial"/>
          <w:szCs w:val="24"/>
        </w:rPr>
        <w:t xml:space="preserve">- Department of Immigration and Citizenship (as it then was – it has subsequently been redesignated the Department of Immigration and Border Protection) (Department) </w:t>
      </w:r>
      <w:r w:rsidR="00A43544" w:rsidRPr="000D2CCE">
        <w:rPr>
          <w:rFonts w:cs="Arial"/>
          <w:szCs w:val="24"/>
        </w:rPr>
        <w:t xml:space="preserve">alleging a breach of his human rights.  </w:t>
      </w:r>
    </w:p>
    <w:p w14:paraId="2AF49264" w14:textId="77777777" w:rsidR="00ED6C4F" w:rsidRPr="00ED6C4F" w:rsidRDefault="00425388" w:rsidP="001C6A35">
      <w:pPr>
        <w:numPr>
          <w:ilvl w:val="0"/>
          <w:numId w:val="7"/>
        </w:numPr>
        <w:spacing w:before="240" w:after="240"/>
        <w:rPr>
          <w:szCs w:val="24"/>
        </w:rPr>
      </w:pPr>
      <w:r>
        <w:rPr>
          <w:rFonts w:cs="Arial"/>
          <w:szCs w:val="24"/>
        </w:rPr>
        <w:t xml:space="preserve">Mr </w:t>
      </w:r>
      <w:r w:rsidR="008A04C3">
        <w:rPr>
          <w:rFonts w:cs="Arial"/>
          <w:szCs w:val="24"/>
        </w:rPr>
        <w:t>Tapara’</w:t>
      </w:r>
      <w:r>
        <w:rPr>
          <w:rFonts w:cs="Arial"/>
          <w:szCs w:val="24"/>
        </w:rPr>
        <w:t xml:space="preserve">s </w:t>
      </w:r>
      <w:r w:rsidR="001C6A35">
        <w:rPr>
          <w:rFonts w:cs="Arial"/>
          <w:szCs w:val="24"/>
        </w:rPr>
        <w:t>visa was cancelled pursuant to s 50</w:t>
      </w:r>
      <w:r w:rsidR="009E3C55">
        <w:rPr>
          <w:rFonts w:cs="Arial"/>
          <w:szCs w:val="24"/>
        </w:rPr>
        <w:t>1</w:t>
      </w:r>
      <w:r w:rsidR="001C6A35">
        <w:rPr>
          <w:rFonts w:cs="Arial"/>
          <w:szCs w:val="24"/>
        </w:rPr>
        <w:t xml:space="preserve"> of the </w:t>
      </w:r>
      <w:r w:rsidR="001C6A35" w:rsidRPr="0009028B">
        <w:rPr>
          <w:rFonts w:cs="Arial"/>
          <w:i/>
          <w:szCs w:val="24"/>
        </w:rPr>
        <w:t>Migration Act 1958</w:t>
      </w:r>
      <w:r w:rsidR="0009028B">
        <w:rPr>
          <w:rFonts w:cs="Arial"/>
          <w:szCs w:val="24"/>
        </w:rPr>
        <w:t xml:space="preserve"> (Cth)</w:t>
      </w:r>
      <w:r w:rsidR="007D41FE">
        <w:rPr>
          <w:rFonts w:cs="Arial"/>
          <w:szCs w:val="24"/>
        </w:rPr>
        <w:t xml:space="preserve"> </w:t>
      </w:r>
      <w:r w:rsidR="007D41FE">
        <w:t>(Migration Act)</w:t>
      </w:r>
      <w:r w:rsidR="001C6A35">
        <w:rPr>
          <w:rFonts w:cs="Arial"/>
          <w:szCs w:val="24"/>
        </w:rPr>
        <w:t xml:space="preserve"> on the basis of his criminal record. </w:t>
      </w:r>
      <w:r>
        <w:rPr>
          <w:rFonts w:cs="Arial"/>
          <w:szCs w:val="24"/>
        </w:rPr>
        <w:t xml:space="preserve">He </w:t>
      </w:r>
      <w:r w:rsidRPr="001C6A35">
        <w:rPr>
          <w:rFonts w:cs="Arial"/>
          <w:szCs w:val="24"/>
        </w:rPr>
        <w:t xml:space="preserve">was detained at </w:t>
      </w:r>
      <w:r w:rsidR="00BD44BF">
        <w:rPr>
          <w:rFonts w:cs="Arial"/>
          <w:szCs w:val="24"/>
        </w:rPr>
        <w:t>the Maribyrnong Immigration Detention Centre</w:t>
      </w:r>
      <w:r w:rsidRPr="001C6A35">
        <w:rPr>
          <w:rFonts w:cs="Arial"/>
          <w:szCs w:val="24"/>
        </w:rPr>
        <w:t xml:space="preserve"> (</w:t>
      </w:r>
      <w:r w:rsidR="00BD44BF">
        <w:rPr>
          <w:rFonts w:cs="Arial"/>
          <w:szCs w:val="24"/>
        </w:rPr>
        <w:t>M</w:t>
      </w:r>
      <w:r w:rsidRPr="001C6A35">
        <w:rPr>
          <w:rFonts w:cs="Arial"/>
          <w:szCs w:val="24"/>
        </w:rPr>
        <w:t>IDC)</w:t>
      </w:r>
      <w:r w:rsidR="0081169C">
        <w:rPr>
          <w:rFonts w:cs="Arial"/>
          <w:szCs w:val="24"/>
        </w:rPr>
        <w:t xml:space="preserve"> </w:t>
      </w:r>
      <w:r w:rsidR="00974AE1">
        <w:rPr>
          <w:rFonts w:cs="Arial"/>
          <w:szCs w:val="24"/>
        </w:rPr>
        <w:t xml:space="preserve">for some </w:t>
      </w:r>
      <w:r w:rsidR="00BD44BF">
        <w:rPr>
          <w:rFonts w:cs="Arial"/>
          <w:szCs w:val="24"/>
        </w:rPr>
        <w:t xml:space="preserve">17 months </w:t>
      </w:r>
      <w:r w:rsidR="0081169C">
        <w:rPr>
          <w:rFonts w:cs="Arial"/>
          <w:szCs w:val="24"/>
        </w:rPr>
        <w:t xml:space="preserve">pending removal to </w:t>
      </w:r>
      <w:r w:rsidR="00BD44BF">
        <w:rPr>
          <w:rFonts w:cs="Arial"/>
          <w:szCs w:val="24"/>
        </w:rPr>
        <w:t>New Zealand</w:t>
      </w:r>
      <w:r w:rsidR="00D50792">
        <w:rPr>
          <w:rFonts w:cs="Arial"/>
          <w:szCs w:val="24"/>
        </w:rPr>
        <w:t xml:space="preserve">. </w:t>
      </w:r>
      <w:r w:rsidR="00D50792" w:rsidRPr="00332661">
        <w:rPr>
          <w:rFonts w:cs="Arial"/>
          <w:szCs w:val="24"/>
        </w:rPr>
        <w:t xml:space="preserve">On </w:t>
      </w:r>
      <w:r w:rsidR="00BD44BF" w:rsidRPr="00332661">
        <w:rPr>
          <w:rFonts w:cs="Arial"/>
          <w:szCs w:val="24"/>
        </w:rPr>
        <w:t>1</w:t>
      </w:r>
      <w:r w:rsidR="00F76494" w:rsidRPr="00332661">
        <w:rPr>
          <w:rFonts w:cs="Arial"/>
          <w:szCs w:val="24"/>
        </w:rPr>
        <w:t>0</w:t>
      </w:r>
      <w:r w:rsidR="00BD44BF" w:rsidRPr="00332661">
        <w:rPr>
          <w:rFonts w:cs="Arial"/>
          <w:szCs w:val="24"/>
        </w:rPr>
        <w:t xml:space="preserve"> May </w:t>
      </w:r>
      <w:r w:rsidR="00512976" w:rsidRPr="00332661">
        <w:rPr>
          <w:rFonts w:cs="Arial"/>
          <w:szCs w:val="24"/>
        </w:rPr>
        <w:t>2013,</w:t>
      </w:r>
      <w:r w:rsidR="001C6A35">
        <w:rPr>
          <w:rFonts w:cs="Arial"/>
          <w:szCs w:val="24"/>
        </w:rPr>
        <w:t xml:space="preserve"> </w:t>
      </w:r>
      <w:r w:rsidR="00512976">
        <w:rPr>
          <w:rFonts w:cs="Arial"/>
          <w:szCs w:val="24"/>
        </w:rPr>
        <w:t xml:space="preserve">the Department </w:t>
      </w:r>
      <w:r w:rsidR="00BD44BF">
        <w:rPr>
          <w:rFonts w:cs="Arial"/>
          <w:szCs w:val="24"/>
        </w:rPr>
        <w:t xml:space="preserve">involuntarily removed </w:t>
      </w:r>
      <w:r w:rsidR="00512976">
        <w:rPr>
          <w:rFonts w:cs="Arial"/>
          <w:szCs w:val="24"/>
        </w:rPr>
        <w:t xml:space="preserve">him </w:t>
      </w:r>
      <w:r w:rsidR="00BD44BF">
        <w:rPr>
          <w:rFonts w:cs="Arial"/>
          <w:szCs w:val="24"/>
        </w:rPr>
        <w:t>to New Zealand.</w:t>
      </w:r>
    </w:p>
    <w:p w14:paraId="03A0C233" w14:textId="77777777" w:rsidR="00D30CD7" w:rsidRPr="00D30CD7" w:rsidRDefault="00D30CD7" w:rsidP="001C6A35">
      <w:pPr>
        <w:numPr>
          <w:ilvl w:val="0"/>
          <w:numId w:val="7"/>
        </w:numPr>
        <w:spacing w:before="240" w:after="240"/>
        <w:rPr>
          <w:szCs w:val="24"/>
        </w:rPr>
      </w:pPr>
      <w:r>
        <w:rPr>
          <w:rFonts w:cs="Arial"/>
          <w:szCs w:val="24"/>
        </w:rPr>
        <w:t xml:space="preserve">Mr </w:t>
      </w:r>
      <w:r w:rsidR="008A04C3">
        <w:rPr>
          <w:rFonts w:cs="Arial"/>
          <w:szCs w:val="24"/>
        </w:rPr>
        <w:t>Tapara</w:t>
      </w:r>
      <w:r>
        <w:rPr>
          <w:rFonts w:cs="Arial"/>
          <w:szCs w:val="24"/>
        </w:rPr>
        <w:t xml:space="preserve"> complains that his detention </w:t>
      </w:r>
      <w:r w:rsidR="00ED6C4F">
        <w:rPr>
          <w:rFonts w:cs="Arial"/>
          <w:szCs w:val="24"/>
        </w:rPr>
        <w:t xml:space="preserve">at </w:t>
      </w:r>
      <w:r w:rsidR="00BD44BF">
        <w:rPr>
          <w:rFonts w:cs="Arial"/>
          <w:szCs w:val="24"/>
        </w:rPr>
        <w:t>MIDC</w:t>
      </w:r>
      <w:r w:rsidR="00ED6C4F">
        <w:rPr>
          <w:rFonts w:cs="Arial"/>
          <w:szCs w:val="24"/>
        </w:rPr>
        <w:t xml:space="preserve"> from </w:t>
      </w:r>
      <w:r w:rsidR="00BD44BF">
        <w:rPr>
          <w:rFonts w:cs="Arial"/>
          <w:szCs w:val="24"/>
        </w:rPr>
        <w:t xml:space="preserve">2 December 2011 </w:t>
      </w:r>
      <w:r w:rsidR="00ED6C4F">
        <w:rPr>
          <w:rFonts w:cs="Arial"/>
          <w:szCs w:val="24"/>
        </w:rPr>
        <w:t xml:space="preserve">until </w:t>
      </w:r>
      <w:r w:rsidR="00BA26C4">
        <w:rPr>
          <w:rFonts w:cs="Arial"/>
          <w:szCs w:val="24"/>
        </w:rPr>
        <w:t>1</w:t>
      </w:r>
      <w:r w:rsidR="00556B80">
        <w:rPr>
          <w:rFonts w:cs="Arial"/>
          <w:szCs w:val="24"/>
        </w:rPr>
        <w:t>0</w:t>
      </w:r>
      <w:r w:rsidR="00BA26C4">
        <w:rPr>
          <w:rFonts w:cs="Arial"/>
          <w:szCs w:val="24"/>
        </w:rPr>
        <w:t xml:space="preserve"> May 2013 </w:t>
      </w:r>
      <w:r>
        <w:rPr>
          <w:rFonts w:cs="Arial"/>
          <w:szCs w:val="24"/>
        </w:rPr>
        <w:t xml:space="preserve">was arbitrary, contrary to </w:t>
      </w:r>
      <w:r w:rsidR="00CC5324">
        <w:rPr>
          <w:rFonts w:cs="Arial"/>
          <w:szCs w:val="24"/>
        </w:rPr>
        <w:t>a</w:t>
      </w:r>
      <w:r>
        <w:rPr>
          <w:rFonts w:cs="Arial"/>
          <w:szCs w:val="24"/>
        </w:rPr>
        <w:t xml:space="preserve">rticle 9 of the </w:t>
      </w:r>
      <w:r w:rsidR="00AE5595" w:rsidRPr="00155EF4">
        <w:rPr>
          <w:rFonts w:cs="Arial"/>
          <w:i/>
          <w:szCs w:val="24"/>
        </w:rPr>
        <w:t>International Covenant on Civil and Political Rights</w:t>
      </w:r>
      <w:r w:rsidR="00AE5595" w:rsidRPr="00CF3DE8">
        <w:rPr>
          <w:rFonts w:cs="Arial"/>
          <w:szCs w:val="24"/>
        </w:rPr>
        <w:t xml:space="preserve"> (ICCPR)</w:t>
      </w:r>
      <w:r w:rsidR="00ED6C4F">
        <w:rPr>
          <w:rFonts w:cs="Arial"/>
          <w:szCs w:val="24"/>
        </w:rPr>
        <w:t>,</w:t>
      </w:r>
      <w:r>
        <w:rPr>
          <w:rFonts w:cs="Arial"/>
          <w:szCs w:val="24"/>
        </w:rPr>
        <w:t xml:space="preserve"> </w:t>
      </w:r>
      <w:r w:rsidR="009E3C55">
        <w:rPr>
          <w:rFonts w:cs="Arial"/>
          <w:szCs w:val="24"/>
        </w:rPr>
        <w:t>and interfered with his family</w:t>
      </w:r>
      <w:r w:rsidR="000B354E">
        <w:rPr>
          <w:rFonts w:cs="Arial"/>
          <w:szCs w:val="24"/>
        </w:rPr>
        <w:t>,</w:t>
      </w:r>
      <w:r w:rsidR="009E3C55">
        <w:rPr>
          <w:rFonts w:cs="Arial"/>
          <w:szCs w:val="24"/>
        </w:rPr>
        <w:t xml:space="preserve"> contrary to </w:t>
      </w:r>
      <w:r w:rsidR="00451AF8">
        <w:rPr>
          <w:rFonts w:cs="Arial"/>
          <w:szCs w:val="24"/>
        </w:rPr>
        <w:t>article</w:t>
      </w:r>
      <w:r w:rsidR="00CC5324">
        <w:rPr>
          <w:rFonts w:cs="Arial"/>
          <w:szCs w:val="24"/>
        </w:rPr>
        <w:t>s</w:t>
      </w:r>
      <w:r w:rsidR="00451AF8">
        <w:rPr>
          <w:rFonts w:cs="Arial"/>
          <w:szCs w:val="24"/>
        </w:rPr>
        <w:t xml:space="preserve"> 17 and </w:t>
      </w:r>
      <w:r w:rsidR="000B354E">
        <w:rPr>
          <w:rFonts w:cs="Arial"/>
          <w:szCs w:val="24"/>
        </w:rPr>
        <w:t>23 of the ICCPR.</w:t>
      </w:r>
    </w:p>
    <w:p w14:paraId="4946D706" w14:textId="77777777" w:rsidR="00CF3DE8" w:rsidRDefault="00FE0CF3" w:rsidP="00CF3DE8">
      <w:pPr>
        <w:numPr>
          <w:ilvl w:val="0"/>
          <w:numId w:val="7"/>
        </w:numPr>
        <w:spacing w:before="240" w:after="240"/>
        <w:rPr>
          <w:szCs w:val="24"/>
        </w:rPr>
      </w:pPr>
      <w:r>
        <w:t xml:space="preserve">This inquiry has been undertaken pursuant to s 11(1)(f) of the </w:t>
      </w:r>
      <w:r w:rsidRPr="004F4BE7">
        <w:rPr>
          <w:i/>
        </w:rPr>
        <w:t>A</w:t>
      </w:r>
      <w:r w:rsidR="004F4BE7" w:rsidRPr="004F4BE7">
        <w:rPr>
          <w:i/>
        </w:rPr>
        <w:t xml:space="preserve">ustralian </w:t>
      </w:r>
      <w:r w:rsidRPr="004F4BE7">
        <w:rPr>
          <w:i/>
        </w:rPr>
        <w:t>H</w:t>
      </w:r>
      <w:r w:rsidR="004F4BE7" w:rsidRPr="004F4BE7">
        <w:rPr>
          <w:i/>
        </w:rPr>
        <w:t xml:space="preserve">uman </w:t>
      </w:r>
      <w:r w:rsidRPr="004F4BE7">
        <w:rPr>
          <w:i/>
        </w:rPr>
        <w:t>R</w:t>
      </w:r>
      <w:r w:rsidR="004F4BE7" w:rsidRPr="004F4BE7">
        <w:rPr>
          <w:i/>
        </w:rPr>
        <w:t xml:space="preserve">ights </w:t>
      </w:r>
      <w:r w:rsidRPr="004F4BE7">
        <w:rPr>
          <w:i/>
        </w:rPr>
        <w:t>C</w:t>
      </w:r>
      <w:r w:rsidR="004F4BE7" w:rsidRPr="004F4BE7">
        <w:rPr>
          <w:i/>
        </w:rPr>
        <w:t xml:space="preserve">ommission </w:t>
      </w:r>
      <w:r w:rsidRPr="004F4BE7">
        <w:rPr>
          <w:i/>
        </w:rPr>
        <w:t>Act</w:t>
      </w:r>
      <w:r w:rsidR="004F4BE7" w:rsidRPr="004F4BE7">
        <w:rPr>
          <w:i/>
        </w:rPr>
        <w:t xml:space="preserve"> 1986</w:t>
      </w:r>
      <w:r w:rsidR="004F4BE7">
        <w:t xml:space="preserve"> (Cth) (AHRC Act)</w:t>
      </w:r>
      <w:r w:rsidRPr="00CF3DE8">
        <w:rPr>
          <w:i/>
        </w:rPr>
        <w:t>.</w:t>
      </w:r>
      <w:r w:rsidR="00F17E4F">
        <w:t xml:space="preserve"> </w:t>
      </w:r>
    </w:p>
    <w:p w14:paraId="3DB3D95F" w14:textId="77777777" w:rsidR="00FE0CF3" w:rsidRDefault="00FE0CF3" w:rsidP="00CF3DE8">
      <w:pPr>
        <w:numPr>
          <w:ilvl w:val="0"/>
          <w:numId w:val="7"/>
        </w:numPr>
        <w:spacing w:before="240" w:after="240"/>
        <w:rPr>
          <w:szCs w:val="24"/>
        </w:rPr>
      </w:pPr>
      <w:r w:rsidRPr="00CF3DE8">
        <w:rPr>
          <w:szCs w:val="24"/>
        </w:rPr>
        <w:t xml:space="preserve">As a result of the inquiry, </w:t>
      </w:r>
      <w:r w:rsidR="0081338D">
        <w:rPr>
          <w:szCs w:val="24"/>
        </w:rPr>
        <w:t xml:space="preserve">I find </w:t>
      </w:r>
      <w:r w:rsidRPr="00CF3DE8">
        <w:rPr>
          <w:szCs w:val="24"/>
        </w:rPr>
        <w:t>that</w:t>
      </w:r>
      <w:r w:rsidR="00C16386">
        <w:rPr>
          <w:szCs w:val="24"/>
        </w:rPr>
        <w:t xml:space="preserve"> the</w:t>
      </w:r>
      <w:r w:rsidR="007627F7">
        <w:rPr>
          <w:szCs w:val="24"/>
        </w:rPr>
        <w:t xml:space="preserve"> </w:t>
      </w:r>
      <w:r w:rsidRPr="00CF3DE8">
        <w:rPr>
          <w:szCs w:val="24"/>
        </w:rPr>
        <w:t xml:space="preserve">acts of the Commonwealth identified below were inconsistent with </w:t>
      </w:r>
      <w:r w:rsidR="00D3220E" w:rsidRPr="00CF3DE8">
        <w:rPr>
          <w:szCs w:val="24"/>
        </w:rPr>
        <w:t xml:space="preserve">or contrary to human rights </w:t>
      </w:r>
      <w:r w:rsidR="00C9359D">
        <w:rPr>
          <w:rFonts w:cs="Arial"/>
          <w:szCs w:val="24"/>
        </w:rPr>
        <w:t>recognised</w:t>
      </w:r>
      <w:r w:rsidR="00C9359D" w:rsidRPr="00CF3DE8">
        <w:rPr>
          <w:rFonts w:cs="Arial"/>
          <w:szCs w:val="24"/>
        </w:rPr>
        <w:t xml:space="preserve"> </w:t>
      </w:r>
      <w:r w:rsidR="00D3220E" w:rsidRPr="00CF3DE8">
        <w:rPr>
          <w:rFonts w:cs="Arial"/>
          <w:szCs w:val="24"/>
        </w:rPr>
        <w:t xml:space="preserve">in </w:t>
      </w:r>
      <w:r w:rsidR="00C9359D">
        <w:rPr>
          <w:rFonts w:cs="Arial"/>
          <w:szCs w:val="24"/>
        </w:rPr>
        <w:t xml:space="preserve">articles 9(1), 17(1) and 23(1) of </w:t>
      </w:r>
      <w:r w:rsidR="00D3220E" w:rsidRPr="00CF3DE8">
        <w:rPr>
          <w:rFonts w:cs="Arial"/>
          <w:szCs w:val="24"/>
        </w:rPr>
        <w:t>the</w:t>
      </w:r>
      <w:r w:rsidR="00AE5595">
        <w:rPr>
          <w:szCs w:val="24"/>
        </w:rPr>
        <w:t xml:space="preserve"> ICCPR.</w:t>
      </w:r>
    </w:p>
    <w:p w14:paraId="37A6E356" w14:textId="77777777" w:rsidR="004F4BE7" w:rsidRDefault="004F4BE7" w:rsidP="00CF3DE8">
      <w:pPr>
        <w:numPr>
          <w:ilvl w:val="0"/>
          <w:numId w:val="7"/>
        </w:numPr>
        <w:spacing w:before="240" w:after="240"/>
        <w:rPr>
          <w:szCs w:val="24"/>
        </w:rPr>
      </w:pPr>
      <w:r>
        <w:rPr>
          <w:szCs w:val="24"/>
        </w:rPr>
        <w:t xml:space="preserve">The recommendations made in this </w:t>
      </w:r>
      <w:r w:rsidR="00615597">
        <w:rPr>
          <w:szCs w:val="24"/>
        </w:rPr>
        <w:t xml:space="preserve">notice </w:t>
      </w:r>
      <w:r>
        <w:rPr>
          <w:szCs w:val="24"/>
        </w:rPr>
        <w:t>are that:</w:t>
      </w:r>
    </w:p>
    <w:p w14:paraId="186C1B35" w14:textId="77777777" w:rsidR="004F4BE7" w:rsidRDefault="004F4BE7" w:rsidP="004F4BE7">
      <w:pPr>
        <w:numPr>
          <w:ilvl w:val="1"/>
          <w:numId w:val="7"/>
        </w:numPr>
        <w:spacing w:before="240" w:after="240"/>
        <w:rPr>
          <w:szCs w:val="24"/>
        </w:rPr>
      </w:pPr>
      <w:r>
        <w:rPr>
          <w:szCs w:val="24"/>
        </w:rPr>
        <w:t>The Commonwealth pay to Mr Tapara compensation in the amount of $</w:t>
      </w:r>
      <w:r w:rsidR="0036253D">
        <w:rPr>
          <w:szCs w:val="24"/>
        </w:rPr>
        <w:t xml:space="preserve">100 </w:t>
      </w:r>
      <w:r w:rsidR="00B43012">
        <w:rPr>
          <w:szCs w:val="24"/>
        </w:rPr>
        <w:t>000</w:t>
      </w:r>
      <w:r>
        <w:rPr>
          <w:szCs w:val="24"/>
        </w:rPr>
        <w:t>; and</w:t>
      </w:r>
    </w:p>
    <w:p w14:paraId="065C863E" w14:textId="77777777" w:rsidR="004F4BE7" w:rsidRPr="00CF3DE8" w:rsidRDefault="004F4BE7" w:rsidP="004F4BE7">
      <w:pPr>
        <w:numPr>
          <w:ilvl w:val="1"/>
          <w:numId w:val="7"/>
        </w:numPr>
        <w:spacing w:before="240" w:after="240"/>
        <w:rPr>
          <w:szCs w:val="24"/>
        </w:rPr>
      </w:pPr>
      <w:r>
        <w:rPr>
          <w:szCs w:val="24"/>
        </w:rPr>
        <w:t>The Commonwealth provide a formal written apology to Mr Tapara</w:t>
      </w:r>
      <w:r w:rsidR="0050680A">
        <w:rPr>
          <w:szCs w:val="24"/>
        </w:rPr>
        <w:t>.</w:t>
      </w:r>
    </w:p>
    <w:p w14:paraId="26969EAA" w14:textId="77777777" w:rsidR="00FF2427" w:rsidRDefault="0036202C">
      <w:pPr>
        <w:pStyle w:val="Heading1"/>
      </w:pPr>
      <w:bookmarkStart w:id="1" w:name="_Toc282871315"/>
      <w:r>
        <w:t>Background</w:t>
      </w:r>
      <w:bookmarkEnd w:id="1"/>
      <w:r w:rsidR="00EA244E">
        <w:t xml:space="preserve"> </w:t>
      </w:r>
    </w:p>
    <w:p w14:paraId="7B51A4B0" w14:textId="77777777" w:rsidR="003B1B93" w:rsidRPr="00F5624A" w:rsidRDefault="00E908FF" w:rsidP="00F5624A">
      <w:pPr>
        <w:numPr>
          <w:ilvl w:val="0"/>
          <w:numId w:val="7"/>
        </w:numPr>
        <w:spacing w:before="240" w:after="240"/>
        <w:rPr>
          <w:rFonts w:cs="Arial"/>
          <w:szCs w:val="24"/>
        </w:rPr>
      </w:pPr>
      <w:r>
        <w:rPr>
          <w:rFonts w:cs="Arial"/>
          <w:szCs w:val="24"/>
        </w:rPr>
        <w:t>Mr</w:t>
      </w:r>
      <w:r w:rsidR="00F5624A">
        <w:rPr>
          <w:rFonts w:cs="Arial"/>
          <w:szCs w:val="24"/>
        </w:rPr>
        <w:t xml:space="preserve"> Tapara</w:t>
      </w:r>
      <w:r w:rsidR="0037654D" w:rsidRPr="00F5624A">
        <w:rPr>
          <w:rFonts w:cs="Arial"/>
          <w:szCs w:val="24"/>
        </w:rPr>
        <w:t xml:space="preserve"> was born in New Zealan</w:t>
      </w:r>
      <w:r w:rsidR="00DB5848">
        <w:rPr>
          <w:rFonts w:cs="Arial"/>
          <w:szCs w:val="24"/>
        </w:rPr>
        <w:t>d</w:t>
      </w:r>
      <w:r w:rsidR="00521D6E">
        <w:rPr>
          <w:rFonts w:cs="Arial"/>
          <w:szCs w:val="24"/>
        </w:rPr>
        <w:t xml:space="preserve"> and is</w:t>
      </w:r>
      <w:r w:rsidR="0037654D" w:rsidRPr="00F5624A">
        <w:rPr>
          <w:rFonts w:cs="Arial"/>
          <w:szCs w:val="24"/>
        </w:rPr>
        <w:t xml:space="preserve"> a citizen of New Zealand. He first came to Australia on 4 March 2006 when he was 39 years of age. He left Australia on 13 August 2006, returning two days later on a class TY subclass 444 Special Category (Temporary) visa granted on 15 Aug</w:t>
      </w:r>
      <w:r w:rsidR="001A4491" w:rsidRPr="00F5624A">
        <w:rPr>
          <w:rFonts w:cs="Arial"/>
          <w:szCs w:val="24"/>
        </w:rPr>
        <w:t xml:space="preserve">ust </w:t>
      </w:r>
      <w:r w:rsidR="003B1B93" w:rsidRPr="00F5624A">
        <w:rPr>
          <w:rFonts w:cs="Arial"/>
          <w:szCs w:val="24"/>
        </w:rPr>
        <w:t>2006.</w:t>
      </w:r>
      <w:r w:rsidR="00211A77">
        <w:rPr>
          <w:rFonts w:cs="Arial"/>
          <w:szCs w:val="24"/>
        </w:rPr>
        <w:t xml:space="preserve"> This visa allows the holder to remain in Australia indefinitely while they remain a citizen of New Zealand.</w:t>
      </w:r>
    </w:p>
    <w:p w14:paraId="0627F857" w14:textId="77777777" w:rsidR="00D80831" w:rsidRDefault="003B1B93" w:rsidP="00D80831">
      <w:pPr>
        <w:pStyle w:val="ListParagraph"/>
        <w:numPr>
          <w:ilvl w:val="0"/>
          <w:numId w:val="7"/>
        </w:numPr>
      </w:pPr>
      <w:r w:rsidRPr="00F5624A">
        <w:t xml:space="preserve">On 23 June 2010, </w:t>
      </w:r>
      <w:r w:rsidR="002615F8">
        <w:t>Mr Tapara</w:t>
      </w:r>
      <w:r w:rsidRPr="00F5624A">
        <w:t xml:space="preserve"> was convicted in the Supreme Court of Queensland of one count of </w:t>
      </w:r>
      <w:r w:rsidR="00371847">
        <w:t>‘</w:t>
      </w:r>
      <w:r w:rsidRPr="00F5624A">
        <w:t>causing grievous bodily harm with intent</w:t>
      </w:r>
      <w:r w:rsidR="00371847">
        <w:t>’</w:t>
      </w:r>
      <w:r w:rsidRPr="00F5624A">
        <w:t xml:space="preserve"> under s</w:t>
      </w:r>
      <w:r w:rsidR="00556B80">
        <w:t> </w:t>
      </w:r>
      <w:r w:rsidRPr="00F5624A">
        <w:t xml:space="preserve">317 of the </w:t>
      </w:r>
      <w:r w:rsidRPr="00556B80">
        <w:rPr>
          <w:i/>
        </w:rPr>
        <w:t>Criminal Code 1899</w:t>
      </w:r>
      <w:r w:rsidRPr="00F5624A">
        <w:t xml:space="preserve"> (Qld) and sentenced to five years and six months imprisonment.</w:t>
      </w:r>
      <w:r w:rsidR="00F75372">
        <w:rPr>
          <w:rStyle w:val="EndnoteReference"/>
        </w:rPr>
        <w:endnoteReference w:id="1"/>
      </w:r>
      <w:r w:rsidRPr="00F5624A">
        <w:t xml:space="preserve"> His conviction arose out of his conduct on 22 February 2009, when shortly after an altercation at a hotel in Southport, Queensland, </w:t>
      </w:r>
      <w:r w:rsidR="00502781">
        <w:t>Mr Tapara</w:t>
      </w:r>
      <w:r w:rsidRPr="00F5624A">
        <w:t xml:space="preserve"> drove his car deliberately to collide with another man.</w:t>
      </w:r>
      <w:r w:rsidR="00AC5522">
        <w:t xml:space="preserve"> </w:t>
      </w:r>
      <w:r w:rsidR="00D80831">
        <w:t xml:space="preserve">Mr Tapara was incarcerated at the Woodford Correctional Centre from 3 March 2009. </w:t>
      </w:r>
    </w:p>
    <w:p w14:paraId="466ED395" w14:textId="77777777" w:rsidR="0038067B" w:rsidRPr="00022CD1" w:rsidRDefault="00AC5522" w:rsidP="00AC5522">
      <w:pPr>
        <w:numPr>
          <w:ilvl w:val="0"/>
          <w:numId w:val="7"/>
        </w:numPr>
        <w:spacing w:before="240" w:after="240"/>
        <w:rPr>
          <w:rFonts w:cs="Arial"/>
          <w:szCs w:val="24"/>
        </w:rPr>
      </w:pPr>
      <w:r w:rsidRPr="00022CD1">
        <w:rPr>
          <w:rFonts w:cs="Arial"/>
          <w:szCs w:val="24"/>
        </w:rPr>
        <w:t xml:space="preserve">On 28 September 2011, a delegate of the Minister for Immigration and Citizenship decided to cancel Mr Tapara’s visa </w:t>
      </w:r>
      <w:r w:rsidR="00B24BF3" w:rsidRPr="00022CD1">
        <w:rPr>
          <w:rFonts w:cs="Arial"/>
          <w:szCs w:val="24"/>
        </w:rPr>
        <w:t xml:space="preserve">under s 501(2) of the </w:t>
      </w:r>
      <w:r w:rsidR="00B24BF3" w:rsidRPr="00502781">
        <w:rPr>
          <w:rFonts w:cs="Arial"/>
          <w:szCs w:val="24"/>
        </w:rPr>
        <w:t xml:space="preserve">Migration Act. </w:t>
      </w:r>
    </w:p>
    <w:p w14:paraId="24B7DAE4" w14:textId="77777777" w:rsidR="000C04D8" w:rsidRPr="003663E3" w:rsidRDefault="00F75372" w:rsidP="00E33622">
      <w:pPr>
        <w:numPr>
          <w:ilvl w:val="0"/>
          <w:numId w:val="7"/>
        </w:numPr>
        <w:spacing w:before="240" w:after="240"/>
        <w:rPr>
          <w:rFonts w:cs="Arial"/>
          <w:szCs w:val="24"/>
        </w:rPr>
      </w:pPr>
      <w:r w:rsidRPr="00E33622">
        <w:rPr>
          <w:rFonts w:cs="Arial"/>
          <w:szCs w:val="24"/>
        </w:rPr>
        <w:lastRenderedPageBreak/>
        <w:t>On 2</w:t>
      </w:r>
      <w:r w:rsidR="003F734E">
        <w:rPr>
          <w:rFonts w:cs="Arial"/>
          <w:szCs w:val="24"/>
        </w:rPr>
        <w:t>3 November</w:t>
      </w:r>
      <w:r w:rsidRPr="00E33622">
        <w:rPr>
          <w:rFonts w:cs="Arial"/>
          <w:szCs w:val="24"/>
        </w:rPr>
        <w:t xml:space="preserve"> 2011, the Southern Queensland Regional Parole Board decided to grant Mr Tapara his release on parole with effect from 2 December 2011.</w:t>
      </w:r>
      <w:r w:rsidR="0038067B" w:rsidRPr="00E33622">
        <w:rPr>
          <w:rFonts w:cs="Arial"/>
          <w:szCs w:val="24"/>
        </w:rPr>
        <w:t xml:space="preserve"> Mr </w:t>
      </w:r>
      <w:r w:rsidRPr="00E33622">
        <w:rPr>
          <w:rFonts w:cs="Arial"/>
          <w:szCs w:val="24"/>
        </w:rPr>
        <w:t xml:space="preserve">Tapara </w:t>
      </w:r>
      <w:r w:rsidR="0038067B" w:rsidRPr="00E33622">
        <w:rPr>
          <w:rFonts w:cs="Arial"/>
          <w:szCs w:val="24"/>
        </w:rPr>
        <w:t>was released from</w:t>
      </w:r>
      <w:r w:rsidR="00CA4434" w:rsidRPr="00E33622">
        <w:rPr>
          <w:rFonts w:cs="Arial"/>
          <w:szCs w:val="24"/>
        </w:rPr>
        <w:t xml:space="preserve"> police custody and </w:t>
      </w:r>
      <w:r w:rsidR="000C04D8" w:rsidRPr="00E33622">
        <w:rPr>
          <w:rFonts w:cs="Arial"/>
          <w:szCs w:val="24"/>
        </w:rPr>
        <w:t>immediately taken into immigration detention</w:t>
      </w:r>
      <w:r w:rsidR="00E965FA" w:rsidRPr="00E33622">
        <w:rPr>
          <w:rFonts w:cs="Arial"/>
          <w:szCs w:val="24"/>
        </w:rPr>
        <w:t xml:space="preserve"> under s 189(1) of the Migration Act</w:t>
      </w:r>
      <w:r w:rsidR="000C04D8" w:rsidRPr="00E33622">
        <w:rPr>
          <w:rFonts w:cs="Arial"/>
          <w:szCs w:val="24"/>
        </w:rPr>
        <w:t xml:space="preserve">, first at the Brisbane Immigration Transit </w:t>
      </w:r>
      <w:r w:rsidR="007E5A95" w:rsidRPr="00E33622">
        <w:rPr>
          <w:rFonts w:cs="Arial"/>
          <w:szCs w:val="24"/>
        </w:rPr>
        <w:t>Accommodation</w:t>
      </w:r>
      <w:r w:rsidR="000C04D8" w:rsidRPr="00E33622">
        <w:rPr>
          <w:rFonts w:cs="Arial"/>
          <w:szCs w:val="24"/>
        </w:rPr>
        <w:t xml:space="preserve"> (BITA) and then to </w:t>
      </w:r>
      <w:r w:rsidR="007E5A95" w:rsidRPr="00E33622">
        <w:rPr>
          <w:rFonts w:cs="Arial"/>
          <w:szCs w:val="24"/>
        </w:rPr>
        <w:t>MI</w:t>
      </w:r>
      <w:r w:rsidR="00483582">
        <w:rPr>
          <w:rFonts w:cs="Arial"/>
          <w:szCs w:val="24"/>
        </w:rPr>
        <w:t>DC</w:t>
      </w:r>
      <w:r w:rsidR="000C04D8" w:rsidRPr="00E33622">
        <w:rPr>
          <w:rFonts w:cs="Arial"/>
          <w:szCs w:val="24"/>
        </w:rPr>
        <w:t>.</w:t>
      </w:r>
      <w:r w:rsidR="004666CA" w:rsidRPr="00E33622">
        <w:rPr>
          <w:rFonts w:cs="Arial"/>
          <w:szCs w:val="24"/>
        </w:rPr>
        <w:t xml:space="preserve"> He remained at the MI</w:t>
      </w:r>
      <w:r w:rsidR="00483582">
        <w:rPr>
          <w:rFonts w:cs="Arial"/>
          <w:szCs w:val="24"/>
        </w:rPr>
        <w:t>DC</w:t>
      </w:r>
      <w:r w:rsidR="004666CA" w:rsidRPr="00E33622">
        <w:rPr>
          <w:rFonts w:cs="Arial"/>
          <w:szCs w:val="24"/>
        </w:rPr>
        <w:t xml:space="preserve"> until his involuntary removal from Australia </w:t>
      </w:r>
      <w:r w:rsidR="004666CA" w:rsidRPr="003663E3">
        <w:rPr>
          <w:rFonts w:cs="Arial"/>
          <w:szCs w:val="24"/>
        </w:rPr>
        <w:t>on 1</w:t>
      </w:r>
      <w:r w:rsidR="0071236F" w:rsidRPr="003663E3">
        <w:rPr>
          <w:rFonts w:cs="Arial"/>
          <w:szCs w:val="24"/>
        </w:rPr>
        <w:t>0</w:t>
      </w:r>
      <w:r w:rsidR="004666CA" w:rsidRPr="003663E3">
        <w:rPr>
          <w:rFonts w:cs="Arial"/>
          <w:szCs w:val="24"/>
        </w:rPr>
        <w:t xml:space="preserve"> May 2013.</w:t>
      </w:r>
    </w:p>
    <w:p w14:paraId="3C55158D" w14:textId="77777777" w:rsidR="007E5A95" w:rsidRPr="00E33622" w:rsidRDefault="000C04D8" w:rsidP="00E33622">
      <w:pPr>
        <w:numPr>
          <w:ilvl w:val="0"/>
          <w:numId w:val="7"/>
        </w:numPr>
        <w:spacing w:before="240" w:after="240"/>
        <w:rPr>
          <w:rFonts w:cs="Arial"/>
          <w:szCs w:val="24"/>
        </w:rPr>
      </w:pPr>
      <w:r w:rsidRPr="00E33622">
        <w:rPr>
          <w:rFonts w:cs="Arial"/>
          <w:szCs w:val="24"/>
        </w:rPr>
        <w:t>At the time of Mr Tapara’s conviction</w:t>
      </w:r>
      <w:r w:rsidR="0036606A">
        <w:rPr>
          <w:rFonts w:cs="Arial"/>
          <w:szCs w:val="24"/>
        </w:rPr>
        <w:t>,</w:t>
      </w:r>
      <w:r w:rsidRPr="00E33622">
        <w:rPr>
          <w:rFonts w:cs="Arial"/>
          <w:szCs w:val="24"/>
        </w:rPr>
        <w:t xml:space="preserve"> he had two previous convictions in New Zealand. In 1991 and 1992, he was convicted as party to offences involving kidnapping and aggravated burglary involving the use of a firearm. Mr Tapara was the driver of a vehicle associated with these offences. The longest sentence imposed was for 10 years imprisonment</w:t>
      </w:r>
      <w:r w:rsidR="007E5A95" w:rsidRPr="00E33622">
        <w:rPr>
          <w:rFonts w:cs="Arial"/>
          <w:szCs w:val="24"/>
        </w:rPr>
        <w:t>. Mr Tapara served seven years of that sentence</w:t>
      </w:r>
      <w:r w:rsidR="00512976">
        <w:rPr>
          <w:rFonts w:cs="Arial"/>
          <w:szCs w:val="24"/>
        </w:rPr>
        <w:t xml:space="preserve"> in New Zealand</w:t>
      </w:r>
      <w:r w:rsidR="007E5A95" w:rsidRPr="00E33622">
        <w:rPr>
          <w:rFonts w:cs="Arial"/>
          <w:szCs w:val="24"/>
        </w:rPr>
        <w:t>.</w:t>
      </w:r>
    </w:p>
    <w:p w14:paraId="272888F5" w14:textId="77777777" w:rsidR="00E17598" w:rsidRPr="00915171" w:rsidRDefault="005C7727" w:rsidP="0038067B">
      <w:pPr>
        <w:pStyle w:val="ListParagraph"/>
        <w:numPr>
          <w:ilvl w:val="0"/>
          <w:numId w:val="7"/>
        </w:numPr>
      </w:pPr>
      <w:r>
        <w:t>In mid-2009, w</w:t>
      </w:r>
      <w:r w:rsidR="004666CA">
        <w:t>hile Mr Tapara was incarcerated in Woodford Correctional Centre, Mr Tapara met and formed a relationship with Ms Michelle Dunn</w:t>
      </w:r>
      <w:r w:rsidR="00211A77">
        <w:t>.</w:t>
      </w:r>
      <w:r w:rsidR="004666CA">
        <w:t xml:space="preserve"> They </w:t>
      </w:r>
      <w:r>
        <w:t xml:space="preserve">later </w:t>
      </w:r>
      <w:r w:rsidR="004666CA">
        <w:t>married on 4 February 2012.</w:t>
      </w:r>
      <w:r w:rsidR="00211A77">
        <w:t xml:space="preserve"> Mr Tapara </w:t>
      </w:r>
      <w:r w:rsidR="00D10EE5">
        <w:t xml:space="preserve">claims that he </w:t>
      </w:r>
      <w:r w:rsidR="00211A77">
        <w:t xml:space="preserve">also formed a close relationship with Ms </w:t>
      </w:r>
      <w:r w:rsidR="00211A77" w:rsidRPr="003663E3">
        <w:t xml:space="preserve">Dunn’s three children, </w:t>
      </w:r>
      <w:r w:rsidR="00244967" w:rsidRPr="003663E3">
        <w:t>William</w:t>
      </w:r>
      <w:r w:rsidR="00C81A7A">
        <w:t xml:space="preserve"> (</w:t>
      </w:r>
      <w:r w:rsidR="004E27CC">
        <w:t>born 17 February 1994)</w:t>
      </w:r>
      <w:r w:rsidR="00244967" w:rsidRPr="003663E3">
        <w:t>, Jennifer</w:t>
      </w:r>
      <w:r w:rsidR="00C81A7A">
        <w:t xml:space="preserve"> (</w:t>
      </w:r>
      <w:r w:rsidR="004E27CC">
        <w:t>born 18 August 1996)</w:t>
      </w:r>
      <w:r w:rsidR="00244967" w:rsidRPr="003663E3">
        <w:t xml:space="preserve"> and Britney</w:t>
      </w:r>
      <w:r w:rsidR="00C81A7A">
        <w:t xml:space="preserve"> (</w:t>
      </w:r>
      <w:r w:rsidR="004E27CC">
        <w:t>born 11 July 1999</w:t>
      </w:r>
      <w:r w:rsidR="00C81A7A">
        <w:t>)</w:t>
      </w:r>
      <w:r w:rsidR="00244967" w:rsidRPr="003663E3">
        <w:t>.</w:t>
      </w:r>
      <w:r w:rsidR="00D10EE5" w:rsidRPr="003663E3">
        <w:t xml:space="preserve"> He</w:t>
      </w:r>
      <w:r w:rsidR="00D10EE5">
        <w:t xml:space="preserve"> further claims that Ms Dunn and the children have serious health conditions requiring his care and financial support. He states that he is also close to his older brother and </w:t>
      </w:r>
      <w:r w:rsidR="00422FED">
        <w:t xml:space="preserve">his </w:t>
      </w:r>
      <w:r w:rsidR="00422FED" w:rsidRPr="00915171">
        <w:t xml:space="preserve">four </w:t>
      </w:r>
      <w:r w:rsidR="00512976" w:rsidRPr="00915171">
        <w:t>nieces and nephews</w:t>
      </w:r>
      <w:r w:rsidR="00CB2497" w:rsidRPr="00915171">
        <w:t xml:space="preserve"> who reside in </w:t>
      </w:r>
      <w:r w:rsidR="001C1099" w:rsidRPr="00915171">
        <w:t>Brisbane</w:t>
      </w:r>
      <w:r w:rsidR="00D10EE5" w:rsidRPr="00915171">
        <w:t>.</w:t>
      </w:r>
    </w:p>
    <w:p w14:paraId="591AE476" w14:textId="77777777" w:rsidR="00237A3B" w:rsidRDefault="002B2CD2" w:rsidP="00E33622">
      <w:pPr>
        <w:numPr>
          <w:ilvl w:val="0"/>
          <w:numId w:val="7"/>
        </w:numPr>
        <w:spacing w:before="240" w:after="240"/>
        <w:rPr>
          <w:rFonts w:cs="Arial"/>
          <w:szCs w:val="24"/>
        </w:rPr>
      </w:pPr>
      <w:r>
        <w:rPr>
          <w:rFonts w:cs="Arial"/>
          <w:szCs w:val="24"/>
        </w:rPr>
        <w:t>Mr Tapara remained i</w:t>
      </w:r>
      <w:r w:rsidR="00945673" w:rsidRPr="00E33622">
        <w:rPr>
          <w:rFonts w:cs="Arial"/>
          <w:szCs w:val="24"/>
        </w:rPr>
        <w:t>n detention</w:t>
      </w:r>
      <w:r>
        <w:rPr>
          <w:rFonts w:cs="Arial"/>
          <w:szCs w:val="24"/>
        </w:rPr>
        <w:t xml:space="preserve"> while he </w:t>
      </w:r>
      <w:r w:rsidR="00945673" w:rsidRPr="00E33622">
        <w:rPr>
          <w:rFonts w:cs="Arial"/>
          <w:szCs w:val="24"/>
        </w:rPr>
        <w:t>exhausted the legal avenues of appeal available to him. O</w:t>
      </w:r>
      <w:r w:rsidR="00237A3B" w:rsidRPr="00E33622">
        <w:rPr>
          <w:rFonts w:cs="Arial"/>
          <w:szCs w:val="24"/>
        </w:rPr>
        <w:t>n 22 December</w:t>
      </w:r>
      <w:r>
        <w:rPr>
          <w:rFonts w:cs="Arial"/>
          <w:szCs w:val="24"/>
        </w:rPr>
        <w:t xml:space="preserve"> 2011</w:t>
      </w:r>
      <w:r w:rsidR="00237A3B" w:rsidRPr="00E33622">
        <w:rPr>
          <w:rFonts w:cs="Arial"/>
          <w:szCs w:val="24"/>
        </w:rPr>
        <w:t xml:space="preserve">, the Administrative Appeals Tribunal affirmed the Minister’s decision to cancel Mr Tapara’s TY 444 visa. On 19 January 2012, Mr Tapara sought judicial review of this decision in the Federal Court. </w:t>
      </w:r>
      <w:r w:rsidR="00945673" w:rsidRPr="00E33622">
        <w:rPr>
          <w:rFonts w:cs="Arial"/>
          <w:szCs w:val="24"/>
        </w:rPr>
        <w:t>On 28 February 2013, the Federal Court dismissed Mr Tapara’s application to set aside the Administrative Appeals Tribunal decision.</w:t>
      </w:r>
    </w:p>
    <w:p w14:paraId="77BB6B50" w14:textId="77777777" w:rsidR="00F8014E" w:rsidRDefault="00F8014E" w:rsidP="00F8014E">
      <w:pPr>
        <w:pStyle w:val="Heading1"/>
      </w:pPr>
      <w:bookmarkStart w:id="2" w:name="_Toc282871316"/>
      <w:r>
        <w:t>Legislative framework</w:t>
      </w:r>
      <w:bookmarkEnd w:id="2"/>
    </w:p>
    <w:p w14:paraId="6C10E434" w14:textId="77777777" w:rsidR="00C56785" w:rsidRPr="0008392C" w:rsidRDefault="00C56785" w:rsidP="00F8014E">
      <w:pPr>
        <w:pStyle w:val="Heading2"/>
      </w:pPr>
      <w:bookmarkStart w:id="3" w:name="_Toc282871317"/>
      <w:r w:rsidRPr="0008392C">
        <w:t>Functions of the Commission</w:t>
      </w:r>
      <w:bookmarkEnd w:id="3"/>
    </w:p>
    <w:p w14:paraId="5F0FA0BD" w14:textId="77777777" w:rsidR="00C56785" w:rsidRPr="0008392C" w:rsidRDefault="00CB4EF3" w:rsidP="0008392C">
      <w:pPr>
        <w:numPr>
          <w:ilvl w:val="0"/>
          <w:numId w:val="7"/>
        </w:numPr>
        <w:tabs>
          <w:tab w:val="num" w:pos="960"/>
        </w:tabs>
        <w:spacing w:before="240" w:after="240"/>
        <w:rPr>
          <w:szCs w:val="24"/>
        </w:rPr>
      </w:pPr>
      <w:r>
        <w:rPr>
          <w:szCs w:val="24"/>
        </w:rPr>
        <w:t>Section 11(1)</w:t>
      </w:r>
      <w:r w:rsidR="00C56785" w:rsidRPr="0008392C">
        <w:rPr>
          <w:szCs w:val="24"/>
        </w:rPr>
        <w:t xml:space="preserve">(f) of the AHRC Act empowers the Commission to inquire into any act or practice that may be inconsistent with or contrary to any human right. </w:t>
      </w:r>
    </w:p>
    <w:p w14:paraId="75966A9E" w14:textId="77777777" w:rsidR="00C56785" w:rsidRDefault="00CB4EF3" w:rsidP="0008392C">
      <w:pPr>
        <w:numPr>
          <w:ilvl w:val="0"/>
          <w:numId w:val="7"/>
        </w:numPr>
        <w:tabs>
          <w:tab w:val="num" w:pos="960"/>
        </w:tabs>
        <w:spacing w:before="240" w:after="240"/>
        <w:rPr>
          <w:szCs w:val="24"/>
        </w:rPr>
      </w:pPr>
      <w:r>
        <w:rPr>
          <w:szCs w:val="24"/>
        </w:rPr>
        <w:t>Section 20(1)</w:t>
      </w:r>
      <w:r w:rsidR="00C56785" w:rsidRPr="0008392C">
        <w:rPr>
          <w:szCs w:val="24"/>
        </w:rPr>
        <w:t>(b) of the AHRC Act requires the Commission to perform that function when a complaint is made to it in writing alleging such an act or practice.</w:t>
      </w:r>
    </w:p>
    <w:p w14:paraId="2685282F" w14:textId="195E7B0C" w:rsidR="003D2F3C" w:rsidRPr="009A531E" w:rsidRDefault="003D2F3C" w:rsidP="003D2F3C">
      <w:pPr>
        <w:pStyle w:val="Heading2"/>
      </w:pPr>
      <w:bookmarkStart w:id="4" w:name="_Toc328405012"/>
      <w:bookmarkStart w:id="5" w:name="_Toc282871318"/>
      <w:r w:rsidRPr="009A531E">
        <w:t>What is an ‘act’ or ‘practice’</w:t>
      </w:r>
      <w:bookmarkEnd w:id="4"/>
      <w:bookmarkEnd w:id="5"/>
      <w:r w:rsidR="00E5235F">
        <w:t>?</w:t>
      </w:r>
    </w:p>
    <w:p w14:paraId="5D63656B" w14:textId="77777777" w:rsidR="003D2F3C" w:rsidRPr="009A531E" w:rsidRDefault="003D2F3C" w:rsidP="003D2F3C">
      <w:pPr>
        <w:numPr>
          <w:ilvl w:val="0"/>
          <w:numId w:val="7"/>
        </w:numPr>
        <w:spacing w:before="240" w:after="240"/>
        <w:rPr>
          <w:szCs w:val="24"/>
        </w:rPr>
      </w:pPr>
      <w:r w:rsidRPr="009A531E">
        <w:rPr>
          <w:szCs w:val="24"/>
        </w:rPr>
        <w:t>The terms ‘act’ and ‘practice’ are defined in s 3(1) of the AHRC Act to include an act done or a practice engaged in by or on behalf of the Commonwealth or an authority of the Commonwealth or under an enactment.</w:t>
      </w:r>
    </w:p>
    <w:p w14:paraId="4936AB9D" w14:textId="77777777" w:rsidR="005D74C5" w:rsidRDefault="003D2F3C" w:rsidP="005D74C5">
      <w:pPr>
        <w:numPr>
          <w:ilvl w:val="0"/>
          <w:numId w:val="7"/>
        </w:numPr>
        <w:spacing w:before="240" w:after="240"/>
        <w:rPr>
          <w:szCs w:val="24"/>
        </w:rPr>
      </w:pPr>
      <w:r w:rsidRPr="009A531E">
        <w:rPr>
          <w:szCs w:val="24"/>
        </w:rPr>
        <w:t>Section 3(3) provides that the reference to, or to the doing of, an act includes a reference to a refusal or failure to do an act.</w:t>
      </w:r>
    </w:p>
    <w:p w14:paraId="51627589" w14:textId="77777777" w:rsidR="003D2F3C" w:rsidRPr="005D74C5" w:rsidRDefault="003D2F3C" w:rsidP="005D74C5">
      <w:pPr>
        <w:numPr>
          <w:ilvl w:val="0"/>
          <w:numId w:val="7"/>
        </w:numPr>
        <w:spacing w:before="240" w:after="240"/>
        <w:rPr>
          <w:szCs w:val="24"/>
        </w:rPr>
      </w:pPr>
      <w:r w:rsidRPr="005D74C5">
        <w:rPr>
          <w:szCs w:val="24"/>
        </w:rPr>
        <w:lastRenderedPageBreak/>
        <w:t xml:space="preserve">The functions of the Commission identified in s 11(1)(f) of the AHRC Act are only engaged where the act complained of is not one required by law to be </w:t>
      </w:r>
      <w:r w:rsidR="001574AD" w:rsidRPr="005D74C5">
        <w:rPr>
          <w:szCs w:val="24"/>
        </w:rPr>
        <w:t>taken,</w:t>
      </w:r>
      <w:r w:rsidRPr="005D74C5">
        <w:rPr>
          <w:szCs w:val="24"/>
        </w:rPr>
        <w:t xml:space="preserve"> that is, where the relevant act or practice is within the</w:t>
      </w:r>
      <w:r w:rsidR="00F21C83" w:rsidRPr="005D74C5">
        <w:rPr>
          <w:szCs w:val="24"/>
        </w:rPr>
        <w:t xml:space="preserve"> discretion of the Commonwealth</w:t>
      </w:r>
      <w:r w:rsidRPr="005D74C5">
        <w:rPr>
          <w:szCs w:val="24"/>
        </w:rPr>
        <w:t>.</w:t>
      </w:r>
      <w:r w:rsidR="00436177">
        <w:rPr>
          <w:rStyle w:val="EndnoteReference"/>
        </w:rPr>
        <w:endnoteReference w:id="2"/>
      </w:r>
      <w:r w:rsidR="00742C16" w:rsidRPr="005D74C5">
        <w:rPr>
          <w:szCs w:val="24"/>
        </w:rPr>
        <w:t xml:space="preserve"> </w:t>
      </w:r>
      <w:r w:rsidR="00742C16">
        <w:t>Therefore, if a law requires that the act or practice be done by or</w:t>
      </w:r>
      <w:r w:rsidR="0006132E">
        <w:t xml:space="preserve"> on behalf of the Commonwealth</w:t>
      </w:r>
      <w:r w:rsidR="00742C16">
        <w:t>, and there is no discretion involved, the act or practice done pursuant to that statutory provision will be outside the scope of the Commission’s human rights inquiry jurisdiction.</w:t>
      </w:r>
      <w:r w:rsidR="00436177">
        <w:rPr>
          <w:szCs w:val="24"/>
        </w:rPr>
        <w:t xml:space="preserve"> </w:t>
      </w:r>
    </w:p>
    <w:p w14:paraId="4943D7E5" w14:textId="77777777" w:rsidR="00C56785" w:rsidRPr="001574AD" w:rsidRDefault="00C56785" w:rsidP="0008392C">
      <w:pPr>
        <w:pStyle w:val="Heading2"/>
        <w:rPr>
          <w:sz w:val="32"/>
        </w:rPr>
      </w:pPr>
      <w:bookmarkStart w:id="6" w:name="_Toc282871319"/>
      <w:r w:rsidRPr="001574AD">
        <w:rPr>
          <w:sz w:val="32"/>
        </w:rPr>
        <w:t>What is a human right?</w:t>
      </w:r>
      <w:bookmarkEnd w:id="6"/>
    </w:p>
    <w:p w14:paraId="4ABE3ED6" w14:textId="77777777" w:rsidR="00C56785" w:rsidRPr="00F06069" w:rsidRDefault="00C56785" w:rsidP="0008392C">
      <w:pPr>
        <w:numPr>
          <w:ilvl w:val="0"/>
          <w:numId w:val="7"/>
        </w:numPr>
        <w:tabs>
          <w:tab w:val="num" w:pos="960"/>
        </w:tabs>
        <w:spacing w:before="240" w:after="240"/>
        <w:rPr>
          <w:szCs w:val="24"/>
        </w:rPr>
      </w:pPr>
      <w:r w:rsidRPr="00F06069">
        <w:rPr>
          <w:szCs w:val="24"/>
        </w:rPr>
        <w:t xml:space="preserve">The phrase ‘human rights’ is defined by s 3(1) of the AHRC Act to include the rights and freedoms recognised in the ICCPR, or recognised or declared by any relevant international instrument. </w:t>
      </w:r>
    </w:p>
    <w:p w14:paraId="7F7D7EFD" w14:textId="77777777" w:rsidR="002B7F25" w:rsidRPr="00F06069" w:rsidRDefault="009600DA" w:rsidP="002B7F25">
      <w:pPr>
        <w:numPr>
          <w:ilvl w:val="0"/>
          <w:numId w:val="7"/>
        </w:numPr>
        <w:spacing w:before="240" w:after="240"/>
        <w:rPr>
          <w:szCs w:val="24"/>
        </w:rPr>
      </w:pPr>
      <w:r w:rsidRPr="00F06069">
        <w:rPr>
          <w:szCs w:val="24"/>
        </w:rPr>
        <w:t>As I have said above, t</w:t>
      </w:r>
      <w:r w:rsidR="002B7F25" w:rsidRPr="00F06069">
        <w:rPr>
          <w:szCs w:val="24"/>
        </w:rPr>
        <w:t xml:space="preserve">he following articles of the ICCPR </w:t>
      </w:r>
      <w:r w:rsidR="00D52A36" w:rsidRPr="00F06069">
        <w:rPr>
          <w:szCs w:val="24"/>
        </w:rPr>
        <w:t xml:space="preserve">are relevant to this </w:t>
      </w:r>
      <w:r w:rsidR="002B7F25" w:rsidRPr="00F06069">
        <w:rPr>
          <w:szCs w:val="24"/>
        </w:rPr>
        <w:t>inquiry.</w:t>
      </w:r>
    </w:p>
    <w:p w14:paraId="0C7DBBA8" w14:textId="77777777" w:rsidR="002B7F25" w:rsidRPr="00F06069" w:rsidRDefault="002B7F25" w:rsidP="009F45C0">
      <w:pPr>
        <w:keepNext/>
        <w:numPr>
          <w:ilvl w:val="0"/>
          <w:numId w:val="7"/>
        </w:numPr>
        <w:spacing w:before="240" w:after="240"/>
        <w:rPr>
          <w:szCs w:val="24"/>
        </w:rPr>
      </w:pPr>
      <w:r w:rsidRPr="00F06069">
        <w:rPr>
          <w:szCs w:val="24"/>
        </w:rPr>
        <w:t>Article 9(1) of the ICCPR provides:</w:t>
      </w:r>
    </w:p>
    <w:p w14:paraId="4E94C65D" w14:textId="77777777" w:rsidR="002B7F25" w:rsidRPr="00293F94" w:rsidRDefault="002B7F25" w:rsidP="005A0C9C">
      <w:pPr>
        <w:spacing w:before="240" w:after="240"/>
        <w:ind w:left="1418"/>
        <w:rPr>
          <w:iCs/>
          <w:sz w:val="22"/>
          <w:szCs w:val="22"/>
        </w:rPr>
      </w:pPr>
      <w:r w:rsidRPr="00FF14A2">
        <w:rPr>
          <w:iCs/>
          <w:sz w:val="22"/>
          <w:szCs w:val="22"/>
        </w:rPr>
        <w:t xml:space="preserve">Everyone has the right to liberty and security of person. </w:t>
      </w:r>
      <w:r w:rsidR="005A0C9C" w:rsidRPr="00FF14A2">
        <w:rPr>
          <w:iCs/>
          <w:sz w:val="22"/>
          <w:szCs w:val="22"/>
        </w:rPr>
        <w:t xml:space="preserve">No one shall be subjected </w:t>
      </w:r>
      <w:r w:rsidRPr="00FF14A2">
        <w:rPr>
          <w:iCs/>
          <w:sz w:val="22"/>
          <w:szCs w:val="22"/>
        </w:rPr>
        <w:t xml:space="preserve">to arbitrary arrest or detention. No one shall be deprived of his liberty except on </w:t>
      </w:r>
      <w:r w:rsidRPr="00CB2497">
        <w:rPr>
          <w:iCs/>
          <w:sz w:val="22"/>
          <w:szCs w:val="22"/>
        </w:rPr>
        <w:t>suc</w:t>
      </w:r>
      <w:r w:rsidRPr="00293F94">
        <w:rPr>
          <w:iCs/>
          <w:sz w:val="22"/>
          <w:szCs w:val="22"/>
        </w:rPr>
        <w:t>h grounds and in accordance with such procedure as are established by law.</w:t>
      </w:r>
    </w:p>
    <w:p w14:paraId="3C8ACFAD" w14:textId="77777777" w:rsidR="002B7F25" w:rsidRPr="009A531E" w:rsidRDefault="002B7F25" w:rsidP="002B7F25">
      <w:pPr>
        <w:keepNext/>
        <w:numPr>
          <w:ilvl w:val="0"/>
          <w:numId w:val="7"/>
        </w:numPr>
        <w:spacing w:before="240" w:after="240"/>
        <w:rPr>
          <w:szCs w:val="24"/>
        </w:rPr>
      </w:pPr>
      <w:r w:rsidRPr="009A531E">
        <w:rPr>
          <w:szCs w:val="24"/>
        </w:rPr>
        <w:t>Article 17(1) of the ICCPR</w:t>
      </w:r>
      <w:r>
        <w:rPr>
          <w:szCs w:val="24"/>
        </w:rPr>
        <w:t xml:space="preserve"> provides</w:t>
      </w:r>
      <w:r w:rsidRPr="009A531E">
        <w:rPr>
          <w:szCs w:val="24"/>
        </w:rPr>
        <w:t>:</w:t>
      </w:r>
    </w:p>
    <w:p w14:paraId="344DFD49" w14:textId="77777777" w:rsidR="002B7F25" w:rsidRPr="00335C86" w:rsidRDefault="002B7F25" w:rsidP="009F45C0">
      <w:pPr>
        <w:spacing w:before="240" w:after="240"/>
        <w:ind w:left="1418"/>
        <w:rPr>
          <w:iCs/>
          <w:sz w:val="22"/>
          <w:szCs w:val="22"/>
        </w:rPr>
      </w:pPr>
      <w:r w:rsidRPr="00335C86">
        <w:rPr>
          <w:iCs/>
          <w:sz w:val="22"/>
          <w:szCs w:val="22"/>
        </w:rPr>
        <w:t xml:space="preserve">No one shall be subjected to arbitrary or unlawful interference with his privacy, </w:t>
      </w:r>
      <w:r w:rsidRPr="00483582">
        <w:rPr>
          <w:b/>
          <w:iCs/>
          <w:sz w:val="22"/>
          <w:szCs w:val="22"/>
        </w:rPr>
        <w:t>family</w:t>
      </w:r>
      <w:r w:rsidRPr="00335C86">
        <w:rPr>
          <w:iCs/>
          <w:sz w:val="22"/>
          <w:szCs w:val="22"/>
        </w:rPr>
        <w:t>, home or correspondence, nor to unlawful attacks on his honour and reputation.</w:t>
      </w:r>
    </w:p>
    <w:p w14:paraId="2EFAA067" w14:textId="77777777" w:rsidR="002B7F25" w:rsidRPr="009A531E" w:rsidRDefault="002B7F25" w:rsidP="002B7F25">
      <w:pPr>
        <w:keepNext/>
        <w:numPr>
          <w:ilvl w:val="0"/>
          <w:numId w:val="7"/>
        </w:numPr>
        <w:spacing w:before="240" w:after="240"/>
        <w:rPr>
          <w:szCs w:val="24"/>
        </w:rPr>
      </w:pPr>
      <w:r w:rsidRPr="009A531E">
        <w:rPr>
          <w:szCs w:val="24"/>
        </w:rPr>
        <w:t>Article 23(1) of the ICCPR</w:t>
      </w:r>
      <w:r>
        <w:rPr>
          <w:szCs w:val="24"/>
        </w:rPr>
        <w:t xml:space="preserve"> provides</w:t>
      </w:r>
      <w:r w:rsidRPr="009A531E">
        <w:rPr>
          <w:szCs w:val="24"/>
        </w:rPr>
        <w:t>:</w:t>
      </w:r>
    </w:p>
    <w:p w14:paraId="5FE862D0" w14:textId="77777777" w:rsidR="0085458C" w:rsidRPr="008966D5" w:rsidRDefault="002B7F25" w:rsidP="009F45C0">
      <w:pPr>
        <w:spacing w:before="240" w:after="240"/>
        <w:ind w:left="1418"/>
        <w:rPr>
          <w:iCs/>
          <w:sz w:val="22"/>
          <w:szCs w:val="22"/>
        </w:rPr>
      </w:pPr>
      <w:r w:rsidRPr="00335C86">
        <w:rPr>
          <w:iCs/>
          <w:sz w:val="22"/>
          <w:szCs w:val="22"/>
        </w:rPr>
        <w:t>The family is the natural and fundamental group unit of society and is entitled to protection by society and the State.</w:t>
      </w:r>
    </w:p>
    <w:p w14:paraId="7123A5C5" w14:textId="77777777" w:rsidR="0085458C" w:rsidRDefault="00FA120A" w:rsidP="0085458C">
      <w:pPr>
        <w:pStyle w:val="Heading1"/>
      </w:pPr>
      <w:bookmarkStart w:id="7" w:name="_Toc282871320"/>
      <w:r>
        <w:t>A</w:t>
      </w:r>
      <w:r w:rsidR="0085458C">
        <w:t>ct o</w:t>
      </w:r>
      <w:r w:rsidR="002B7967">
        <w:t>r practice of the Commonwealth?</w:t>
      </w:r>
      <w:bookmarkEnd w:id="7"/>
    </w:p>
    <w:p w14:paraId="7F9B5918" w14:textId="77777777" w:rsidR="00FA120A" w:rsidRPr="00FA120A" w:rsidRDefault="00611E48" w:rsidP="0085458C">
      <w:pPr>
        <w:numPr>
          <w:ilvl w:val="0"/>
          <w:numId w:val="7"/>
        </w:numPr>
        <w:spacing w:before="240" w:after="240"/>
        <w:rPr>
          <w:szCs w:val="24"/>
        </w:rPr>
      </w:pPr>
      <w:r>
        <w:t xml:space="preserve">The Commonwealth detained </w:t>
      </w:r>
      <w:r w:rsidR="00FA120A">
        <w:t xml:space="preserve">Mr Tapara in an immigration detention centre </w:t>
      </w:r>
      <w:r>
        <w:t>for 17 months from h</w:t>
      </w:r>
      <w:r w:rsidR="00F06069">
        <w:t>is release</w:t>
      </w:r>
      <w:r w:rsidR="00FA120A">
        <w:t xml:space="preserve"> from prison on 2 December 2011</w:t>
      </w:r>
      <w:r>
        <w:t xml:space="preserve"> until his </w:t>
      </w:r>
      <w:r w:rsidR="00483582">
        <w:t xml:space="preserve">involuntary </w:t>
      </w:r>
      <w:r>
        <w:t xml:space="preserve">removal </w:t>
      </w:r>
      <w:r w:rsidR="00694B56">
        <w:t xml:space="preserve">to New Zealand </w:t>
      </w:r>
      <w:r>
        <w:t>on 10 May 2013</w:t>
      </w:r>
      <w:r w:rsidR="00FA120A">
        <w:t>.</w:t>
      </w:r>
    </w:p>
    <w:p w14:paraId="05B5E888" w14:textId="77777777" w:rsidR="00FA120A" w:rsidRPr="001E31FB" w:rsidRDefault="00FA120A" w:rsidP="0085458C">
      <w:pPr>
        <w:numPr>
          <w:ilvl w:val="0"/>
          <w:numId w:val="7"/>
        </w:numPr>
        <w:spacing w:before="240" w:after="240"/>
        <w:rPr>
          <w:szCs w:val="24"/>
        </w:rPr>
      </w:pPr>
      <w:r>
        <w:t>S</w:t>
      </w:r>
      <w:r w:rsidRPr="006B3FD3">
        <w:t>ection 189</w:t>
      </w:r>
      <w:r>
        <w:t>(1) of the Migration Act requires</w:t>
      </w:r>
      <w:r w:rsidRPr="007875DE">
        <w:t xml:space="preserve"> the detention of unlawful non-citizens. As Mr </w:t>
      </w:r>
      <w:r w:rsidR="001E31FB">
        <w:t>Tapara’</w:t>
      </w:r>
      <w:r>
        <w:t>s visa had been cancelled before his release from prison</w:t>
      </w:r>
      <w:r w:rsidRPr="007875DE">
        <w:t>, he was an unlawf</w:t>
      </w:r>
      <w:r>
        <w:t xml:space="preserve">ul non-citizen upon his date of release and </w:t>
      </w:r>
      <w:r w:rsidR="006A1547">
        <w:t xml:space="preserve">therefore </w:t>
      </w:r>
      <w:r>
        <w:t>the Migration Act required that he be</w:t>
      </w:r>
      <w:r w:rsidRPr="007875DE">
        <w:t xml:space="preserve"> detained.</w:t>
      </w:r>
      <w:r>
        <w:t xml:space="preserve"> </w:t>
      </w:r>
      <w:r w:rsidRPr="007875DE">
        <w:t xml:space="preserve">However, the Migration Act did </w:t>
      </w:r>
      <w:r>
        <w:t xml:space="preserve">not require that Mr </w:t>
      </w:r>
      <w:r w:rsidR="001E31FB">
        <w:t>Tapara</w:t>
      </w:r>
      <w:r>
        <w:t xml:space="preserve"> be detained</w:t>
      </w:r>
      <w:r w:rsidRPr="007875DE">
        <w:t xml:space="preserve"> in an</w:t>
      </w:r>
      <w:r>
        <w:t xml:space="preserve"> immigration detention centre.</w:t>
      </w:r>
    </w:p>
    <w:p w14:paraId="2EA651CB" w14:textId="77777777" w:rsidR="0085458C" w:rsidRPr="0085458C" w:rsidRDefault="00FA120A" w:rsidP="0085458C">
      <w:pPr>
        <w:numPr>
          <w:ilvl w:val="0"/>
          <w:numId w:val="7"/>
        </w:numPr>
        <w:spacing w:before="240" w:after="240"/>
        <w:rPr>
          <w:szCs w:val="24"/>
        </w:rPr>
      </w:pPr>
      <w:r>
        <w:t xml:space="preserve">There are a number of powers that the Minister could have exercised so that Mr Tapara was detained in a less restrictive manner than in an immigration detention centre. </w:t>
      </w:r>
    </w:p>
    <w:p w14:paraId="3D9CAEEA" w14:textId="77777777" w:rsidR="00FA120A" w:rsidRDefault="00FA120A" w:rsidP="00305C3B">
      <w:pPr>
        <w:numPr>
          <w:ilvl w:val="0"/>
          <w:numId w:val="7"/>
        </w:numPr>
        <w:spacing w:before="240" w:after="240"/>
      </w:pPr>
      <w:r>
        <w:t xml:space="preserve">The Minister could have granted Mr Tapara a visa. Under s 195A of the Migration Act, if the Minister thinks it is in the public interest to do so, the Minister may grant a visa to a person detained under s 189 of the Migration Act. </w:t>
      </w:r>
    </w:p>
    <w:p w14:paraId="76253E00" w14:textId="77777777" w:rsidR="0085458C" w:rsidRPr="000E1A58" w:rsidRDefault="00FA120A" w:rsidP="00305C3B">
      <w:pPr>
        <w:numPr>
          <w:ilvl w:val="0"/>
          <w:numId w:val="7"/>
        </w:numPr>
        <w:spacing w:before="240" w:after="240"/>
      </w:pPr>
      <w:r>
        <w:lastRenderedPageBreak/>
        <w:t>The Minister could have made a residence determination. Section</w:t>
      </w:r>
      <w:r w:rsidR="0085458C" w:rsidRPr="000E1A58">
        <w:t xml:space="preserve"> </w:t>
      </w:r>
      <w:r w:rsidR="0085458C">
        <w:t>197AB of the Migration Act</w:t>
      </w:r>
      <w:r w:rsidR="007712DA">
        <w:t xml:space="preserve"> </w:t>
      </w:r>
      <w:r w:rsidR="00EE0F7B">
        <w:t>provides:</w:t>
      </w:r>
    </w:p>
    <w:p w14:paraId="0DC88E99" w14:textId="77777777" w:rsidR="0085458C" w:rsidRDefault="0085458C" w:rsidP="009F45C0">
      <w:pPr>
        <w:pStyle w:val="ListParagraph"/>
        <w:ind w:left="1418"/>
        <w:rPr>
          <w:sz w:val="22"/>
          <w:szCs w:val="22"/>
        </w:rPr>
      </w:pPr>
      <w:r w:rsidRPr="0085458C">
        <w:rPr>
          <w:sz w:val="22"/>
          <w:szCs w:val="22"/>
        </w:rPr>
        <w:t xml:space="preserve">If the Minister thinks that it is in the public interest to do so, the Minister may make a determination (a </w:t>
      </w:r>
      <w:r w:rsidRPr="0085458C">
        <w:rPr>
          <w:b/>
          <w:i/>
          <w:sz w:val="22"/>
          <w:szCs w:val="22"/>
        </w:rPr>
        <w:t>residence determination</w:t>
      </w:r>
      <w:r w:rsidRPr="0085458C">
        <w:rPr>
          <w:sz w:val="22"/>
          <w:szCs w:val="22"/>
        </w:rPr>
        <w:t>) to the effect that one or more specified persons to whom this subdivision applies are to reside at a specified place, instead of being detained at a place covered by the definition of immigration detention in subsection 5(1).</w:t>
      </w:r>
    </w:p>
    <w:p w14:paraId="62133C27" w14:textId="77777777" w:rsidR="0085458C" w:rsidRDefault="0085458C" w:rsidP="00305C3B">
      <w:pPr>
        <w:numPr>
          <w:ilvl w:val="0"/>
          <w:numId w:val="7"/>
        </w:numPr>
        <w:spacing w:before="240" w:after="240"/>
      </w:pPr>
      <w:r>
        <w:t>Further, the definition of ‘immigration detention’ includ</w:t>
      </w:r>
      <w:r w:rsidR="009F45C0">
        <w:t xml:space="preserve">es ‘being held by, or on behalf </w:t>
      </w:r>
      <w:r>
        <w:t>of, an officer in another place approved by the Minister in writing’.</w:t>
      </w:r>
      <w:r w:rsidRPr="00305C3B">
        <w:rPr>
          <w:vertAlign w:val="superscript"/>
        </w:rPr>
        <w:endnoteReference w:id="3"/>
      </w:r>
      <w:r>
        <w:t xml:space="preserve"> </w:t>
      </w:r>
    </w:p>
    <w:p w14:paraId="16F78354" w14:textId="77777777" w:rsidR="009B6B27" w:rsidRPr="00915171" w:rsidRDefault="0085458C" w:rsidP="00150C7A">
      <w:pPr>
        <w:numPr>
          <w:ilvl w:val="0"/>
          <w:numId w:val="7"/>
        </w:numPr>
        <w:spacing w:before="240" w:after="240"/>
      </w:pPr>
      <w:r>
        <w:t xml:space="preserve">It appears to be uncontroversial that it was within the power of the Minister to have made a residence determination in relation to Mr </w:t>
      </w:r>
      <w:r w:rsidR="00305C3B">
        <w:t>Tapara</w:t>
      </w:r>
      <w:r>
        <w:t xml:space="preserve"> under s 197AB of the Migration Act or to have approved </w:t>
      </w:r>
      <w:r w:rsidR="009600DA">
        <w:t xml:space="preserve">a place other than </w:t>
      </w:r>
      <w:r w:rsidR="00305C3B">
        <w:t>MIDC</w:t>
      </w:r>
      <w:r w:rsidR="009600DA">
        <w:t xml:space="preserve"> where </w:t>
      </w:r>
      <w:r>
        <w:t xml:space="preserve">Mr </w:t>
      </w:r>
      <w:r w:rsidR="00305C3B">
        <w:t>Tapara</w:t>
      </w:r>
      <w:r w:rsidR="009600DA">
        <w:t xml:space="preserve"> could have been “held”</w:t>
      </w:r>
      <w:r>
        <w:t xml:space="preserve">. Further, </w:t>
      </w:r>
      <w:r w:rsidR="00B62076">
        <w:t xml:space="preserve">under s 197AB(2)(b) of the Migration Act, </w:t>
      </w:r>
      <w:r>
        <w:t>it was open to the Minister to exercise th</w:t>
      </w:r>
      <w:r w:rsidR="009600DA">
        <w:t>e</w:t>
      </w:r>
      <w:r>
        <w:t xml:space="preserve"> power </w:t>
      </w:r>
      <w:r w:rsidR="009600DA">
        <w:t xml:space="preserve">conferred by s 197AB </w:t>
      </w:r>
      <w:r>
        <w:t xml:space="preserve">in relation to Mr </w:t>
      </w:r>
      <w:r w:rsidR="00305C3B">
        <w:t>Tapara</w:t>
      </w:r>
      <w:r>
        <w:t xml:space="preserve"> subject to additiona</w:t>
      </w:r>
      <w:r w:rsidR="008966D5">
        <w:t xml:space="preserve">l </w:t>
      </w:r>
      <w:r w:rsidR="008966D5" w:rsidRPr="00915171">
        <w:t>conditions.</w:t>
      </w:r>
    </w:p>
    <w:p w14:paraId="3075FB38" w14:textId="77777777" w:rsidR="008F0D2B" w:rsidRPr="00915171" w:rsidRDefault="00EA1228" w:rsidP="00045D72">
      <w:pPr>
        <w:numPr>
          <w:ilvl w:val="0"/>
          <w:numId w:val="7"/>
        </w:numPr>
        <w:spacing w:before="240" w:after="240"/>
      </w:pPr>
      <w:r w:rsidRPr="00915171">
        <w:t>I</w:t>
      </w:r>
      <w:r w:rsidR="0081338D">
        <w:t xml:space="preserve"> find </w:t>
      </w:r>
      <w:r w:rsidR="0085458C" w:rsidRPr="00915171">
        <w:t xml:space="preserve">that the failure by the </w:t>
      </w:r>
      <w:r w:rsidR="001C1099" w:rsidRPr="00915171">
        <w:t xml:space="preserve">Department to refer Mr Tapara’s case to the </w:t>
      </w:r>
      <w:r w:rsidR="0085458C" w:rsidRPr="00915171">
        <w:t xml:space="preserve">Minister </w:t>
      </w:r>
      <w:r w:rsidR="001C1099" w:rsidRPr="00915171">
        <w:t xml:space="preserve">for consideration of </w:t>
      </w:r>
      <w:r w:rsidR="00416930" w:rsidRPr="00915171">
        <w:t xml:space="preserve">the </w:t>
      </w:r>
      <w:r w:rsidR="00A35C5B" w:rsidRPr="00915171">
        <w:t xml:space="preserve">exercise </w:t>
      </w:r>
      <w:r w:rsidR="001C1099" w:rsidRPr="00915171">
        <w:t xml:space="preserve">of </w:t>
      </w:r>
      <w:r w:rsidR="00A35C5B" w:rsidRPr="00915171">
        <w:t>those discretionary powers</w:t>
      </w:r>
      <w:r w:rsidR="0085458C" w:rsidRPr="00915171">
        <w:t xml:space="preserve"> constitutes an act within the definition of s 3 of the AHRC Act.</w:t>
      </w:r>
    </w:p>
    <w:p w14:paraId="393354AF" w14:textId="77777777" w:rsidR="0081101C" w:rsidRPr="008F0D2B" w:rsidRDefault="00DB0C19" w:rsidP="008F0D2B">
      <w:pPr>
        <w:pStyle w:val="Heading1"/>
      </w:pPr>
      <w:bookmarkStart w:id="8" w:name="_Toc282871321"/>
      <w:r w:rsidRPr="008F0D2B">
        <w:t>Arbitrary detention</w:t>
      </w:r>
      <w:bookmarkEnd w:id="8"/>
    </w:p>
    <w:p w14:paraId="0144800A" w14:textId="77777777" w:rsidR="008179B9" w:rsidRDefault="00C70221" w:rsidP="00883221">
      <w:pPr>
        <w:pStyle w:val="Heading2"/>
        <w:tabs>
          <w:tab w:val="clear" w:pos="1135"/>
          <w:tab w:val="num" w:pos="2411"/>
        </w:tabs>
        <w:ind w:left="709" w:hanging="709"/>
      </w:pPr>
      <w:bookmarkStart w:id="9" w:name="_Toc282871322"/>
      <w:r>
        <w:t>Law</w:t>
      </w:r>
      <w:bookmarkEnd w:id="9"/>
      <w:r>
        <w:t xml:space="preserve"> </w:t>
      </w:r>
    </w:p>
    <w:p w14:paraId="3BF0B788" w14:textId="77777777" w:rsidR="00DA3C1B" w:rsidRPr="008179B9" w:rsidRDefault="00DA3C1B" w:rsidP="00DA3C1B">
      <w:pPr>
        <w:numPr>
          <w:ilvl w:val="0"/>
          <w:numId w:val="7"/>
        </w:numPr>
        <w:spacing w:before="240" w:after="240"/>
        <w:rPr>
          <w:szCs w:val="24"/>
        </w:rPr>
      </w:pPr>
      <w:r w:rsidRPr="008179B9">
        <w:t xml:space="preserve">Mr Tapara claims that his detention in </w:t>
      </w:r>
      <w:r>
        <w:t>M</w:t>
      </w:r>
      <w:r w:rsidRPr="008179B9">
        <w:t>IDC from 2 December 2011 until 10 May 2013 was arbitrary within the meaning of article 9(1) of the ICCPR.</w:t>
      </w:r>
    </w:p>
    <w:p w14:paraId="1CBDA338" w14:textId="77777777" w:rsidR="00793921" w:rsidRPr="009A531E" w:rsidRDefault="00793921" w:rsidP="00793921">
      <w:pPr>
        <w:numPr>
          <w:ilvl w:val="0"/>
          <w:numId w:val="7"/>
        </w:numPr>
        <w:spacing w:before="240" w:after="240"/>
        <w:rPr>
          <w:szCs w:val="24"/>
        </w:rPr>
      </w:pPr>
      <w:r w:rsidRPr="009A531E">
        <w:rPr>
          <w:szCs w:val="24"/>
        </w:rPr>
        <w:t xml:space="preserve">The following principles relating to arbitrary detention </w:t>
      </w:r>
      <w:r>
        <w:rPr>
          <w:szCs w:val="24"/>
        </w:rPr>
        <w:t>within the meaning of</w:t>
      </w:r>
      <w:r w:rsidRPr="009A531E">
        <w:rPr>
          <w:szCs w:val="24"/>
        </w:rPr>
        <w:t xml:space="preserve"> article</w:t>
      </w:r>
      <w:r w:rsidR="00417638">
        <w:rPr>
          <w:szCs w:val="24"/>
        </w:rPr>
        <w:t> </w:t>
      </w:r>
      <w:r w:rsidRPr="009A531E">
        <w:rPr>
          <w:szCs w:val="24"/>
        </w:rPr>
        <w:t>9 of the ICCPR arise from international human rights jurisprudence:</w:t>
      </w:r>
    </w:p>
    <w:p w14:paraId="322B4CDF" w14:textId="77777777" w:rsidR="00793921" w:rsidRPr="009A531E" w:rsidRDefault="00793921" w:rsidP="00793921">
      <w:pPr>
        <w:spacing w:before="240" w:after="240"/>
        <w:ind w:left="720"/>
        <w:rPr>
          <w:szCs w:val="24"/>
        </w:rPr>
      </w:pPr>
      <w:r>
        <w:rPr>
          <w:szCs w:val="24"/>
        </w:rPr>
        <w:t>(a)</w:t>
      </w:r>
      <w:r>
        <w:rPr>
          <w:szCs w:val="24"/>
        </w:rPr>
        <w:tab/>
      </w:r>
      <w:r w:rsidRPr="009A531E">
        <w:rPr>
          <w:szCs w:val="24"/>
        </w:rPr>
        <w:t>‘detention’ includes immigration detention;</w:t>
      </w:r>
      <w:r w:rsidRPr="001A6FFE">
        <w:rPr>
          <w:vertAlign w:val="superscript"/>
        </w:rPr>
        <w:endnoteReference w:id="4"/>
      </w:r>
    </w:p>
    <w:p w14:paraId="4230E353" w14:textId="77777777" w:rsidR="00793921" w:rsidRPr="009A531E" w:rsidRDefault="00793921" w:rsidP="00793921">
      <w:pPr>
        <w:spacing w:before="240" w:after="240"/>
        <w:ind w:left="1440" w:hanging="720"/>
        <w:rPr>
          <w:szCs w:val="24"/>
        </w:rPr>
      </w:pPr>
      <w:r>
        <w:rPr>
          <w:szCs w:val="24"/>
        </w:rPr>
        <w:t>(b)</w:t>
      </w:r>
      <w:r>
        <w:rPr>
          <w:szCs w:val="24"/>
        </w:rPr>
        <w:tab/>
      </w:r>
      <w:r w:rsidRPr="009A531E">
        <w:rPr>
          <w:szCs w:val="24"/>
        </w:rPr>
        <w:t>lawful detention may become arbitrary when a person’s deprivation of liberty becomes unjust, unreasonable or disproportionate to the Commonwealth’s legitimate aim of ensuring the effective operation of Australia’s migration system;</w:t>
      </w:r>
      <w:r w:rsidRPr="001A6FFE">
        <w:rPr>
          <w:vertAlign w:val="superscript"/>
        </w:rPr>
        <w:endnoteReference w:id="5"/>
      </w:r>
    </w:p>
    <w:p w14:paraId="688DB899" w14:textId="77777777" w:rsidR="00793921" w:rsidRPr="009A531E" w:rsidRDefault="00793921" w:rsidP="00793921">
      <w:pPr>
        <w:spacing w:before="240" w:after="240"/>
        <w:ind w:left="1440" w:hanging="720"/>
        <w:rPr>
          <w:szCs w:val="24"/>
        </w:rPr>
      </w:pPr>
      <w:r>
        <w:rPr>
          <w:szCs w:val="24"/>
        </w:rPr>
        <w:t>(c)</w:t>
      </w:r>
      <w:r>
        <w:rPr>
          <w:szCs w:val="24"/>
        </w:rPr>
        <w:tab/>
      </w:r>
      <w:r w:rsidRPr="009A531E">
        <w:rPr>
          <w:szCs w:val="24"/>
        </w:rPr>
        <w:t>arbitrariness is not to be equated with ‘against the law’; it must be interpreted more broadly to include elements of inappropriateness, injustice or lack of predictability;</w:t>
      </w:r>
      <w:r w:rsidRPr="001A6FFE">
        <w:rPr>
          <w:vertAlign w:val="superscript"/>
        </w:rPr>
        <w:endnoteReference w:id="6"/>
      </w:r>
      <w:r w:rsidRPr="009A531E">
        <w:rPr>
          <w:szCs w:val="24"/>
        </w:rPr>
        <w:t xml:space="preserve"> and</w:t>
      </w:r>
    </w:p>
    <w:p w14:paraId="1FEFB06F" w14:textId="77777777" w:rsidR="00793921" w:rsidRPr="009A531E" w:rsidRDefault="00793921" w:rsidP="00793921">
      <w:pPr>
        <w:spacing w:before="240" w:after="240"/>
        <w:ind w:left="1440" w:hanging="720"/>
        <w:rPr>
          <w:szCs w:val="24"/>
        </w:rPr>
      </w:pPr>
      <w:r>
        <w:rPr>
          <w:szCs w:val="24"/>
        </w:rPr>
        <w:t>(d)</w:t>
      </w:r>
      <w:r>
        <w:rPr>
          <w:szCs w:val="24"/>
        </w:rPr>
        <w:tab/>
      </w:r>
      <w:r w:rsidRPr="009A531E">
        <w:rPr>
          <w:szCs w:val="24"/>
        </w:rPr>
        <w:t>detention should not continue beyond the period for which a State party can provide appropriate justification.</w:t>
      </w:r>
      <w:r w:rsidRPr="001A6FFE">
        <w:rPr>
          <w:vertAlign w:val="superscript"/>
        </w:rPr>
        <w:endnoteReference w:id="7"/>
      </w:r>
      <w:r w:rsidRPr="009A531E">
        <w:rPr>
          <w:szCs w:val="24"/>
        </w:rPr>
        <w:t xml:space="preserve"> </w:t>
      </w:r>
    </w:p>
    <w:p w14:paraId="4950468D" w14:textId="77777777" w:rsidR="00793921" w:rsidRPr="009A531E" w:rsidRDefault="00793921" w:rsidP="00793921">
      <w:pPr>
        <w:numPr>
          <w:ilvl w:val="0"/>
          <w:numId w:val="7"/>
        </w:numPr>
        <w:spacing w:before="240" w:after="240"/>
        <w:rPr>
          <w:szCs w:val="24"/>
        </w:rPr>
      </w:pPr>
      <w:r w:rsidRPr="009A531E">
        <w:rPr>
          <w:szCs w:val="24"/>
        </w:rPr>
        <w:t xml:space="preserve">In </w:t>
      </w:r>
      <w:r w:rsidRPr="009A531E">
        <w:rPr>
          <w:i/>
          <w:szCs w:val="24"/>
        </w:rPr>
        <w:t>Van Alphen v The Netherlands</w:t>
      </w:r>
      <w:r w:rsidR="00EE0F7B">
        <w:rPr>
          <w:szCs w:val="24"/>
        </w:rPr>
        <w:t xml:space="preserve">, </w:t>
      </w:r>
      <w:r w:rsidRPr="009A531E">
        <w:rPr>
          <w:szCs w:val="24"/>
        </w:rPr>
        <w:t xml:space="preserve">the UN Human Rights Committee </w:t>
      </w:r>
      <w:r w:rsidR="00DA0F0C">
        <w:rPr>
          <w:szCs w:val="24"/>
        </w:rPr>
        <w:t xml:space="preserve">(UNHRC) </w:t>
      </w:r>
      <w:r w:rsidRPr="009A531E">
        <w:rPr>
          <w:szCs w:val="24"/>
        </w:rPr>
        <w:t>found detention for a period of two months to be arbitrary because the State Party did not show that remand in custody was necessary to prevent flight, interference with evidence or recurrence of crime.</w:t>
      </w:r>
      <w:r w:rsidRPr="001A6FFE">
        <w:rPr>
          <w:vertAlign w:val="superscript"/>
        </w:rPr>
        <w:endnoteReference w:id="8"/>
      </w:r>
      <w:r>
        <w:rPr>
          <w:szCs w:val="24"/>
        </w:rPr>
        <w:t xml:space="preserve"> </w:t>
      </w:r>
    </w:p>
    <w:p w14:paraId="27AF59DA" w14:textId="77777777" w:rsidR="002B7967" w:rsidRDefault="00793921" w:rsidP="002B7967">
      <w:pPr>
        <w:numPr>
          <w:ilvl w:val="0"/>
          <w:numId w:val="7"/>
        </w:numPr>
        <w:spacing w:before="240" w:after="240"/>
        <w:rPr>
          <w:szCs w:val="24"/>
        </w:rPr>
      </w:pPr>
      <w:r w:rsidRPr="009A531E">
        <w:rPr>
          <w:szCs w:val="24"/>
        </w:rPr>
        <w:lastRenderedPageBreak/>
        <w:t xml:space="preserve">The </w:t>
      </w:r>
      <w:r w:rsidR="00DA0F0C">
        <w:rPr>
          <w:szCs w:val="24"/>
        </w:rPr>
        <w:t>UNHRC</w:t>
      </w:r>
      <w:r w:rsidRPr="009A531E">
        <w:rPr>
          <w:szCs w:val="24"/>
        </w:rPr>
        <w:t xml:space="preserve"> has held in several </w:t>
      </w:r>
      <w:r w:rsidR="00D409DF" w:rsidRPr="009A531E">
        <w:rPr>
          <w:szCs w:val="24"/>
        </w:rPr>
        <w:t>c</w:t>
      </w:r>
      <w:r w:rsidR="00D409DF">
        <w:rPr>
          <w:szCs w:val="24"/>
        </w:rPr>
        <w:t>ommunications</w:t>
      </w:r>
      <w:r w:rsidR="00D409DF" w:rsidRPr="009A531E">
        <w:rPr>
          <w:szCs w:val="24"/>
        </w:rPr>
        <w:t xml:space="preserve"> </w:t>
      </w:r>
      <w:r w:rsidRPr="009A531E">
        <w:rPr>
          <w:szCs w:val="24"/>
        </w:rPr>
        <w:t>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sidRPr="001A6FFE">
        <w:rPr>
          <w:szCs w:val="24"/>
          <w:vertAlign w:val="superscript"/>
        </w:rPr>
        <w:endnoteReference w:id="9"/>
      </w:r>
      <w:r>
        <w:rPr>
          <w:szCs w:val="24"/>
        </w:rPr>
        <w:t xml:space="preserve"> </w:t>
      </w:r>
    </w:p>
    <w:p w14:paraId="0D16D6BE" w14:textId="77777777" w:rsidR="002B7967" w:rsidRDefault="00B54231" w:rsidP="00883221">
      <w:pPr>
        <w:pStyle w:val="Heading2"/>
        <w:tabs>
          <w:tab w:val="clear" w:pos="1135"/>
          <w:tab w:val="num" w:pos="2411"/>
        </w:tabs>
        <w:ind w:left="709" w:hanging="709"/>
      </w:pPr>
      <w:bookmarkStart w:id="10" w:name="_Toc282871323"/>
      <w:r>
        <w:t>The Department’s response</w:t>
      </w:r>
      <w:bookmarkEnd w:id="10"/>
      <w:r>
        <w:t xml:space="preserve"> </w:t>
      </w:r>
    </w:p>
    <w:p w14:paraId="4038E2A2" w14:textId="77777777" w:rsidR="002B7967" w:rsidRDefault="00A96F94" w:rsidP="00A96F94">
      <w:pPr>
        <w:numPr>
          <w:ilvl w:val="0"/>
          <w:numId w:val="7"/>
        </w:numPr>
        <w:spacing w:before="240" w:after="240"/>
      </w:pPr>
      <w:r>
        <w:t>T</w:t>
      </w:r>
      <w:r w:rsidR="00635B62">
        <w:t>he Department state</w:t>
      </w:r>
      <w:r w:rsidR="00BA480C">
        <w:t>s</w:t>
      </w:r>
      <w:r w:rsidR="00635B62">
        <w:t xml:space="preserve"> that Mr </w:t>
      </w:r>
      <w:r w:rsidR="00A20589">
        <w:t>Tapara’</w:t>
      </w:r>
      <w:r w:rsidR="00635B62">
        <w:t xml:space="preserve">s </w:t>
      </w:r>
      <w:r w:rsidR="002B7967" w:rsidRPr="00635B62">
        <w:t xml:space="preserve">detention </w:t>
      </w:r>
      <w:r w:rsidR="00635B62" w:rsidRPr="00635B62">
        <w:t xml:space="preserve">in </w:t>
      </w:r>
      <w:r w:rsidR="00A20589">
        <w:t>MI</w:t>
      </w:r>
      <w:r w:rsidR="00635B62" w:rsidRPr="00635B62">
        <w:t xml:space="preserve">DC </w:t>
      </w:r>
      <w:r w:rsidR="0066099A">
        <w:t xml:space="preserve">was </w:t>
      </w:r>
      <w:r w:rsidR="00DB5A53">
        <w:t xml:space="preserve">due to its assessment that Mr Tapara </w:t>
      </w:r>
      <w:r w:rsidR="009429A6">
        <w:t>‘</w:t>
      </w:r>
      <w:r w:rsidR="00DB5A53">
        <w:t>posed a</w:t>
      </w:r>
      <w:r w:rsidR="002B7967" w:rsidRPr="00635B62">
        <w:t xml:space="preserve"> risk</w:t>
      </w:r>
      <w:r w:rsidR="00DB5A53">
        <w:t xml:space="preserve"> to the integrity of the immigration program and was an unacceptable risk to the community</w:t>
      </w:r>
      <w:r w:rsidR="009429A6">
        <w:t>’</w:t>
      </w:r>
      <w:r w:rsidR="00DB5A53">
        <w:t>.</w:t>
      </w:r>
    </w:p>
    <w:p w14:paraId="615B2FC0" w14:textId="1E0D25E1" w:rsidR="00BA480C" w:rsidRPr="0038327E" w:rsidRDefault="00BA480C" w:rsidP="0038327E">
      <w:pPr>
        <w:numPr>
          <w:ilvl w:val="0"/>
          <w:numId w:val="7"/>
        </w:numPr>
        <w:spacing w:before="240" w:after="240"/>
        <w:rPr>
          <w:rFonts w:cs="Arial"/>
          <w:szCs w:val="24"/>
        </w:rPr>
      </w:pPr>
      <w:r>
        <w:rPr>
          <w:rFonts w:cs="Arial"/>
          <w:szCs w:val="24"/>
        </w:rPr>
        <w:t xml:space="preserve">The Department </w:t>
      </w:r>
      <w:r w:rsidR="001C0F53">
        <w:rPr>
          <w:rFonts w:cs="Arial"/>
          <w:szCs w:val="24"/>
        </w:rPr>
        <w:t xml:space="preserve">also </w:t>
      </w:r>
      <w:r>
        <w:rPr>
          <w:rFonts w:cs="Arial"/>
          <w:szCs w:val="24"/>
        </w:rPr>
        <w:t>states that the</w:t>
      </w:r>
      <w:r w:rsidRPr="005C4BB3">
        <w:rPr>
          <w:rFonts w:cs="Arial"/>
          <w:szCs w:val="24"/>
        </w:rPr>
        <w:t xml:space="preserve"> assessing Compliance Officer found that Mr Tapara did not meet the guidelines for community detention.</w:t>
      </w:r>
      <w:r w:rsidR="003266E8">
        <w:rPr>
          <w:rFonts w:cs="Arial"/>
          <w:szCs w:val="24"/>
        </w:rPr>
        <w:t xml:space="preserve"> In the Detention Note signed on 2 December 2011, the Compliance Officer refers to the risks to the immigration program identified in </w:t>
      </w:r>
      <w:r w:rsidR="0038327E">
        <w:rPr>
          <w:rFonts w:cs="Arial"/>
          <w:szCs w:val="24"/>
        </w:rPr>
        <w:t xml:space="preserve">section </w:t>
      </w:r>
      <w:r w:rsidR="003266E8" w:rsidRPr="0038327E">
        <w:rPr>
          <w:rFonts w:cs="Arial"/>
          <w:szCs w:val="24"/>
        </w:rPr>
        <w:t xml:space="preserve">3.1 of the </w:t>
      </w:r>
      <w:r w:rsidR="006C021B" w:rsidRPr="006C021B">
        <w:rPr>
          <w:rFonts w:cs="Arial"/>
          <w:szCs w:val="24"/>
        </w:rPr>
        <w:t>Procedures Advice Manual</w:t>
      </w:r>
      <w:r w:rsidR="003266E8" w:rsidRPr="0038327E">
        <w:rPr>
          <w:rFonts w:cs="Arial"/>
          <w:szCs w:val="24"/>
        </w:rPr>
        <w:t xml:space="preserve"> guiding principles for decision makers, which include</w:t>
      </w:r>
      <w:r w:rsidR="00790550" w:rsidRPr="0038327E">
        <w:rPr>
          <w:rFonts w:cs="Arial"/>
          <w:szCs w:val="24"/>
        </w:rPr>
        <w:t>s</w:t>
      </w:r>
      <w:r w:rsidR="003266E8" w:rsidRPr="0038327E">
        <w:rPr>
          <w:rFonts w:cs="Arial"/>
          <w:szCs w:val="24"/>
        </w:rPr>
        <w:t xml:space="preserve"> </w:t>
      </w:r>
      <w:r w:rsidR="00790550" w:rsidRPr="0038327E">
        <w:rPr>
          <w:rFonts w:cs="Arial"/>
          <w:szCs w:val="24"/>
        </w:rPr>
        <w:t xml:space="preserve">‘unlawful </w:t>
      </w:r>
      <w:r w:rsidR="003266E8" w:rsidRPr="0038327E">
        <w:rPr>
          <w:rFonts w:cs="Arial"/>
          <w:szCs w:val="24"/>
        </w:rPr>
        <w:t>non</w:t>
      </w:r>
      <w:r w:rsidR="00790550" w:rsidRPr="0038327E">
        <w:rPr>
          <w:rFonts w:cs="Arial"/>
          <w:szCs w:val="24"/>
        </w:rPr>
        <w:t>-citizens repeatedly refusing to comply with visa conditions, absconding or not co-operating with engagement strategies aimed at resolving their immigration status.’</w:t>
      </w:r>
    </w:p>
    <w:p w14:paraId="0243BCDC" w14:textId="77777777" w:rsidR="00BA480C" w:rsidRDefault="00BA480C" w:rsidP="00BA480C">
      <w:pPr>
        <w:numPr>
          <w:ilvl w:val="0"/>
          <w:numId w:val="7"/>
        </w:numPr>
        <w:spacing w:before="240" w:after="240"/>
        <w:rPr>
          <w:rFonts w:cs="Arial"/>
          <w:szCs w:val="24"/>
        </w:rPr>
      </w:pPr>
      <w:r>
        <w:rPr>
          <w:rFonts w:cs="Arial"/>
          <w:szCs w:val="24"/>
        </w:rPr>
        <w:t xml:space="preserve">The Department states that </w:t>
      </w:r>
      <w:r w:rsidR="00ED0C1C">
        <w:rPr>
          <w:rFonts w:cs="Arial"/>
          <w:szCs w:val="24"/>
        </w:rPr>
        <w:t xml:space="preserve">it reviewed </w:t>
      </w:r>
      <w:r>
        <w:rPr>
          <w:rFonts w:cs="Arial"/>
          <w:szCs w:val="24"/>
        </w:rPr>
        <w:t xml:space="preserve">Mr Tapara’s detention </w:t>
      </w:r>
      <w:r w:rsidR="00ED0C1C">
        <w:rPr>
          <w:rFonts w:cs="Arial"/>
          <w:szCs w:val="24"/>
        </w:rPr>
        <w:t>o</w:t>
      </w:r>
      <w:r>
        <w:rPr>
          <w:rFonts w:cs="Arial"/>
          <w:szCs w:val="24"/>
        </w:rPr>
        <w:t xml:space="preserve">n </w:t>
      </w:r>
      <w:r w:rsidR="00ED0C1C">
        <w:rPr>
          <w:rFonts w:cs="Arial"/>
          <w:szCs w:val="24"/>
        </w:rPr>
        <w:t>seven</w:t>
      </w:r>
      <w:r>
        <w:rPr>
          <w:rFonts w:cs="Arial"/>
          <w:szCs w:val="24"/>
        </w:rPr>
        <w:t xml:space="preserve"> occasions, </w:t>
      </w:r>
      <w:r w:rsidR="00ED0C1C">
        <w:rPr>
          <w:rFonts w:cs="Arial"/>
          <w:szCs w:val="24"/>
        </w:rPr>
        <w:t>on</w:t>
      </w:r>
      <w:r>
        <w:rPr>
          <w:rFonts w:cs="Arial"/>
          <w:szCs w:val="24"/>
        </w:rPr>
        <w:t xml:space="preserve"> 4 January 2012, 29 February 2012, 2 April 2012, 3 May 2012, 6</w:t>
      </w:r>
      <w:r w:rsidR="00667985">
        <w:rPr>
          <w:rFonts w:cs="Arial"/>
          <w:szCs w:val="24"/>
        </w:rPr>
        <w:t> </w:t>
      </w:r>
      <w:r>
        <w:rPr>
          <w:rFonts w:cs="Arial"/>
          <w:szCs w:val="24"/>
        </w:rPr>
        <w:t xml:space="preserve">June 2012, 15 June 2012 and 29 June 2012. I note that on three of these occasions, the Case Manager recommended </w:t>
      </w:r>
      <w:r w:rsidR="00D851A7">
        <w:rPr>
          <w:rFonts w:cs="Arial"/>
          <w:szCs w:val="24"/>
        </w:rPr>
        <w:t xml:space="preserve">Mr Tapara be detained in the </w:t>
      </w:r>
      <w:r w:rsidR="001C1099">
        <w:rPr>
          <w:rFonts w:cs="Arial"/>
          <w:szCs w:val="24"/>
        </w:rPr>
        <w:t>BITA</w:t>
      </w:r>
      <w:r w:rsidR="00667EB0">
        <w:rPr>
          <w:rFonts w:cs="Arial"/>
          <w:szCs w:val="24"/>
        </w:rPr>
        <w:t xml:space="preserve"> rather than the MIDC</w:t>
      </w:r>
      <w:r>
        <w:rPr>
          <w:rFonts w:cs="Arial"/>
          <w:szCs w:val="24"/>
        </w:rPr>
        <w:t xml:space="preserve">. </w:t>
      </w:r>
    </w:p>
    <w:p w14:paraId="7BB0EACE" w14:textId="77777777" w:rsidR="00BA480C" w:rsidRDefault="00390690" w:rsidP="00BA480C">
      <w:pPr>
        <w:numPr>
          <w:ilvl w:val="0"/>
          <w:numId w:val="7"/>
        </w:numPr>
        <w:spacing w:before="240" w:after="240"/>
        <w:rPr>
          <w:rFonts w:cs="Arial"/>
          <w:szCs w:val="24"/>
        </w:rPr>
      </w:pPr>
      <w:r>
        <w:rPr>
          <w:rFonts w:cs="Arial"/>
          <w:szCs w:val="24"/>
        </w:rPr>
        <w:t xml:space="preserve">On </w:t>
      </w:r>
      <w:r w:rsidR="00BA480C">
        <w:rPr>
          <w:rFonts w:cs="Arial"/>
          <w:szCs w:val="24"/>
        </w:rPr>
        <w:t>7 May 2012, the Department assessed Mr Tapara as not meeting the guidelines for referral to the Minister</w:t>
      </w:r>
      <w:r>
        <w:rPr>
          <w:rFonts w:cs="Arial"/>
          <w:szCs w:val="24"/>
        </w:rPr>
        <w:t xml:space="preserve"> to consider granting a visa under s 195A of the Migration Act</w:t>
      </w:r>
      <w:r w:rsidR="00BA480C">
        <w:rPr>
          <w:rFonts w:cs="Arial"/>
          <w:szCs w:val="24"/>
        </w:rPr>
        <w:t xml:space="preserve">. </w:t>
      </w:r>
      <w:r w:rsidR="00E4343A">
        <w:rPr>
          <w:rFonts w:cs="Arial"/>
          <w:szCs w:val="24"/>
        </w:rPr>
        <w:t xml:space="preserve">On 22 April 2013, the Department again concluded that Mr Tapara did not meet the s 195A guidelines or the s 197AB guidelines for community detention. </w:t>
      </w:r>
      <w:r w:rsidR="00BA480C">
        <w:rPr>
          <w:rFonts w:cs="Arial"/>
          <w:szCs w:val="24"/>
        </w:rPr>
        <w:t>Further, s 417 of the Migration Act enables the Minister to intervene and substitute the Tribunal’s decision with a more favourable decision. The Minister decided not to intervene under s 417 of the Migration Act on 9</w:t>
      </w:r>
      <w:r w:rsidR="0006754B">
        <w:rPr>
          <w:rFonts w:cs="Arial"/>
          <w:szCs w:val="24"/>
        </w:rPr>
        <w:t> </w:t>
      </w:r>
      <w:r w:rsidR="00BA480C">
        <w:rPr>
          <w:rFonts w:cs="Arial"/>
          <w:szCs w:val="24"/>
        </w:rPr>
        <w:t>August 2012.</w:t>
      </w:r>
    </w:p>
    <w:p w14:paraId="4D2CEB75" w14:textId="60D10515" w:rsidR="00B54231" w:rsidRDefault="00B54231" w:rsidP="00883221">
      <w:pPr>
        <w:pStyle w:val="Heading2"/>
        <w:tabs>
          <w:tab w:val="clear" w:pos="1135"/>
          <w:tab w:val="num" w:pos="2411"/>
        </w:tabs>
        <w:ind w:left="709" w:hanging="709"/>
      </w:pPr>
      <w:bookmarkStart w:id="11" w:name="_Toc282871324"/>
      <w:r>
        <w:t>Mr Tapara’s risk to the Australian community</w:t>
      </w:r>
      <w:bookmarkEnd w:id="11"/>
    </w:p>
    <w:p w14:paraId="4F51B368" w14:textId="77777777" w:rsidR="00F47FA4" w:rsidRDefault="008F7704" w:rsidP="00A96F94">
      <w:pPr>
        <w:numPr>
          <w:ilvl w:val="0"/>
          <w:numId w:val="7"/>
        </w:numPr>
        <w:spacing w:before="240" w:after="240"/>
      </w:pPr>
      <w:r>
        <w:t xml:space="preserve">I acknowledge that the offence Mr Tapara committed was serious. </w:t>
      </w:r>
      <w:r w:rsidR="00ED0C1C">
        <w:t>W</w:t>
      </w:r>
      <w:r w:rsidR="00F47FA4">
        <w:t>hen considering whether to affirm the Minister’s decision to cancel Mr Tapara’s visa, t</w:t>
      </w:r>
      <w:r w:rsidR="00951989">
        <w:t xml:space="preserve">he Administrative Appeals Tribunal </w:t>
      </w:r>
      <w:r w:rsidR="00883221">
        <w:t>stated that his offences were ‘so serious that the public are entitled to expect the Minister will be cautious’.</w:t>
      </w:r>
      <w:r w:rsidR="00883221">
        <w:rPr>
          <w:rStyle w:val="EndnoteReference"/>
        </w:rPr>
        <w:endnoteReference w:id="10"/>
      </w:r>
    </w:p>
    <w:p w14:paraId="0C5C76B3" w14:textId="77777777" w:rsidR="00907F82" w:rsidRDefault="00235222" w:rsidP="00A96F94">
      <w:pPr>
        <w:numPr>
          <w:ilvl w:val="0"/>
          <w:numId w:val="7"/>
        </w:numPr>
        <w:spacing w:before="240" w:after="240"/>
      </w:pPr>
      <w:r>
        <w:t>However, w</w:t>
      </w:r>
      <w:r w:rsidR="00FF1565">
        <w:t>hile Mr Tapara has a</w:t>
      </w:r>
      <w:r w:rsidR="00ED70CF">
        <w:t xml:space="preserve"> </w:t>
      </w:r>
      <w:r w:rsidR="00FF1565">
        <w:t xml:space="preserve">criminal record, this does not appear to be evidence, of itself, that Mr </w:t>
      </w:r>
      <w:r w:rsidR="00B74CE0">
        <w:t>Tapara</w:t>
      </w:r>
      <w:r w:rsidR="00FF1565">
        <w:t xml:space="preserve"> posed a danger to the community such that the Commonwealth could detain him in no less restrictive </w:t>
      </w:r>
      <w:r w:rsidR="00FF1565" w:rsidRPr="00646775">
        <w:t xml:space="preserve">way than in </w:t>
      </w:r>
      <w:r w:rsidR="008179B9">
        <w:t xml:space="preserve">the </w:t>
      </w:r>
      <w:r w:rsidR="00FF1565">
        <w:t>M</w:t>
      </w:r>
      <w:r w:rsidR="00FF1565" w:rsidRPr="00646775">
        <w:t>IDC</w:t>
      </w:r>
      <w:r w:rsidR="00FF1565" w:rsidRPr="00E27F1D">
        <w:t xml:space="preserve">. </w:t>
      </w:r>
    </w:p>
    <w:p w14:paraId="641A675C" w14:textId="63FC1E5E" w:rsidR="00775089" w:rsidRDefault="00775089">
      <w:pPr>
        <w:keepLines w:val="0"/>
      </w:pPr>
      <w:r>
        <w:br w:type="page"/>
      </w:r>
    </w:p>
    <w:p w14:paraId="5242634E" w14:textId="1F1E2FBF" w:rsidR="00C41039" w:rsidRDefault="00C41039" w:rsidP="00BE2A12">
      <w:pPr>
        <w:numPr>
          <w:ilvl w:val="0"/>
          <w:numId w:val="7"/>
        </w:numPr>
        <w:spacing w:before="240" w:after="240"/>
      </w:pPr>
      <w:r>
        <w:lastRenderedPageBreak/>
        <w:t xml:space="preserve">I note that in </w:t>
      </w:r>
      <w:r w:rsidRPr="00B74CE0">
        <w:rPr>
          <w:i/>
        </w:rPr>
        <w:t xml:space="preserve">R v Tapara </w:t>
      </w:r>
      <w:r>
        <w:t>[2010] QCA 320, Chesterman JA made the following comments when hearing Mr Tapara’s appe</w:t>
      </w:r>
      <w:r w:rsidR="00775089">
        <w:t xml:space="preserve">al of his criminal conviction: </w:t>
      </w:r>
    </w:p>
    <w:p w14:paraId="57E87C9A" w14:textId="77777777" w:rsidR="00C41039" w:rsidRDefault="00C41039" w:rsidP="00F47FA4">
      <w:pPr>
        <w:spacing w:before="240" w:after="240"/>
        <w:ind w:left="1440"/>
        <w:jc w:val="both"/>
        <w:rPr>
          <w:sz w:val="20"/>
        </w:rPr>
      </w:pPr>
      <w:r>
        <w:rPr>
          <w:sz w:val="20"/>
        </w:rPr>
        <w:t>I think there is no doubt that the appellant now deeply regrets his actions which have given rise to his imprisonment. I accept that his conduct was aberrant and that he is, by and large, if not completely, committed to a peaceful and law abiding life. I regard his previous convictions as largely irrelevant and as being the product of an unsatisfactory upbringing and the influence of bad company. There are grounds for thinking that upon his release the applicant will not re-offend.</w:t>
      </w:r>
    </w:p>
    <w:p w14:paraId="0D0114E9" w14:textId="77777777" w:rsidR="00577A0A" w:rsidRDefault="00ED70CF" w:rsidP="004047D1">
      <w:pPr>
        <w:numPr>
          <w:ilvl w:val="0"/>
          <w:numId w:val="7"/>
        </w:numPr>
        <w:spacing w:before="240" w:after="240"/>
      </w:pPr>
      <w:r>
        <w:t>T</w:t>
      </w:r>
      <w:r w:rsidR="00577A0A">
        <w:t>he</w:t>
      </w:r>
      <w:r w:rsidR="004162BC">
        <w:t xml:space="preserve"> Administrative Appeals Tribunal</w:t>
      </w:r>
      <w:r w:rsidR="00577A0A">
        <w:t xml:space="preserve"> noted that there was ‘significant time between his offending in New Zealand and Australia</w:t>
      </w:r>
      <w:r w:rsidR="00C90439">
        <w:t xml:space="preserve"> (</w:t>
      </w:r>
      <w:r>
        <w:t>although</w:t>
      </w:r>
      <w:r w:rsidR="00C90439">
        <w:t xml:space="preserve"> he was in gaol for a large portion of that time)</w:t>
      </w:r>
      <w:r w:rsidR="00577A0A">
        <w:t>; and that the offence in Australia was different in ‘important respects’ from the offences in New Zealand.</w:t>
      </w:r>
      <w:r w:rsidR="00E955A8">
        <w:rPr>
          <w:rStyle w:val="EndnoteReference"/>
        </w:rPr>
        <w:endnoteReference w:id="11"/>
      </w:r>
      <w:r w:rsidR="00577A0A">
        <w:t xml:space="preserve"> The Tribunal also noted that </w:t>
      </w:r>
      <w:r w:rsidR="00CE3A76">
        <w:t>Mr Tapara</w:t>
      </w:r>
      <w:r w:rsidR="00577A0A">
        <w:t xml:space="preserve"> was ‘for the most part, a well-behaved prisoner’ and ‘earned a number of trade qualifications</w:t>
      </w:r>
      <w:r w:rsidR="00292BE8">
        <w:t>’</w:t>
      </w:r>
      <w:r w:rsidR="00577A0A">
        <w:t xml:space="preserve"> during his imprisonment.</w:t>
      </w:r>
      <w:r w:rsidR="00292BE8">
        <w:t xml:space="preserve"> Further, the Tribunal noted that he had a ‘good employment record when he lived in New Zealand’ and ‘regular employment in Australia’.</w:t>
      </w:r>
    </w:p>
    <w:p w14:paraId="7D8BF6DF" w14:textId="7972EA99" w:rsidR="00316EC0" w:rsidRPr="00577A0A" w:rsidRDefault="00316EC0" w:rsidP="00316EC0">
      <w:pPr>
        <w:numPr>
          <w:ilvl w:val="0"/>
          <w:numId w:val="7"/>
        </w:numPr>
        <w:spacing w:before="240" w:after="240"/>
      </w:pPr>
      <w:r>
        <w:t>Importantly, on 2</w:t>
      </w:r>
      <w:r w:rsidR="00583811">
        <w:t>3 November</w:t>
      </w:r>
      <w:r>
        <w:t xml:space="preserve"> 2011, the Southern Queensland Regional Parole Board assessed Mr Tapara as eligible for parole. Having served his prison sentence, Mr Tapara would have been entitled to live in the community, albeit subject to various parole conditions</w:t>
      </w:r>
      <w:r w:rsidR="00116B3C">
        <w:t>, which included reporting, supervision and residence requirements</w:t>
      </w:r>
      <w:r>
        <w:t>. The Tribunal commented that although there was ‘little in the way of independent evidence from experts…[the applicant was] eligible for parole, which suggests a level of confidence that he can be released into the community, albeit subject to supervision</w:t>
      </w:r>
      <w:r w:rsidR="006C021B">
        <w:t>'</w:t>
      </w:r>
      <w:r>
        <w:t>.</w:t>
      </w:r>
      <w:r w:rsidR="00F12309">
        <w:rPr>
          <w:rStyle w:val="EndnoteReference"/>
        </w:rPr>
        <w:endnoteReference w:id="12"/>
      </w:r>
    </w:p>
    <w:p w14:paraId="7D8ACD1B" w14:textId="77777777" w:rsidR="002A731C" w:rsidRPr="002A731C" w:rsidRDefault="0009471F" w:rsidP="004047D1">
      <w:pPr>
        <w:numPr>
          <w:ilvl w:val="0"/>
          <w:numId w:val="7"/>
        </w:numPr>
        <w:spacing w:before="240" w:after="240"/>
      </w:pPr>
      <w:r>
        <w:rPr>
          <w:rFonts w:cs="Arial"/>
          <w:szCs w:val="24"/>
        </w:rPr>
        <w:t xml:space="preserve">Mr Tapara’s Case </w:t>
      </w:r>
      <w:r w:rsidR="00232DAF">
        <w:rPr>
          <w:rFonts w:cs="Arial"/>
          <w:szCs w:val="24"/>
        </w:rPr>
        <w:t>Assessment Report</w:t>
      </w:r>
      <w:r>
        <w:rPr>
          <w:rFonts w:cs="Arial"/>
          <w:szCs w:val="24"/>
        </w:rPr>
        <w:t xml:space="preserve"> as at 9 July 2012 states </w:t>
      </w:r>
      <w:r w:rsidR="00232DAF">
        <w:rPr>
          <w:rFonts w:cs="Arial"/>
          <w:szCs w:val="24"/>
        </w:rPr>
        <w:t>‘</w:t>
      </w:r>
      <w:r w:rsidR="0098473A">
        <w:rPr>
          <w:rFonts w:cs="Arial"/>
          <w:szCs w:val="24"/>
        </w:rPr>
        <w:t xml:space="preserve">while Mr Tapara was in Correction custody, </w:t>
      </w:r>
      <w:r w:rsidR="00A95A85">
        <w:rPr>
          <w:rFonts w:cs="Arial"/>
          <w:szCs w:val="24"/>
        </w:rPr>
        <w:t>he</w:t>
      </w:r>
      <w:r w:rsidR="0098473A">
        <w:rPr>
          <w:rFonts w:cs="Arial"/>
          <w:szCs w:val="24"/>
        </w:rPr>
        <w:t xml:space="preserve"> has not been violent or aggressive’. </w:t>
      </w:r>
    </w:p>
    <w:p w14:paraId="50EB8E00" w14:textId="77777777" w:rsidR="00E75FF5" w:rsidRDefault="004F4BE7" w:rsidP="00883221">
      <w:pPr>
        <w:pStyle w:val="Heading2"/>
        <w:tabs>
          <w:tab w:val="clear" w:pos="1135"/>
          <w:tab w:val="num" w:pos="2411"/>
        </w:tabs>
        <w:ind w:left="709" w:hanging="709"/>
      </w:pPr>
      <w:bookmarkStart w:id="12" w:name="_Toc282871325"/>
      <w:r>
        <w:t>Finding</w:t>
      </w:r>
      <w:bookmarkEnd w:id="12"/>
      <w:r w:rsidR="00E75FF5">
        <w:t xml:space="preserve"> </w:t>
      </w:r>
    </w:p>
    <w:p w14:paraId="77B38650" w14:textId="77777777" w:rsidR="00412149" w:rsidRPr="00B46173" w:rsidRDefault="00B46173" w:rsidP="00B46173">
      <w:pPr>
        <w:numPr>
          <w:ilvl w:val="0"/>
          <w:numId w:val="7"/>
        </w:numPr>
        <w:spacing w:before="240" w:after="240"/>
        <w:rPr>
          <w:rFonts w:cs="Arial"/>
          <w:szCs w:val="24"/>
        </w:rPr>
      </w:pPr>
      <w:r w:rsidRPr="00B46173">
        <w:rPr>
          <w:rFonts w:cs="Arial"/>
          <w:szCs w:val="24"/>
        </w:rPr>
        <w:t>I</w:t>
      </w:r>
      <w:r w:rsidR="00FF1565" w:rsidRPr="00B46173">
        <w:rPr>
          <w:rFonts w:cs="Arial"/>
          <w:szCs w:val="24"/>
        </w:rPr>
        <w:t xml:space="preserve"> am not satisfied that Mr Tapara</w:t>
      </w:r>
      <w:r w:rsidR="00FB3FA1" w:rsidRPr="00B46173">
        <w:rPr>
          <w:rFonts w:cs="Arial"/>
          <w:szCs w:val="24"/>
        </w:rPr>
        <w:t xml:space="preserve"> </w:t>
      </w:r>
      <w:r w:rsidR="009070D9" w:rsidRPr="00B46173">
        <w:rPr>
          <w:rFonts w:cs="Arial"/>
          <w:szCs w:val="24"/>
        </w:rPr>
        <w:t>could not</w:t>
      </w:r>
      <w:r w:rsidR="00FB3FA1" w:rsidRPr="00B46173">
        <w:rPr>
          <w:rFonts w:cs="Arial"/>
          <w:szCs w:val="24"/>
        </w:rPr>
        <w:t xml:space="preserve"> be detained in a less restrictive way, for example, in community detention with </w:t>
      </w:r>
      <w:r w:rsidR="00B7014D" w:rsidRPr="00B46173">
        <w:rPr>
          <w:rFonts w:cs="Arial"/>
          <w:szCs w:val="24"/>
        </w:rPr>
        <w:t>conditions</w:t>
      </w:r>
      <w:r w:rsidR="00590246">
        <w:rPr>
          <w:rFonts w:cs="Arial"/>
          <w:szCs w:val="24"/>
        </w:rPr>
        <w:t xml:space="preserve">, such as reporting requirements, travel restrictions or a curfew, </w:t>
      </w:r>
      <w:r w:rsidR="00B7014D" w:rsidRPr="00B46173">
        <w:rPr>
          <w:rFonts w:cs="Arial"/>
          <w:szCs w:val="24"/>
        </w:rPr>
        <w:t xml:space="preserve">to mitigate </w:t>
      </w:r>
      <w:r w:rsidR="000A0E8E" w:rsidRPr="00B46173">
        <w:rPr>
          <w:rFonts w:cs="Arial"/>
          <w:szCs w:val="24"/>
        </w:rPr>
        <w:t xml:space="preserve">any </w:t>
      </w:r>
      <w:r w:rsidR="00B7014D" w:rsidRPr="00B46173">
        <w:rPr>
          <w:rFonts w:cs="Arial"/>
          <w:szCs w:val="24"/>
        </w:rPr>
        <w:t>risk</w:t>
      </w:r>
      <w:r w:rsidR="000A0E8E" w:rsidRPr="00B46173">
        <w:rPr>
          <w:rFonts w:cs="Arial"/>
          <w:szCs w:val="24"/>
        </w:rPr>
        <w:t xml:space="preserve"> he posed</w:t>
      </w:r>
      <w:r w:rsidR="00FB3FA1" w:rsidRPr="00B46173">
        <w:rPr>
          <w:rFonts w:cs="Arial"/>
          <w:szCs w:val="24"/>
        </w:rPr>
        <w:t>.</w:t>
      </w:r>
      <w:r w:rsidRPr="00B46173">
        <w:rPr>
          <w:rFonts w:cs="Arial"/>
          <w:szCs w:val="24"/>
        </w:rPr>
        <w:t xml:space="preserve"> </w:t>
      </w:r>
      <w:r w:rsidR="008D5EBC">
        <w:rPr>
          <w:rFonts w:cs="Arial"/>
          <w:szCs w:val="24"/>
        </w:rPr>
        <w:t>Mr Tapara had served his sentence and was eligible for parole. He had not been violent while in custody.</w:t>
      </w:r>
    </w:p>
    <w:p w14:paraId="3D34B5FB" w14:textId="77777777" w:rsidR="00D14747" w:rsidRDefault="00290C74" w:rsidP="00D14747">
      <w:pPr>
        <w:pStyle w:val="ListParagraph"/>
        <w:numPr>
          <w:ilvl w:val="0"/>
          <w:numId w:val="7"/>
        </w:numPr>
      </w:pPr>
      <w:r>
        <w:t xml:space="preserve">In my view, Mr Tapara’s detention in an immigration detention centre </w:t>
      </w:r>
      <w:r w:rsidR="0038190F">
        <w:t>was for the legitimate purpose of protecting the Australian community</w:t>
      </w:r>
      <w:r w:rsidR="00D14747">
        <w:t xml:space="preserve"> from non-citizens who pose an unacceptable risk and preventing the flight of a non-citizen pending removal</w:t>
      </w:r>
      <w:r w:rsidR="0038190F">
        <w:t xml:space="preserve">. However, </w:t>
      </w:r>
      <w:r w:rsidR="00D14747">
        <w:t>I find that Mr Tapara’s detention in an immigration detention centre for 17 months was not proportionate to these aims.</w:t>
      </w:r>
      <w:r w:rsidR="00590246">
        <w:t xml:space="preserve"> I consider any risk that Mr Tapara posed could have been mitigated in a less </w:t>
      </w:r>
      <w:r w:rsidR="008A1D75">
        <w:t xml:space="preserve">restrictive </w:t>
      </w:r>
      <w:r w:rsidR="00590246">
        <w:t xml:space="preserve">manner. </w:t>
      </w:r>
    </w:p>
    <w:p w14:paraId="2A362F08" w14:textId="77777777" w:rsidR="00D14747" w:rsidRDefault="00D14747" w:rsidP="00D14747">
      <w:pPr>
        <w:pStyle w:val="ListParagraph"/>
      </w:pPr>
    </w:p>
    <w:p w14:paraId="7BB71F5E" w14:textId="77777777" w:rsidR="00F8655F" w:rsidRPr="00915171" w:rsidRDefault="0054001D">
      <w:pPr>
        <w:pStyle w:val="ListParagraph"/>
        <w:numPr>
          <w:ilvl w:val="0"/>
          <w:numId w:val="7"/>
        </w:numPr>
      </w:pPr>
      <w:r>
        <w:t xml:space="preserve">The </w:t>
      </w:r>
      <w:r w:rsidRPr="00915171">
        <w:t>statutory provisions identified above empowered t</w:t>
      </w:r>
      <w:r w:rsidR="001E1874" w:rsidRPr="00915171">
        <w:t xml:space="preserve">he Minister to make less restrictive arrangements for Mr </w:t>
      </w:r>
      <w:r w:rsidR="00137B1E" w:rsidRPr="00915171">
        <w:t>Tapara</w:t>
      </w:r>
      <w:r w:rsidR="001E1874" w:rsidRPr="00915171">
        <w:t>.</w:t>
      </w:r>
      <w:r w:rsidR="00A35C5B" w:rsidRPr="00915171">
        <w:t xml:space="preserve"> </w:t>
      </w:r>
      <w:r w:rsidR="00EE4575" w:rsidRPr="00915171">
        <w:t>I</w:t>
      </w:r>
      <w:r w:rsidR="0081338D">
        <w:t xml:space="preserve"> find</w:t>
      </w:r>
      <w:r w:rsidR="00EE4575" w:rsidRPr="00915171">
        <w:t xml:space="preserve"> that</w:t>
      </w:r>
      <w:r w:rsidRPr="00915171">
        <w:t xml:space="preserve"> </w:t>
      </w:r>
      <w:r w:rsidR="005D3391" w:rsidRPr="00915171">
        <w:t>t</w:t>
      </w:r>
      <w:r w:rsidR="00565D34" w:rsidRPr="00915171">
        <w:t xml:space="preserve">he failure of the </w:t>
      </w:r>
      <w:r w:rsidR="000A4C01" w:rsidRPr="00915171">
        <w:t xml:space="preserve">Department to refer Mr Tapara’s case to the </w:t>
      </w:r>
      <w:r w:rsidR="00565D34" w:rsidRPr="00915171">
        <w:t>Minister</w:t>
      </w:r>
      <w:r w:rsidR="000A4C01" w:rsidRPr="00915171">
        <w:t xml:space="preserve"> for consideration of the</w:t>
      </w:r>
      <w:r w:rsidR="00565D34" w:rsidRPr="00915171">
        <w:t xml:space="preserve"> </w:t>
      </w:r>
      <w:r w:rsidR="005D3391" w:rsidRPr="00915171">
        <w:t xml:space="preserve">exercise </w:t>
      </w:r>
      <w:r w:rsidR="00BD051F" w:rsidRPr="00915171">
        <w:t xml:space="preserve">of </w:t>
      </w:r>
      <w:r w:rsidR="005D3391" w:rsidRPr="00915171">
        <w:t>th</w:t>
      </w:r>
      <w:r w:rsidR="001E1874" w:rsidRPr="00915171">
        <w:t>os</w:t>
      </w:r>
      <w:r w:rsidR="005D3391" w:rsidRPr="00915171">
        <w:t>e powers</w:t>
      </w:r>
      <w:r w:rsidRPr="00915171">
        <w:t xml:space="preserve"> </w:t>
      </w:r>
      <w:r w:rsidR="00A35C5B" w:rsidRPr="00915171">
        <w:t>was</w:t>
      </w:r>
      <w:r w:rsidR="00565D34" w:rsidRPr="00915171">
        <w:t xml:space="preserve"> </w:t>
      </w:r>
      <w:r w:rsidR="00A35C5B" w:rsidRPr="00915171">
        <w:t xml:space="preserve">an act that was </w:t>
      </w:r>
      <w:r w:rsidR="00565D34" w:rsidRPr="00915171">
        <w:t>inconsistent with</w:t>
      </w:r>
      <w:r w:rsidR="00A35C5B" w:rsidRPr="00915171">
        <w:t xml:space="preserve"> or contrary to</w:t>
      </w:r>
      <w:r w:rsidR="00565D34" w:rsidRPr="00915171">
        <w:t xml:space="preserve"> the </w:t>
      </w:r>
      <w:r w:rsidR="00A35C5B" w:rsidRPr="00915171">
        <w:t>human right recognised</w:t>
      </w:r>
      <w:r w:rsidR="00565D34" w:rsidRPr="00915171">
        <w:t xml:space="preserve"> in article 9</w:t>
      </w:r>
      <w:r w:rsidR="00A35C5B" w:rsidRPr="00915171">
        <w:t>(1)</w:t>
      </w:r>
      <w:r w:rsidR="00565D34" w:rsidRPr="00915171">
        <w:t xml:space="preserve"> of the ICCPR.</w:t>
      </w:r>
      <w:r w:rsidR="00590246" w:rsidRPr="00915171">
        <w:t xml:space="preserve"> </w:t>
      </w:r>
      <w:r w:rsidR="00590246" w:rsidRPr="00915171">
        <w:rPr>
          <w:rFonts w:cs="Arial"/>
          <w:szCs w:val="24"/>
        </w:rPr>
        <w:t>I</w:t>
      </w:r>
      <w:r w:rsidR="0081338D">
        <w:rPr>
          <w:rFonts w:cs="Arial"/>
          <w:szCs w:val="24"/>
        </w:rPr>
        <w:t xml:space="preserve"> find</w:t>
      </w:r>
      <w:r w:rsidR="00590246" w:rsidRPr="00915171">
        <w:rPr>
          <w:rFonts w:cs="Arial"/>
          <w:szCs w:val="24"/>
        </w:rPr>
        <w:t xml:space="preserve"> that Mr Tapara’s detention in the MIDC for 17 months was arbitrary in breach of article 9 of the ICCPR</w:t>
      </w:r>
      <w:r w:rsidR="0006754B" w:rsidRPr="00915171">
        <w:rPr>
          <w:rFonts w:cs="Arial"/>
          <w:szCs w:val="24"/>
        </w:rPr>
        <w:t>.</w:t>
      </w:r>
    </w:p>
    <w:p w14:paraId="6E2D6B75" w14:textId="40005050" w:rsidR="00AD550F" w:rsidRPr="00AD550F" w:rsidRDefault="00656DB1" w:rsidP="00AD550F">
      <w:pPr>
        <w:pStyle w:val="Heading1"/>
      </w:pPr>
      <w:bookmarkStart w:id="13" w:name="_Toc282871326"/>
      <w:r w:rsidRPr="00915171">
        <w:lastRenderedPageBreak/>
        <w:t xml:space="preserve">Interference with </w:t>
      </w:r>
      <w:r w:rsidR="008A4F58" w:rsidRPr="00915171">
        <w:t>family</w:t>
      </w:r>
      <w:bookmarkEnd w:id="13"/>
    </w:p>
    <w:p w14:paraId="5F806130" w14:textId="77777777" w:rsidR="00204AA8" w:rsidRDefault="00204AA8" w:rsidP="008F3EE0">
      <w:pPr>
        <w:numPr>
          <w:ilvl w:val="0"/>
          <w:numId w:val="7"/>
        </w:numPr>
        <w:spacing w:before="240"/>
      </w:pPr>
      <w:r>
        <w:t xml:space="preserve">Mr </w:t>
      </w:r>
      <w:r w:rsidR="00137B1E">
        <w:t>Tapara</w:t>
      </w:r>
      <w:r>
        <w:t xml:space="preserve"> also claims that his detention in </w:t>
      </w:r>
      <w:r w:rsidR="00E75FF5">
        <w:t>M</w:t>
      </w:r>
      <w:r>
        <w:t xml:space="preserve">IDC interfered with his family in breach of articles 17(1) and 23(1) of the ICCPR. </w:t>
      </w:r>
      <w:r w:rsidR="00ED70CF">
        <w:t xml:space="preserve">He states that </w:t>
      </w:r>
      <w:r w:rsidR="00ED70CF" w:rsidRPr="00ED70CF">
        <w:rPr>
          <w:szCs w:val="24"/>
        </w:rPr>
        <w:t xml:space="preserve">his wife, Ms Dunn, her three children and his brother and four nieces and nephews live in Brisbane, Queensland and his detention at MIDC in Melbourne, Victoria separated him from them for 17 months. </w:t>
      </w:r>
      <w:r w:rsidR="0071236F">
        <w:t>In particular</w:t>
      </w:r>
      <w:r w:rsidR="00F62903">
        <w:t>,</w:t>
      </w:r>
      <w:r w:rsidR="0071236F">
        <w:t xml:space="preserve"> he </w:t>
      </w:r>
      <w:r w:rsidR="00ED70CF">
        <w:t xml:space="preserve">complains </w:t>
      </w:r>
      <w:r w:rsidR="0071236F">
        <w:t>that he was not able to attend the funeral of Ms Dunn’s son on 22 February 2012.</w:t>
      </w:r>
    </w:p>
    <w:p w14:paraId="5B1D47AD" w14:textId="489EE2D2" w:rsidR="008A4F58" w:rsidRPr="00CF6968" w:rsidRDefault="008A4F58" w:rsidP="008A4F58">
      <w:pPr>
        <w:numPr>
          <w:ilvl w:val="0"/>
          <w:numId w:val="7"/>
        </w:numPr>
        <w:spacing w:before="240" w:after="240"/>
        <w:rPr>
          <w:szCs w:val="24"/>
        </w:rPr>
      </w:pPr>
      <w:r w:rsidRPr="006F3AA4">
        <w:rPr>
          <w:szCs w:val="24"/>
        </w:rPr>
        <w:t xml:space="preserve">For the reasons set out in </w:t>
      </w:r>
      <w:r w:rsidRPr="006D2E41">
        <w:rPr>
          <w:i/>
          <w:szCs w:val="24"/>
        </w:rPr>
        <w:t xml:space="preserve">Australian Human Rights Commission </w:t>
      </w:r>
      <w:r w:rsidR="006C021B">
        <w:rPr>
          <w:i/>
          <w:szCs w:val="24"/>
        </w:rPr>
        <w:t xml:space="preserve">Act </w:t>
      </w:r>
      <w:r w:rsidRPr="006D2E41">
        <w:rPr>
          <w:i/>
          <w:szCs w:val="24"/>
        </w:rPr>
        <w:t>Report 39</w:t>
      </w:r>
      <w:r>
        <w:t>,</w:t>
      </w:r>
      <w:r w:rsidRPr="006F3AA4">
        <w:rPr>
          <w:szCs w:val="24"/>
        </w:rPr>
        <w:t xml:space="preserve"> the Commission is of the view that in cases alleging a State’s arbitrary interference with a person’s family, it is appropriate to assess the alleged breach under article 17(1).</w:t>
      </w:r>
      <w:r>
        <w:rPr>
          <w:rStyle w:val="EndnoteReference"/>
          <w:szCs w:val="24"/>
        </w:rPr>
        <w:endnoteReference w:id="13"/>
      </w:r>
      <w:r w:rsidRPr="006F3AA4">
        <w:rPr>
          <w:szCs w:val="24"/>
        </w:rPr>
        <w:t xml:space="preserve"> </w:t>
      </w:r>
      <w:r w:rsidRPr="00CF6968">
        <w:rPr>
          <w:szCs w:val="24"/>
        </w:rPr>
        <w:t xml:space="preserve">If </w:t>
      </w:r>
      <w:r>
        <w:rPr>
          <w:szCs w:val="24"/>
        </w:rPr>
        <w:t>this breach is made out</w:t>
      </w:r>
      <w:r w:rsidRPr="00CF6968">
        <w:rPr>
          <w:szCs w:val="24"/>
        </w:rPr>
        <w:t xml:space="preserve">, </w:t>
      </w:r>
      <w:r w:rsidR="00E31F8C">
        <w:rPr>
          <w:szCs w:val="24"/>
        </w:rPr>
        <w:t>it will usually follow that the</w:t>
      </w:r>
      <w:r w:rsidRPr="00CF6968">
        <w:rPr>
          <w:szCs w:val="24"/>
        </w:rPr>
        <w:t xml:space="preserve"> breach is in addition to (or in conjunction with) a breach of article 23(1).</w:t>
      </w:r>
    </w:p>
    <w:p w14:paraId="0D539E81" w14:textId="77777777" w:rsidR="008A4F58" w:rsidRPr="00A348CF" w:rsidRDefault="008A4F58" w:rsidP="008A4F58">
      <w:pPr>
        <w:numPr>
          <w:ilvl w:val="0"/>
          <w:numId w:val="7"/>
        </w:numPr>
        <w:spacing w:before="240"/>
      </w:pPr>
      <w:r>
        <w:t>In its General Comment on A</w:t>
      </w:r>
      <w:r w:rsidRPr="00A348CF">
        <w:t>rt</w:t>
      </w:r>
      <w:r>
        <w:t>icle</w:t>
      </w:r>
      <w:r w:rsidRPr="00A348CF">
        <w:t xml:space="preserve"> 17(1), the UNHRC confirmed that a lawful interference with a person’s family may </w:t>
      </w:r>
      <w:r>
        <w:t xml:space="preserve">still </w:t>
      </w:r>
      <w:r w:rsidRPr="00A348CF">
        <w:t>be arbitrary, unless it is in accordance with the provisions, aim</w:t>
      </w:r>
      <w:r>
        <w:t>s and objectives of the ICCPR</w:t>
      </w:r>
      <w:r w:rsidRPr="00A348CF">
        <w:t xml:space="preserve"> and is reasonable in the particular circumstances.</w:t>
      </w:r>
      <w:r>
        <w:rPr>
          <w:rStyle w:val="EndnoteReference"/>
        </w:rPr>
        <w:endnoteReference w:id="14"/>
      </w:r>
      <w:r w:rsidRPr="00A348CF">
        <w:t xml:space="preserve"> It follows that the prohibition against arbitrary interferences with family incorporates notions of reasonableness. In relation to the meaning of ‘reasonableness’, the UNHRC stated in </w:t>
      </w:r>
      <w:r w:rsidRPr="009B0BAE">
        <w:rPr>
          <w:i/>
        </w:rPr>
        <w:t>Toonen v Australia</w:t>
      </w:r>
      <w:r w:rsidRPr="00A348CF">
        <w:t>:</w:t>
      </w:r>
      <w:r>
        <w:br/>
      </w:r>
    </w:p>
    <w:p w14:paraId="5BF4687E" w14:textId="77777777" w:rsidR="008A4F58" w:rsidRDefault="008A4F58" w:rsidP="008A4F58">
      <w:pPr>
        <w:ind w:left="1440"/>
        <w:rPr>
          <w:sz w:val="22"/>
          <w:szCs w:val="22"/>
        </w:rPr>
      </w:pPr>
      <w:r w:rsidRPr="00935DC0">
        <w:rPr>
          <w:sz w:val="20"/>
        </w:rPr>
        <w:t>The Committee interprets the requirement of reasonableness to imply that any interference with privacy must be proportional to the end sought and be necessary in the circumstances of any given case</w:t>
      </w:r>
      <w:r w:rsidRPr="00A41DD8">
        <w:rPr>
          <w:sz w:val="22"/>
          <w:szCs w:val="22"/>
        </w:rPr>
        <w:t>.</w:t>
      </w:r>
      <w:r>
        <w:rPr>
          <w:rStyle w:val="EndnoteReference"/>
          <w:szCs w:val="22"/>
        </w:rPr>
        <w:endnoteReference w:id="15"/>
      </w:r>
    </w:p>
    <w:p w14:paraId="4A599B5D" w14:textId="77777777" w:rsidR="0029084A" w:rsidRDefault="008A4F58" w:rsidP="0029084A">
      <w:pPr>
        <w:pStyle w:val="Heading2"/>
        <w:ind w:left="709" w:hanging="709"/>
      </w:pPr>
      <w:bookmarkStart w:id="14" w:name="_Toc282871327"/>
      <w:r w:rsidRPr="00894596">
        <w:t>The Department’s response</w:t>
      </w:r>
      <w:bookmarkEnd w:id="14"/>
    </w:p>
    <w:p w14:paraId="6AAA26B5" w14:textId="77777777" w:rsidR="0029084A" w:rsidRDefault="0029084A" w:rsidP="00E87AE8">
      <w:pPr>
        <w:numPr>
          <w:ilvl w:val="0"/>
          <w:numId w:val="7"/>
        </w:numPr>
        <w:spacing w:before="240"/>
        <w:rPr>
          <w:szCs w:val="24"/>
        </w:rPr>
      </w:pPr>
      <w:r w:rsidRPr="00E87AE8">
        <w:rPr>
          <w:szCs w:val="24"/>
        </w:rPr>
        <w:t xml:space="preserve">The Department </w:t>
      </w:r>
      <w:r w:rsidR="00CC7D03">
        <w:rPr>
          <w:szCs w:val="24"/>
        </w:rPr>
        <w:t xml:space="preserve">has </w:t>
      </w:r>
      <w:r w:rsidRPr="00E87AE8">
        <w:rPr>
          <w:szCs w:val="24"/>
        </w:rPr>
        <w:t>acknowledge</w:t>
      </w:r>
      <w:r w:rsidR="0054001D">
        <w:rPr>
          <w:szCs w:val="24"/>
        </w:rPr>
        <w:t>d</w:t>
      </w:r>
      <w:r w:rsidRPr="00E87AE8">
        <w:rPr>
          <w:szCs w:val="24"/>
        </w:rPr>
        <w:t xml:space="preserve"> that Mr </w:t>
      </w:r>
      <w:r w:rsidR="000C4CE6">
        <w:rPr>
          <w:szCs w:val="24"/>
        </w:rPr>
        <w:t>Tapara</w:t>
      </w:r>
      <w:r w:rsidR="00B96589">
        <w:rPr>
          <w:szCs w:val="24"/>
        </w:rPr>
        <w:t xml:space="preserve"> wa</w:t>
      </w:r>
      <w:r w:rsidRPr="00E87AE8">
        <w:rPr>
          <w:szCs w:val="24"/>
        </w:rPr>
        <w:t>s detained at a distance from the majority of his family in</w:t>
      </w:r>
      <w:r w:rsidR="00B96589">
        <w:rPr>
          <w:szCs w:val="24"/>
        </w:rPr>
        <w:t xml:space="preserve"> </w:t>
      </w:r>
      <w:r w:rsidR="000C4CE6">
        <w:rPr>
          <w:szCs w:val="24"/>
        </w:rPr>
        <w:t>Brisbane</w:t>
      </w:r>
      <w:r w:rsidR="00CC7D03">
        <w:rPr>
          <w:szCs w:val="24"/>
        </w:rPr>
        <w:t>. However, it states</w:t>
      </w:r>
      <w:r w:rsidR="00B96589">
        <w:rPr>
          <w:szCs w:val="24"/>
        </w:rPr>
        <w:t xml:space="preserve"> that</w:t>
      </w:r>
      <w:r w:rsidR="00CC7D03">
        <w:rPr>
          <w:szCs w:val="24"/>
        </w:rPr>
        <w:t xml:space="preserve"> the</w:t>
      </w:r>
      <w:r w:rsidR="00B96589">
        <w:rPr>
          <w:szCs w:val="24"/>
        </w:rPr>
        <w:t xml:space="preserve"> </w:t>
      </w:r>
      <w:r w:rsidR="000C4CE6">
        <w:rPr>
          <w:szCs w:val="24"/>
        </w:rPr>
        <w:t>M</w:t>
      </w:r>
      <w:r w:rsidR="00B96589">
        <w:rPr>
          <w:szCs w:val="24"/>
        </w:rPr>
        <w:t>IDC wa</w:t>
      </w:r>
      <w:r w:rsidRPr="00E87AE8">
        <w:rPr>
          <w:szCs w:val="24"/>
        </w:rPr>
        <w:t>s the only appropriate facility in which to house him given the risk-based security requirements of his detention.</w:t>
      </w:r>
    </w:p>
    <w:p w14:paraId="1C9BEB7C" w14:textId="0B6A966F" w:rsidR="00792CF5" w:rsidRPr="005C4BB3" w:rsidRDefault="00792CF5" w:rsidP="00792CF5">
      <w:pPr>
        <w:numPr>
          <w:ilvl w:val="0"/>
          <w:numId w:val="7"/>
        </w:numPr>
        <w:spacing w:before="240" w:after="240"/>
        <w:rPr>
          <w:rFonts w:cs="Arial"/>
          <w:szCs w:val="24"/>
        </w:rPr>
      </w:pPr>
      <w:r>
        <w:rPr>
          <w:rFonts w:cs="Arial"/>
          <w:szCs w:val="24"/>
        </w:rPr>
        <w:t xml:space="preserve">The Department states that </w:t>
      </w:r>
      <w:r w:rsidRPr="005C4BB3">
        <w:rPr>
          <w:rFonts w:cs="Arial"/>
          <w:szCs w:val="24"/>
        </w:rPr>
        <w:t>Mr Tapara was considered to be a ‘high’ risk placement</w:t>
      </w:r>
      <w:r>
        <w:rPr>
          <w:rFonts w:cs="Arial"/>
          <w:szCs w:val="24"/>
        </w:rPr>
        <w:t xml:space="preserve">. It stated that there is only one immigration detention centre in Brisbane – the </w:t>
      </w:r>
      <w:r w:rsidRPr="005C4BB3">
        <w:rPr>
          <w:rFonts w:cs="Arial"/>
          <w:szCs w:val="24"/>
        </w:rPr>
        <w:t>BITA</w:t>
      </w:r>
      <w:r>
        <w:rPr>
          <w:rFonts w:cs="Arial"/>
          <w:szCs w:val="24"/>
        </w:rPr>
        <w:t xml:space="preserve"> – and th</w:t>
      </w:r>
      <w:r w:rsidRPr="005C4BB3">
        <w:rPr>
          <w:rFonts w:cs="Arial"/>
          <w:szCs w:val="24"/>
        </w:rPr>
        <w:t>is</w:t>
      </w:r>
      <w:r>
        <w:rPr>
          <w:rFonts w:cs="Arial"/>
          <w:szCs w:val="24"/>
        </w:rPr>
        <w:t xml:space="preserve"> is</w:t>
      </w:r>
      <w:r w:rsidRPr="005C4BB3">
        <w:rPr>
          <w:rFonts w:cs="Arial"/>
          <w:szCs w:val="24"/>
        </w:rPr>
        <w:t xml:space="preserve"> used for short-stay clients who are on a fast-removal pathw</w:t>
      </w:r>
      <w:r w:rsidR="00421E16">
        <w:rPr>
          <w:rFonts w:cs="Arial"/>
          <w:szCs w:val="24"/>
        </w:rPr>
        <w:t>ay and Unauthorised Air Arrival</w:t>
      </w:r>
      <w:r w:rsidRPr="005C4BB3">
        <w:rPr>
          <w:rFonts w:cs="Arial"/>
          <w:szCs w:val="24"/>
        </w:rPr>
        <w:t xml:space="preserve"> clients whose status is yet to be resolved.</w:t>
      </w:r>
    </w:p>
    <w:p w14:paraId="24A5C5F2" w14:textId="77777777" w:rsidR="00792CF5" w:rsidRDefault="00792CF5" w:rsidP="00792CF5">
      <w:pPr>
        <w:numPr>
          <w:ilvl w:val="0"/>
          <w:numId w:val="7"/>
        </w:numPr>
        <w:spacing w:before="240" w:after="240"/>
        <w:rPr>
          <w:rFonts w:cs="Arial"/>
          <w:szCs w:val="24"/>
        </w:rPr>
      </w:pPr>
      <w:r>
        <w:rPr>
          <w:rFonts w:cs="Arial"/>
          <w:szCs w:val="24"/>
        </w:rPr>
        <w:t>T</w:t>
      </w:r>
      <w:r w:rsidRPr="00E25E67">
        <w:rPr>
          <w:rFonts w:cs="Arial"/>
          <w:szCs w:val="24"/>
        </w:rPr>
        <w:t xml:space="preserve">he Department states that Mr Tapara’s request to be transferred to BITA was discussed at Client Placement/Security meetings on 24 February 2012, 9 March 2012 and 13 April 2012. </w:t>
      </w:r>
      <w:r>
        <w:rPr>
          <w:rFonts w:cs="Arial"/>
          <w:szCs w:val="24"/>
        </w:rPr>
        <w:t>It states that ‘by reason of the section 501 visa cancellation, Mr Tapara was rated as an unacceptable risk to the community’</w:t>
      </w:r>
      <w:r w:rsidR="003B11DF">
        <w:rPr>
          <w:rFonts w:cs="Arial"/>
          <w:szCs w:val="24"/>
        </w:rPr>
        <w:t xml:space="preserve"> and his detention in the MIDC was confirmed</w:t>
      </w:r>
      <w:r>
        <w:rPr>
          <w:rFonts w:cs="Arial"/>
          <w:szCs w:val="24"/>
        </w:rPr>
        <w:t>.</w:t>
      </w:r>
    </w:p>
    <w:p w14:paraId="06A79CD9" w14:textId="7909F79A" w:rsidR="00AB7E67" w:rsidRPr="00E25E67" w:rsidRDefault="00AB7E67" w:rsidP="00792CF5">
      <w:pPr>
        <w:numPr>
          <w:ilvl w:val="0"/>
          <w:numId w:val="7"/>
        </w:numPr>
        <w:spacing w:before="240" w:after="240"/>
        <w:rPr>
          <w:rFonts w:cs="Arial"/>
          <w:szCs w:val="24"/>
        </w:rPr>
      </w:pPr>
      <w:r>
        <w:rPr>
          <w:rFonts w:cs="Arial"/>
          <w:szCs w:val="24"/>
        </w:rPr>
        <w:t>Mr Tapara’s Case Review as at 9 July 2012 states that in an email to the Detention Operations Director d</w:t>
      </w:r>
      <w:r w:rsidR="0005547E">
        <w:rPr>
          <w:rFonts w:cs="Arial"/>
          <w:szCs w:val="24"/>
        </w:rPr>
        <w:t>ated 20 June 2012, Mr Tapara’s C</w:t>
      </w:r>
      <w:r>
        <w:rPr>
          <w:rFonts w:cs="Arial"/>
          <w:szCs w:val="24"/>
        </w:rPr>
        <w:t xml:space="preserve">ase </w:t>
      </w:r>
      <w:r w:rsidR="0005547E">
        <w:rPr>
          <w:rFonts w:cs="Arial"/>
          <w:szCs w:val="24"/>
        </w:rPr>
        <w:t>M</w:t>
      </w:r>
      <w:r>
        <w:rPr>
          <w:rFonts w:cs="Arial"/>
          <w:szCs w:val="24"/>
        </w:rPr>
        <w:t>anager expressed ongoing support of placing Mr Tapara in the BITA. However, senior Detention Operations personnel refused t</w:t>
      </w:r>
      <w:r w:rsidR="00935DC0">
        <w:rPr>
          <w:rFonts w:cs="Arial"/>
          <w:szCs w:val="24"/>
        </w:rPr>
        <w:t>he</w:t>
      </w:r>
      <w:r>
        <w:rPr>
          <w:rFonts w:cs="Arial"/>
          <w:szCs w:val="24"/>
        </w:rPr>
        <w:t xml:space="preserve"> transfer.</w:t>
      </w:r>
    </w:p>
    <w:p w14:paraId="6738F2B1" w14:textId="77777777" w:rsidR="008A4F58" w:rsidRDefault="004F4BE7" w:rsidP="00894596">
      <w:pPr>
        <w:pStyle w:val="Heading2"/>
        <w:ind w:left="709" w:hanging="709"/>
      </w:pPr>
      <w:bookmarkStart w:id="15" w:name="_Toc282871328"/>
      <w:r>
        <w:lastRenderedPageBreak/>
        <w:t>Finding</w:t>
      </w:r>
      <w:bookmarkEnd w:id="15"/>
    </w:p>
    <w:p w14:paraId="0EC3638B" w14:textId="77777777" w:rsidR="00DC1CE6" w:rsidRDefault="00DC1CE6" w:rsidP="00DC1CE6">
      <w:pPr>
        <w:numPr>
          <w:ilvl w:val="0"/>
          <w:numId w:val="7"/>
        </w:numPr>
        <w:spacing w:before="240"/>
        <w:rPr>
          <w:szCs w:val="24"/>
        </w:rPr>
      </w:pPr>
      <w:r>
        <w:rPr>
          <w:szCs w:val="24"/>
        </w:rPr>
        <w:t>The objects of the ICCPR require that the term ‘family’ be given a broad interpretation to include all those comprising the family as understood in the society of the State party concerned.</w:t>
      </w:r>
      <w:r>
        <w:rPr>
          <w:rStyle w:val="EndnoteReference"/>
          <w:szCs w:val="24"/>
        </w:rPr>
        <w:endnoteReference w:id="16"/>
      </w:r>
      <w:r>
        <w:rPr>
          <w:szCs w:val="24"/>
        </w:rPr>
        <w:t xml:space="preserve"> The Committee has said </w:t>
      </w:r>
    </w:p>
    <w:p w14:paraId="78CE8CE8" w14:textId="77777777" w:rsidR="00DC1CE6" w:rsidRDefault="00DC1CE6" w:rsidP="00DC1CE6">
      <w:pPr>
        <w:spacing w:before="240"/>
        <w:ind w:left="1440"/>
        <w:rPr>
          <w:sz w:val="20"/>
        </w:rPr>
      </w:pPr>
      <w:r w:rsidRPr="00AF56D1">
        <w:rPr>
          <w:sz w:val="20"/>
        </w:rPr>
        <w:t>that the term ‘family’ must be understood broadly; it reaffirms that the concept refers not solely to the family home during marriage or cohabitation, but also to the relations in general between parents and child. Some minimal requirements for the existence of a family are, however necessary, such as life together, economic ties, a regular and intense relationship etc.</w:t>
      </w:r>
      <w:r>
        <w:rPr>
          <w:rStyle w:val="EndnoteReference"/>
        </w:rPr>
        <w:endnoteReference w:id="17"/>
      </w:r>
    </w:p>
    <w:p w14:paraId="27009013" w14:textId="77777777" w:rsidR="006749BD" w:rsidRPr="00147C8D" w:rsidRDefault="00DE5F24" w:rsidP="00DC1CE6">
      <w:pPr>
        <w:numPr>
          <w:ilvl w:val="0"/>
          <w:numId w:val="7"/>
        </w:numPr>
        <w:spacing w:before="240"/>
        <w:rPr>
          <w:szCs w:val="24"/>
        </w:rPr>
      </w:pPr>
      <w:r w:rsidRPr="00147C8D">
        <w:rPr>
          <w:szCs w:val="24"/>
        </w:rPr>
        <w:t>I</w:t>
      </w:r>
      <w:r w:rsidR="00DC1CE6" w:rsidRPr="00147C8D">
        <w:rPr>
          <w:szCs w:val="24"/>
        </w:rPr>
        <w:t xml:space="preserve">n </w:t>
      </w:r>
      <w:r w:rsidR="00DC1CE6" w:rsidRPr="00147C8D">
        <w:rPr>
          <w:i/>
          <w:szCs w:val="24"/>
        </w:rPr>
        <w:t xml:space="preserve">Ngambi </w:t>
      </w:r>
      <w:r w:rsidR="00DC1CE6" w:rsidRPr="00147C8D">
        <w:rPr>
          <w:szCs w:val="24"/>
        </w:rPr>
        <w:t xml:space="preserve">v </w:t>
      </w:r>
      <w:r w:rsidR="00DC1CE6" w:rsidRPr="00147C8D">
        <w:rPr>
          <w:i/>
          <w:szCs w:val="24"/>
        </w:rPr>
        <w:t>France</w:t>
      </w:r>
      <w:r w:rsidR="00DC1CE6" w:rsidRPr="00147C8D">
        <w:rPr>
          <w:szCs w:val="24"/>
        </w:rPr>
        <w:t>,</w:t>
      </w:r>
      <w:r w:rsidR="00DC1CE6">
        <w:rPr>
          <w:rStyle w:val="EndnoteReference"/>
          <w:szCs w:val="24"/>
        </w:rPr>
        <w:endnoteReference w:id="18"/>
      </w:r>
      <w:r w:rsidR="00DC1CE6" w:rsidRPr="00147C8D">
        <w:rPr>
          <w:i/>
          <w:szCs w:val="24"/>
        </w:rPr>
        <w:t xml:space="preserve"> </w:t>
      </w:r>
      <w:r w:rsidRPr="00147C8D">
        <w:rPr>
          <w:szCs w:val="24"/>
        </w:rPr>
        <w:t>t</w:t>
      </w:r>
      <w:r w:rsidR="00DC1CE6" w:rsidRPr="00147C8D">
        <w:rPr>
          <w:szCs w:val="24"/>
        </w:rPr>
        <w:t>he UN Human Rights Committee stated that ‘the right to protection of family</w:t>
      </w:r>
      <w:r w:rsidR="00A11660" w:rsidRPr="00147C8D">
        <w:rPr>
          <w:szCs w:val="24"/>
        </w:rPr>
        <w:t xml:space="preserve"> is not </w:t>
      </w:r>
      <w:r w:rsidR="00DC1CE6" w:rsidRPr="00147C8D">
        <w:rPr>
          <w:szCs w:val="24"/>
        </w:rPr>
        <w:t>necessarily displaced by geographical separation, infidelity, or the absence of conjugal relations</w:t>
      </w:r>
      <w:r w:rsidRPr="00147C8D">
        <w:rPr>
          <w:szCs w:val="24"/>
        </w:rPr>
        <w:t>. However, there must be a family bond to protect</w:t>
      </w:r>
      <w:r w:rsidR="00DC1CE6" w:rsidRPr="00147C8D">
        <w:rPr>
          <w:szCs w:val="24"/>
        </w:rPr>
        <w:t>’.</w:t>
      </w:r>
      <w:r w:rsidR="00147C8D">
        <w:rPr>
          <w:szCs w:val="24"/>
        </w:rPr>
        <w:t xml:space="preserve"> </w:t>
      </w:r>
      <w:r w:rsidR="006749BD" w:rsidRPr="00147C8D">
        <w:rPr>
          <w:szCs w:val="24"/>
        </w:rPr>
        <w:t xml:space="preserve">In </w:t>
      </w:r>
      <w:r w:rsidR="006749BD" w:rsidRPr="00147C8D">
        <w:rPr>
          <w:i/>
          <w:szCs w:val="24"/>
        </w:rPr>
        <w:t>Dauphin v Canada</w:t>
      </w:r>
      <w:r w:rsidR="006749BD">
        <w:rPr>
          <w:rStyle w:val="EndnoteReference"/>
          <w:i/>
          <w:szCs w:val="24"/>
        </w:rPr>
        <w:endnoteReference w:id="19"/>
      </w:r>
      <w:r w:rsidR="006749BD" w:rsidRPr="00147C8D">
        <w:rPr>
          <w:szCs w:val="24"/>
        </w:rPr>
        <w:t xml:space="preserve">, </w:t>
      </w:r>
      <w:r w:rsidR="001F00EE" w:rsidRPr="00147C8D">
        <w:rPr>
          <w:szCs w:val="24"/>
        </w:rPr>
        <w:t xml:space="preserve">the Committee considered that the author’s parents, brothers and sisters constitute family under the ICCPR. </w:t>
      </w:r>
    </w:p>
    <w:p w14:paraId="5BA4030A" w14:textId="77777777" w:rsidR="006F2C69" w:rsidRDefault="00DC1CE6" w:rsidP="00DC1CE6">
      <w:pPr>
        <w:numPr>
          <w:ilvl w:val="0"/>
          <w:numId w:val="7"/>
        </w:numPr>
        <w:spacing w:before="240"/>
        <w:rPr>
          <w:szCs w:val="24"/>
        </w:rPr>
      </w:pPr>
      <w:r w:rsidRPr="00316EC0">
        <w:rPr>
          <w:szCs w:val="24"/>
        </w:rPr>
        <w:t>Mr Tapara met Ms Dunn in mid-2009 while he was imprisoned in the Woodford Correctional Centre. Mr Tapara</w:t>
      </w:r>
      <w:r w:rsidR="00E04EE4">
        <w:rPr>
          <w:szCs w:val="24"/>
        </w:rPr>
        <w:t xml:space="preserve"> states that his</w:t>
      </w:r>
      <w:r w:rsidRPr="00316EC0">
        <w:rPr>
          <w:szCs w:val="24"/>
        </w:rPr>
        <w:t xml:space="preserve"> relationship with Ms Dunn and her three children occurred through the medium of telephone and postal contact as well as </w:t>
      </w:r>
      <w:r w:rsidR="00CC7D03">
        <w:rPr>
          <w:szCs w:val="24"/>
        </w:rPr>
        <w:t>visits</w:t>
      </w:r>
      <w:r w:rsidRPr="00316EC0">
        <w:rPr>
          <w:szCs w:val="24"/>
        </w:rPr>
        <w:t>. At 2 December 2011</w:t>
      </w:r>
      <w:r w:rsidR="003B11DF">
        <w:rPr>
          <w:szCs w:val="24"/>
        </w:rPr>
        <w:t>,</w:t>
      </w:r>
      <w:r w:rsidRPr="00316EC0">
        <w:rPr>
          <w:szCs w:val="24"/>
        </w:rPr>
        <w:t xml:space="preserve"> when Mr Tapara was detained in the MIDC, the relationship had been ongoing for approximately 18 months. Shortly afterwards, on 4 February 2012, Mr Tapara and Ms Dunn were married. Mr Tapara claims that Ms Dunn’s children consider him to be a father figure and call him ‘</w:t>
      </w:r>
      <w:r w:rsidR="0091722E">
        <w:rPr>
          <w:szCs w:val="24"/>
        </w:rPr>
        <w:t>D</w:t>
      </w:r>
      <w:r w:rsidRPr="00316EC0">
        <w:rPr>
          <w:szCs w:val="24"/>
        </w:rPr>
        <w:t>ad’.</w:t>
      </w:r>
    </w:p>
    <w:p w14:paraId="3E15842E" w14:textId="77777777" w:rsidR="00DC1CE6" w:rsidRPr="00316EC0" w:rsidRDefault="00DC1CE6" w:rsidP="00DC1CE6">
      <w:pPr>
        <w:numPr>
          <w:ilvl w:val="0"/>
          <w:numId w:val="7"/>
        </w:numPr>
        <w:spacing w:before="240"/>
        <w:rPr>
          <w:szCs w:val="24"/>
        </w:rPr>
      </w:pPr>
      <w:r w:rsidRPr="00316EC0">
        <w:rPr>
          <w:szCs w:val="24"/>
        </w:rPr>
        <w:t xml:space="preserve">When considering evidence given by Ms Dunn’s children, the </w:t>
      </w:r>
      <w:r>
        <w:rPr>
          <w:szCs w:val="24"/>
        </w:rPr>
        <w:t xml:space="preserve">Administrative Appeals </w:t>
      </w:r>
      <w:r w:rsidRPr="00316EC0">
        <w:rPr>
          <w:szCs w:val="24"/>
        </w:rPr>
        <w:t xml:space="preserve">Tribunal observed that these children </w:t>
      </w:r>
      <w:r>
        <w:rPr>
          <w:szCs w:val="24"/>
        </w:rPr>
        <w:t>‘appear to have formed a very strong bond with the applicant</w:t>
      </w:r>
      <w:r w:rsidR="00CE3A76">
        <w:rPr>
          <w:szCs w:val="24"/>
        </w:rPr>
        <w:t>,</w:t>
      </w:r>
      <w:r w:rsidR="000B5C15">
        <w:rPr>
          <w:szCs w:val="24"/>
        </w:rPr>
        <w:t xml:space="preserve"> </w:t>
      </w:r>
      <w:r>
        <w:rPr>
          <w:szCs w:val="24"/>
        </w:rPr>
        <w:t>although they have only met him on a small number of occasions and conversed with him on the phone and through the post’.</w:t>
      </w:r>
      <w:r w:rsidR="0002406A">
        <w:rPr>
          <w:rStyle w:val="EndnoteReference"/>
          <w:szCs w:val="24"/>
        </w:rPr>
        <w:endnoteReference w:id="20"/>
      </w:r>
      <w:r>
        <w:rPr>
          <w:szCs w:val="24"/>
        </w:rPr>
        <w:t xml:space="preserve"> </w:t>
      </w:r>
    </w:p>
    <w:p w14:paraId="5A7CA19D" w14:textId="77777777" w:rsidR="00DC1CE6" w:rsidRPr="00E75FF5" w:rsidRDefault="00DC1CE6" w:rsidP="00DC1CE6">
      <w:pPr>
        <w:numPr>
          <w:ilvl w:val="0"/>
          <w:numId w:val="7"/>
        </w:numPr>
        <w:spacing w:before="240"/>
        <w:rPr>
          <w:szCs w:val="24"/>
        </w:rPr>
      </w:pPr>
      <w:r w:rsidRPr="00E75FF5">
        <w:rPr>
          <w:szCs w:val="24"/>
        </w:rPr>
        <w:t>Further, the Tribunal stated that ‘[it]</w:t>
      </w:r>
      <w:r w:rsidR="00C90439">
        <w:rPr>
          <w:szCs w:val="24"/>
        </w:rPr>
        <w:t xml:space="preserve"> was provided with a picture of a strong family structure that would support the applicant if he was released from prison into the Australian </w:t>
      </w:r>
      <w:r w:rsidR="002529F0">
        <w:rPr>
          <w:szCs w:val="24"/>
        </w:rPr>
        <w:t>c</w:t>
      </w:r>
      <w:r w:rsidR="00C90439">
        <w:rPr>
          <w:szCs w:val="24"/>
        </w:rPr>
        <w:t>ommunity. It</w:t>
      </w:r>
      <w:r w:rsidRPr="00E75FF5">
        <w:rPr>
          <w:szCs w:val="24"/>
        </w:rPr>
        <w:t xml:space="preserve"> was obvious the various family members have a genuine regard for the applicant, and he appeared to have a genuine affection for his blood relatives and for those whom he hoped would become his new family’.</w:t>
      </w:r>
      <w:r w:rsidR="0002406A">
        <w:rPr>
          <w:rStyle w:val="EndnoteReference"/>
          <w:szCs w:val="24"/>
        </w:rPr>
        <w:endnoteReference w:id="21"/>
      </w:r>
      <w:r w:rsidR="00314488" w:rsidRPr="00E75FF5">
        <w:rPr>
          <w:szCs w:val="24"/>
        </w:rPr>
        <w:t xml:space="preserve"> </w:t>
      </w:r>
    </w:p>
    <w:p w14:paraId="7A50FA1E" w14:textId="77777777" w:rsidR="00D3364E" w:rsidRDefault="003903B6" w:rsidP="006F2C69">
      <w:pPr>
        <w:numPr>
          <w:ilvl w:val="0"/>
          <w:numId w:val="7"/>
        </w:numPr>
        <w:spacing w:before="240"/>
        <w:rPr>
          <w:szCs w:val="24"/>
        </w:rPr>
      </w:pPr>
      <w:r>
        <w:rPr>
          <w:szCs w:val="24"/>
        </w:rPr>
        <w:t>However, when considering the best interests of the children,</w:t>
      </w:r>
      <w:r w:rsidR="00E75070" w:rsidRPr="00D3364E">
        <w:rPr>
          <w:szCs w:val="24"/>
        </w:rPr>
        <w:t xml:space="preserve"> </w:t>
      </w:r>
      <w:r w:rsidR="00E107E9">
        <w:rPr>
          <w:szCs w:val="24"/>
        </w:rPr>
        <w:t>the Tribunal ultimately found that</w:t>
      </w:r>
      <w:r>
        <w:rPr>
          <w:szCs w:val="24"/>
        </w:rPr>
        <w:t xml:space="preserve"> </w:t>
      </w:r>
      <w:r w:rsidR="00E107E9">
        <w:rPr>
          <w:szCs w:val="24"/>
        </w:rPr>
        <w:t>the children’s relationship with Mr Tapara had not reached the point where Australia’s international obligations ma</w:t>
      </w:r>
      <w:r>
        <w:rPr>
          <w:szCs w:val="24"/>
        </w:rPr>
        <w:t>d</w:t>
      </w:r>
      <w:r w:rsidR="00E107E9">
        <w:rPr>
          <w:szCs w:val="24"/>
        </w:rPr>
        <w:t>e a difference</w:t>
      </w:r>
      <w:r w:rsidR="00F2349C">
        <w:rPr>
          <w:szCs w:val="24"/>
        </w:rPr>
        <w:t xml:space="preserve"> to the decision to cancel Mr Tapara’s visa</w:t>
      </w:r>
      <w:r w:rsidR="00E107E9">
        <w:rPr>
          <w:szCs w:val="24"/>
        </w:rPr>
        <w:t>.</w:t>
      </w:r>
    </w:p>
    <w:p w14:paraId="0F985B4B" w14:textId="77777777" w:rsidR="00DC1CE6" w:rsidRDefault="00D3364E" w:rsidP="006F2C69">
      <w:pPr>
        <w:numPr>
          <w:ilvl w:val="0"/>
          <w:numId w:val="7"/>
        </w:numPr>
        <w:spacing w:before="240"/>
        <w:rPr>
          <w:szCs w:val="24"/>
        </w:rPr>
      </w:pPr>
      <w:r w:rsidRPr="00915171">
        <w:rPr>
          <w:szCs w:val="24"/>
        </w:rPr>
        <w:t>W</w:t>
      </w:r>
      <w:r w:rsidR="00DC1CE6" w:rsidRPr="00915171">
        <w:rPr>
          <w:szCs w:val="24"/>
        </w:rPr>
        <w:t xml:space="preserve">hile Mr Tapara did not live with Ms Dunn, </w:t>
      </w:r>
      <w:r w:rsidR="00CC7D03" w:rsidRPr="00915171">
        <w:rPr>
          <w:szCs w:val="24"/>
        </w:rPr>
        <w:t xml:space="preserve">I consider </w:t>
      </w:r>
      <w:r w:rsidRPr="00915171">
        <w:rPr>
          <w:szCs w:val="24"/>
        </w:rPr>
        <w:t xml:space="preserve">that there was </w:t>
      </w:r>
      <w:r w:rsidR="000B19D7" w:rsidRPr="00915171">
        <w:rPr>
          <w:szCs w:val="24"/>
        </w:rPr>
        <w:t xml:space="preserve">evidence of a strong bond and relationship between the couple that resulted in </w:t>
      </w:r>
      <w:r w:rsidR="00CF6C50" w:rsidRPr="00915171">
        <w:rPr>
          <w:szCs w:val="24"/>
        </w:rPr>
        <w:t>their</w:t>
      </w:r>
      <w:r w:rsidR="000B19D7" w:rsidRPr="00915171">
        <w:rPr>
          <w:szCs w:val="24"/>
        </w:rPr>
        <w:t xml:space="preserve"> marriage. </w:t>
      </w:r>
      <w:r w:rsidR="00DE27C4" w:rsidRPr="00915171">
        <w:rPr>
          <w:szCs w:val="24"/>
        </w:rPr>
        <w:t>Marriage is a recognised family bond in Australia.</w:t>
      </w:r>
      <w:r w:rsidR="00166F38" w:rsidRPr="00915171">
        <w:rPr>
          <w:szCs w:val="24"/>
        </w:rPr>
        <w:t xml:space="preserve"> I </w:t>
      </w:r>
      <w:r w:rsidR="003E2F2F" w:rsidRPr="00915171">
        <w:rPr>
          <w:szCs w:val="24"/>
        </w:rPr>
        <w:t>there</w:t>
      </w:r>
      <w:r w:rsidR="00166F38" w:rsidRPr="00915171">
        <w:rPr>
          <w:szCs w:val="24"/>
        </w:rPr>
        <w:t xml:space="preserve">fore consider </w:t>
      </w:r>
      <w:r w:rsidR="003E2F2F" w:rsidRPr="00915171">
        <w:rPr>
          <w:szCs w:val="24"/>
        </w:rPr>
        <w:t xml:space="preserve">the relationship </w:t>
      </w:r>
      <w:r w:rsidR="00166F38" w:rsidRPr="00915171">
        <w:rPr>
          <w:szCs w:val="24"/>
        </w:rPr>
        <w:t xml:space="preserve">between Mr Tapara and Ms Dunn </w:t>
      </w:r>
      <w:r w:rsidR="003E2F2F" w:rsidRPr="00915171">
        <w:rPr>
          <w:szCs w:val="24"/>
        </w:rPr>
        <w:t>was sufficient</w:t>
      </w:r>
      <w:r w:rsidR="00971EE6" w:rsidRPr="00915171">
        <w:rPr>
          <w:szCs w:val="24"/>
        </w:rPr>
        <w:t xml:space="preserve"> </w:t>
      </w:r>
      <w:r w:rsidR="003E2F2F" w:rsidRPr="00915171">
        <w:rPr>
          <w:szCs w:val="24"/>
        </w:rPr>
        <w:t>to constitute a ‘family’ for the purposes of this inquiry</w:t>
      </w:r>
      <w:r w:rsidR="00DC1CE6" w:rsidRPr="00915171">
        <w:rPr>
          <w:szCs w:val="24"/>
        </w:rPr>
        <w:t>. I also consider Mr Tapara’s family to include his brother</w:t>
      </w:r>
      <w:r w:rsidR="00CC2286" w:rsidRPr="00915171">
        <w:rPr>
          <w:szCs w:val="24"/>
        </w:rPr>
        <w:t>.</w:t>
      </w:r>
    </w:p>
    <w:p w14:paraId="6715EE3E" w14:textId="4F61B0EA" w:rsidR="00775089" w:rsidRDefault="00775089">
      <w:pPr>
        <w:keepLines w:val="0"/>
      </w:pPr>
      <w:r>
        <w:br w:type="page"/>
      </w:r>
    </w:p>
    <w:p w14:paraId="62F3129A" w14:textId="77777777" w:rsidR="008E5DF6" w:rsidRDefault="008E5DF6" w:rsidP="00C376CF">
      <w:pPr>
        <w:numPr>
          <w:ilvl w:val="0"/>
          <w:numId w:val="7"/>
        </w:numPr>
        <w:spacing w:before="240"/>
        <w:rPr>
          <w:szCs w:val="24"/>
        </w:rPr>
      </w:pPr>
      <w:r>
        <w:rPr>
          <w:szCs w:val="24"/>
        </w:rPr>
        <w:lastRenderedPageBreak/>
        <w:t xml:space="preserve">In light </w:t>
      </w:r>
      <w:r w:rsidR="00340CA8">
        <w:rPr>
          <w:szCs w:val="24"/>
        </w:rPr>
        <w:t>o</w:t>
      </w:r>
      <w:r>
        <w:rPr>
          <w:szCs w:val="24"/>
        </w:rPr>
        <w:t>f the fact that:</w:t>
      </w:r>
    </w:p>
    <w:p w14:paraId="221D8D4A" w14:textId="77777777" w:rsidR="008E5DF6" w:rsidRDefault="008E5DF6" w:rsidP="00B23F05">
      <w:pPr>
        <w:numPr>
          <w:ilvl w:val="0"/>
          <w:numId w:val="31"/>
        </w:numPr>
        <w:tabs>
          <w:tab w:val="clear" w:pos="720"/>
          <w:tab w:val="num" w:pos="1134"/>
        </w:tabs>
        <w:spacing w:before="240"/>
        <w:ind w:left="1134" w:hanging="425"/>
        <w:rPr>
          <w:szCs w:val="24"/>
        </w:rPr>
      </w:pPr>
      <w:r>
        <w:rPr>
          <w:szCs w:val="24"/>
        </w:rPr>
        <w:t xml:space="preserve">Mr </w:t>
      </w:r>
      <w:r w:rsidR="00803A5D">
        <w:rPr>
          <w:szCs w:val="24"/>
        </w:rPr>
        <w:t>Tapara</w:t>
      </w:r>
      <w:r>
        <w:rPr>
          <w:szCs w:val="24"/>
        </w:rPr>
        <w:t xml:space="preserve"> and his family were </w:t>
      </w:r>
      <w:r w:rsidR="008579B1">
        <w:rPr>
          <w:szCs w:val="24"/>
        </w:rPr>
        <w:t>separated</w:t>
      </w:r>
      <w:r>
        <w:rPr>
          <w:szCs w:val="24"/>
        </w:rPr>
        <w:t xml:space="preserve"> for </w:t>
      </w:r>
      <w:r w:rsidR="000C4CE6">
        <w:rPr>
          <w:szCs w:val="24"/>
        </w:rPr>
        <w:t xml:space="preserve">seventeen months </w:t>
      </w:r>
      <w:r>
        <w:rPr>
          <w:szCs w:val="24"/>
        </w:rPr>
        <w:t xml:space="preserve">as a result of his detention in </w:t>
      </w:r>
      <w:r w:rsidR="000C4CE6">
        <w:rPr>
          <w:szCs w:val="24"/>
        </w:rPr>
        <w:t>M</w:t>
      </w:r>
      <w:r>
        <w:rPr>
          <w:szCs w:val="24"/>
        </w:rPr>
        <w:t>IDC;</w:t>
      </w:r>
    </w:p>
    <w:p w14:paraId="62C22693" w14:textId="77777777" w:rsidR="008E5DF6" w:rsidRDefault="000C4CE6" w:rsidP="00B23F05">
      <w:pPr>
        <w:numPr>
          <w:ilvl w:val="0"/>
          <w:numId w:val="31"/>
        </w:numPr>
        <w:tabs>
          <w:tab w:val="clear" w:pos="720"/>
          <w:tab w:val="num" w:pos="1134"/>
        </w:tabs>
        <w:spacing w:before="240"/>
        <w:ind w:left="1134" w:hanging="425"/>
        <w:rPr>
          <w:szCs w:val="24"/>
        </w:rPr>
      </w:pPr>
      <w:r>
        <w:rPr>
          <w:szCs w:val="24"/>
        </w:rPr>
        <w:t>M</w:t>
      </w:r>
      <w:r w:rsidR="008E5DF6">
        <w:rPr>
          <w:szCs w:val="24"/>
        </w:rPr>
        <w:t xml:space="preserve">IDC was a great distance from his family in </w:t>
      </w:r>
      <w:r>
        <w:rPr>
          <w:szCs w:val="24"/>
        </w:rPr>
        <w:t>Brisbane</w:t>
      </w:r>
      <w:r w:rsidR="008E5DF6">
        <w:rPr>
          <w:szCs w:val="24"/>
        </w:rPr>
        <w:t xml:space="preserve">; </w:t>
      </w:r>
      <w:r w:rsidR="005030E3">
        <w:rPr>
          <w:szCs w:val="24"/>
        </w:rPr>
        <w:t>and</w:t>
      </w:r>
    </w:p>
    <w:p w14:paraId="4D4EB54F" w14:textId="77777777" w:rsidR="008E5DF6" w:rsidRDefault="008E5DF6" w:rsidP="00B23F05">
      <w:pPr>
        <w:numPr>
          <w:ilvl w:val="0"/>
          <w:numId w:val="31"/>
        </w:numPr>
        <w:tabs>
          <w:tab w:val="clear" w:pos="720"/>
          <w:tab w:val="num" w:pos="1134"/>
        </w:tabs>
        <w:spacing w:before="240"/>
        <w:ind w:left="1134" w:hanging="425"/>
        <w:rPr>
          <w:szCs w:val="24"/>
        </w:rPr>
      </w:pPr>
      <w:r>
        <w:rPr>
          <w:szCs w:val="24"/>
        </w:rPr>
        <w:t xml:space="preserve">during his earlier incarceration in Queensland, Mr </w:t>
      </w:r>
      <w:r w:rsidR="009F355D">
        <w:rPr>
          <w:szCs w:val="24"/>
        </w:rPr>
        <w:t>Tapara</w:t>
      </w:r>
      <w:r>
        <w:rPr>
          <w:szCs w:val="24"/>
        </w:rPr>
        <w:t xml:space="preserve"> was able to maintain a </w:t>
      </w:r>
      <w:r w:rsidR="005030E3">
        <w:rPr>
          <w:szCs w:val="24"/>
        </w:rPr>
        <w:t xml:space="preserve">close </w:t>
      </w:r>
      <w:r>
        <w:rPr>
          <w:szCs w:val="24"/>
        </w:rPr>
        <w:t>relationship with his family through visits;</w:t>
      </w:r>
      <w:r w:rsidR="00EF27B0">
        <w:rPr>
          <w:szCs w:val="24"/>
        </w:rPr>
        <w:t xml:space="preserve"> </w:t>
      </w:r>
    </w:p>
    <w:p w14:paraId="5F8E84B8" w14:textId="77777777" w:rsidR="008E5DF6" w:rsidRDefault="00E62AB8" w:rsidP="00B23F05">
      <w:pPr>
        <w:spacing w:before="240"/>
        <w:ind w:left="720"/>
        <w:rPr>
          <w:szCs w:val="24"/>
        </w:rPr>
      </w:pPr>
      <w:r>
        <w:rPr>
          <w:szCs w:val="24"/>
        </w:rPr>
        <w:t xml:space="preserve">I find </w:t>
      </w:r>
      <w:r w:rsidR="008E5DF6">
        <w:rPr>
          <w:szCs w:val="24"/>
        </w:rPr>
        <w:t xml:space="preserve">that Mr </w:t>
      </w:r>
      <w:r w:rsidR="00803A5D">
        <w:rPr>
          <w:szCs w:val="24"/>
        </w:rPr>
        <w:t xml:space="preserve">Tapara’s </w:t>
      </w:r>
      <w:r w:rsidR="008E5DF6">
        <w:rPr>
          <w:szCs w:val="24"/>
        </w:rPr>
        <w:t xml:space="preserve">lengthy detention in </w:t>
      </w:r>
      <w:r w:rsidR="00803A5D">
        <w:rPr>
          <w:szCs w:val="24"/>
        </w:rPr>
        <w:t>M</w:t>
      </w:r>
      <w:r w:rsidR="008E5DF6">
        <w:rPr>
          <w:szCs w:val="24"/>
        </w:rPr>
        <w:t>IDC interfered with his ability to maintain a relationship with his family.</w:t>
      </w:r>
    </w:p>
    <w:p w14:paraId="79866BB2" w14:textId="77777777" w:rsidR="008E5DF6" w:rsidRDefault="008E5DF6" w:rsidP="00C376CF">
      <w:pPr>
        <w:numPr>
          <w:ilvl w:val="0"/>
          <w:numId w:val="7"/>
        </w:numPr>
        <w:spacing w:before="240"/>
        <w:rPr>
          <w:szCs w:val="24"/>
        </w:rPr>
      </w:pPr>
      <w:r>
        <w:rPr>
          <w:szCs w:val="24"/>
        </w:rPr>
        <w:t xml:space="preserve">In considering whether any interference with Mr </w:t>
      </w:r>
      <w:r w:rsidR="00803A5D">
        <w:rPr>
          <w:szCs w:val="24"/>
        </w:rPr>
        <w:t xml:space="preserve">Tapara’s </w:t>
      </w:r>
      <w:r>
        <w:rPr>
          <w:szCs w:val="24"/>
        </w:rPr>
        <w:t>famil</w:t>
      </w:r>
      <w:r w:rsidR="00340CA8">
        <w:rPr>
          <w:szCs w:val="24"/>
        </w:rPr>
        <w:t>y was arbitrary, I must consider w</w:t>
      </w:r>
      <w:r w:rsidR="00803A5D">
        <w:rPr>
          <w:szCs w:val="24"/>
        </w:rPr>
        <w:t xml:space="preserve">hether </w:t>
      </w:r>
      <w:r w:rsidR="00340CA8">
        <w:rPr>
          <w:szCs w:val="24"/>
        </w:rPr>
        <w:t xml:space="preserve">it was </w:t>
      </w:r>
      <w:r w:rsidR="00FA48EA">
        <w:rPr>
          <w:szCs w:val="24"/>
        </w:rPr>
        <w:t>reasonable and proportionate</w:t>
      </w:r>
      <w:r w:rsidR="00340CA8">
        <w:rPr>
          <w:szCs w:val="24"/>
        </w:rPr>
        <w:t xml:space="preserve"> to a legitimate aim of the Commonwealth, including ensuring that non-citizens </w:t>
      </w:r>
      <w:r w:rsidR="008579B1">
        <w:rPr>
          <w:szCs w:val="24"/>
        </w:rPr>
        <w:t>who</w:t>
      </w:r>
      <w:r w:rsidR="00340CA8">
        <w:rPr>
          <w:szCs w:val="24"/>
        </w:rPr>
        <w:t xml:space="preserve"> pose an unacceptable risk to the community are not released into the Australian community, or preventing a flight risk.</w:t>
      </w:r>
    </w:p>
    <w:p w14:paraId="34DE783C" w14:textId="77777777" w:rsidR="003E6648" w:rsidRPr="00915171" w:rsidRDefault="00340CA8" w:rsidP="00FA48EA">
      <w:pPr>
        <w:numPr>
          <w:ilvl w:val="0"/>
          <w:numId w:val="7"/>
        </w:numPr>
        <w:spacing w:before="240"/>
        <w:rPr>
          <w:szCs w:val="24"/>
        </w:rPr>
      </w:pPr>
      <w:r>
        <w:rPr>
          <w:szCs w:val="24"/>
        </w:rPr>
        <w:t xml:space="preserve">In </w:t>
      </w:r>
      <w:r w:rsidRPr="00915171">
        <w:rPr>
          <w:szCs w:val="24"/>
        </w:rPr>
        <w:t xml:space="preserve">light of my </w:t>
      </w:r>
      <w:r w:rsidR="00C4219C">
        <w:rPr>
          <w:szCs w:val="24"/>
        </w:rPr>
        <w:t>finding</w:t>
      </w:r>
      <w:r w:rsidRPr="00915171">
        <w:rPr>
          <w:szCs w:val="24"/>
        </w:rPr>
        <w:t xml:space="preserve"> above </w:t>
      </w:r>
      <w:r w:rsidR="00F13EE1" w:rsidRPr="00915171">
        <w:rPr>
          <w:szCs w:val="24"/>
        </w:rPr>
        <w:t>that</w:t>
      </w:r>
      <w:r w:rsidRPr="00915171">
        <w:rPr>
          <w:szCs w:val="24"/>
        </w:rPr>
        <w:t xml:space="preserve"> Mr </w:t>
      </w:r>
      <w:r w:rsidR="00E75FF5" w:rsidRPr="00915171">
        <w:rPr>
          <w:szCs w:val="24"/>
        </w:rPr>
        <w:t>Tapara</w:t>
      </w:r>
      <w:r w:rsidRPr="00915171">
        <w:rPr>
          <w:szCs w:val="24"/>
        </w:rPr>
        <w:t xml:space="preserve">’s detention </w:t>
      </w:r>
      <w:r w:rsidR="00F13EE1" w:rsidRPr="00915171">
        <w:rPr>
          <w:szCs w:val="24"/>
        </w:rPr>
        <w:t xml:space="preserve">at MIDC </w:t>
      </w:r>
      <w:r w:rsidRPr="00915171">
        <w:rPr>
          <w:szCs w:val="24"/>
        </w:rPr>
        <w:t>was arbitrary</w:t>
      </w:r>
      <w:r w:rsidR="001A05DE" w:rsidRPr="00915171">
        <w:rPr>
          <w:szCs w:val="24"/>
        </w:rPr>
        <w:t xml:space="preserve"> and no</w:t>
      </w:r>
      <w:r w:rsidR="000B515B" w:rsidRPr="00915171">
        <w:rPr>
          <w:szCs w:val="24"/>
        </w:rPr>
        <w:t>t</w:t>
      </w:r>
      <w:r w:rsidR="001A05DE" w:rsidRPr="00915171">
        <w:rPr>
          <w:szCs w:val="24"/>
        </w:rPr>
        <w:t xml:space="preserve"> necessary and proportionate to any legitimate aim of the </w:t>
      </w:r>
      <w:r w:rsidR="008579B1" w:rsidRPr="00915171">
        <w:rPr>
          <w:szCs w:val="24"/>
        </w:rPr>
        <w:t>Commonwealth</w:t>
      </w:r>
      <w:r w:rsidR="001A05DE" w:rsidRPr="00915171">
        <w:rPr>
          <w:szCs w:val="24"/>
        </w:rPr>
        <w:t xml:space="preserve">, </w:t>
      </w:r>
      <w:r w:rsidR="00B74975">
        <w:rPr>
          <w:szCs w:val="24"/>
        </w:rPr>
        <w:t xml:space="preserve">I find </w:t>
      </w:r>
      <w:r w:rsidR="00766BDB" w:rsidRPr="00915171">
        <w:rPr>
          <w:szCs w:val="24"/>
        </w:rPr>
        <w:t>that</w:t>
      </w:r>
      <w:r w:rsidR="002B1E99" w:rsidRPr="00915171">
        <w:rPr>
          <w:szCs w:val="24"/>
        </w:rPr>
        <w:t xml:space="preserve"> the failure of the </w:t>
      </w:r>
      <w:r w:rsidR="00BD051F" w:rsidRPr="00915171">
        <w:rPr>
          <w:szCs w:val="24"/>
        </w:rPr>
        <w:t xml:space="preserve">Department to refer Mr Tapara’s case to the </w:t>
      </w:r>
      <w:r w:rsidR="002B1E99" w:rsidRPr="00915171">
        <w:rPr>
          <w:szCs w:val="24"/>
        </w:rPr>
        <w:t>Minister</w:t>
      </w:r>
      <w:r w:rsidR="00BD051F" w:rsidRPr="00915171">
        <w:rPr>
          <w:szCs w:val="24"/>
        </w:rPr>
        <w:t xml:space="preserve"> for consideration of the</w:t>
      </w:r>
      <w:r w:rsidR="00BD051F" w:rsidRPr="00915171">
        <w:rPr>
          <w:rStyle w:val="CommentReference"/>
        </w:rPr>
        <w:t xml:space="preserve"> </w:t>
      </w:r>
      <w:r w:rsidR="00BD051F" w:rsidRPr="00915171">
        <w:rPr>
          <w:szCs w:val="24"/>
        </w:rPr>
        <w:t>exercise</w:t>
      </w:r>
      <w:r w:rsidR="002B1E99" w:rsidRPr="00915171">
        <w:rPr>
          <w:szCs w:val="24"/>
        </w:rPr>
        <w:t xml:space="preserve"> </w:t>
      </w:r>
      <w:r w:rsidR="00BD051F" w:rsidRPr="00915171">
        <w:rPr>
          <w:szCs w:val="24"/>
        </w:rPr>
        <w:t xml:space="preserve">of </w:t>
      </w:r>
      <w:r w:rsidR="002B1E99" w:rsidRPr="00915171">
        <w:rPr>
          <w:szCs w:val="24"/>
        </w:rPr>
        <w:t>the powers identified above</w:t>
      </w:r>
      <w:r w:rsidR="003E6648" w:rsidRPr="00915171">
        <w:rPr>
          <w:szCs w:val="24"/>
        </w:rPr>
        <w:t>:</w:t>
      </w:r>
    </w:p>
    <w:p w14:paraId="55B77747" w14:textId="77777777" w:rsidR="003E6648" w:rsidRPr="003E6648" w:rsidRDefault="003E6648" w:rsidP="00B25D0D">
      <w:pPr>
        <w:spacing w:before="240"/>
        <w:ind w:left="720"/>
        <w:rPr>
          <w:szCs w:val="24"/>
        </w:rPr>
      </w:pPr>
      <w:r>
        <w:rPr>
          <w:szCs w:val="24"/>
        </w:rPr>
        <w:t>(a)</w:t>
      </w:r>
      <w:r>
        <w:rPr>
          <w:szCs w:val="24"/>
        </w:rPr>
        <w:tab/>
        <w:t xml:space="preserve">arbitrarily interfered with Mr </w:t>
      </w:r>
      <w:r w:rsidR="001E31FB">
        <w:rPr>
          <w:szCs w:val="24"/>
        </w:rPr>
        <w:t>Tapara</w:t>
      </w:r>
      <w:r>
        <w:rPr>
          <w:szCs w:val="24"/>
        </w:rPr>
        <w:t>’s family; and (accordingly)</w:t>
      </w:r>
    </w:p>
    <w:p w14:paraId="7A67C4B1" w14:textId="77777777" w:rsidR="002B1E99" w:rsidRDefault="003E6648" w:rsidP="00B25D0D">
      <w:pPr>
        <w:spacing w:before="240"/>
        <w:ind w:left="1440" w:hanging="720"/>
        <w:rPr>
          <w:szCs w:val="24"/>
        </w:rPr>
      </w:pPr>
      <w:r>
        <w:rPr>
          <w:szCs w:val="24"/>
        </w:rPr>
        <w:t>(b)</w:t>
      </w:r>
      <w:r>
        <w:rPr>
          <w:szCs w:val="24"/>
        </w:rPr>
        <w:tab/>
      </w:r>
      <w:r w:rsidR="002B1E99">
        <w:rPr>
          <w:szCs w:val="24"/>
        </w:rPr>
        <w:t xml:space="preserve">was an act or practice that was </w:t>
      </w:r>
      <w:r>
        <w:rPr>
          <w:szCs w:val="24"/>
        </w:rPr>
        <w:t>inconsistent with or contrary to the human rights recognised in articles 17(1) and 23(1) of the ICCPR.</w:t>
      </w:r>
    </w:p>
    <w:p w14:paraId="79F1BBB3" w14:textId="77777777" w:rsidR="00C87449" w:rsidRDefault="00C87449" w:rsidP="00C87449">
      <w:pPr>
        <w:pStyle w:val="Heading2"/>
        <w:ind w:left="709" w:hanging="709"/>
        <w:rPr>
          <w:b w:val="0"/>
          <w:i w:val="0"/>
        </w:rPr>
      </w:pPr>
      <w:bookmarkStart w:id="16" w:name="_Toc282871329"/>
      <w:r>
        <w:t>F</w:t>
      </w:r>
      <w:r w:rsidR="00D373E1">
        <w:t>ailure to attend funeral o</w:t>
      </w:r>
      <w:r w:rsidR="00A8182D">
        <w:t>n</w:t>
      </w:r>
      <w:r>
        <w:t xml:space="preserve"> 22 February 2012</w:t>
      </w:r>
      <w:bookmarkEnd w:id="16"/>
    </w:p>
    <w:p w14:paraId="49BAB68A" w14:textId="77777777" w:rsidR="00C87449" w:rsidRDefault="00C87449" w:rsidP="00C87449">
      <w:pPr>
        <w:numPr>
          <w:ilvl w:val="0"/>
          <w:numId w:val="7"/>
        </w:numPr>
        <w:spacing w:before="240"/>
        <w:rPr>
          <w:szCs w:val="24"/>
        </w:rPr>
      </w:pPr>
      <w:r>
        <w:rPr>
          <w:szCs w:val="24"/>
        </w:rPr>
        <w:t>Mr Tapara also c</w:t>
      </w:r>
      <w:r w:rsidR="005030E3">
        <w:rPr>
          <w:szCs w:val="24"/>
        </w:rPr>
        <w:t>omplain</w:t>
      </w:r>
      <w:r w:rsidR="001C0F7F">
        <w:rPr>
          <w:szCs w:val="24"/>
        </w:rPr>
        <w:t>s</w:t>
      </w:r>
      <w:r>
        <w:rPr>
          <w:szCs w:val="24"/>
        </w:rPr>
        <w:t xml:space="preserve"> that </w:t>
      </w:r>
      <w:r w:rsidR="004F30D6">
        <w:rPr>
          <w:szCs w:val="24"/>
        </w:rPr>
        <w:t>he</w:t>
      </w:r>
      <w:r>
        <w:rPr>
          <w:szCs w:val="24"/>
        </w:rPr>
        <w:t xml:space="preserve"> was not able to attend the funeral of Ms Dunn’s eldest son on 22 February 2012.</w:t>
      </w:r>
    </w:p>
    <w:p w14:paraId="1AF9B75C" w14:textId="77777777" w:rsidR="00DC08FA" w:rsidRPr="00A20589" w:rsidRDefault="00DC08FA" w:rsidP="00DC08FA">
      <w:pPr>
        <w:numPr>
          <w:ilvl w:val="0"/>
          <w:numId w:val="7"/>
        </w:numPr>
        <w:spacing w:before="240" w:after="240"/>
        <w:rPr>
          <w:rFonts w:cs="Arial"/>
        </w:rPr>
      </w:pPr>
      <w:r w:rsidRPr="00A20589">
        <w:rPr>
          <w:rFonts w:cs="Arial"/>
        </w:rPr>
        <w:t>The Department confirms that Mr Tapara did not attend the funeral of Ms Dunn’s 25-year-old son on 22 February 2012. The funeral was in Maryborough, a three-hour drive from Brisbane.</w:t>
      </w:r>
    </w:p>
    <w:p w14:paraId="78FBF51F" w14:textId="77777777" w:rsidR="00A8182D" w:rsidRDefault="00C87449" w:rsidP="00C87449">
      <w:pPr>
        <w:numPr>
          <w:ilvl w:val="0"/>
          <w:numId w:val="7"/>
        </w:numPr>
        <w:spacing w:before="240"/>
        <w:rPr>
          <w:szCs w:val="24"/>
        </w:rPr>
      </w:pPr>
      <w:r>
        <w:rPr>
          <w:szCs w:val="24"/>
        </w:rPr>
        <w:t>The Department state</w:t>
      </w:r>
      <w:r w:rsidR="004F30D6">
        <w:rPr>
          <w:szCs w:val="24"/>
        </w:rPr>
        <w:t>s</w:t>
      </w:r>
      <w:r>
        <w:rPr>
          <w:szCs w:val="24"/>
        </w:rPr>
        <w:t xml:space="preserve"> that </w:t>
      </w:r>
      <w:r w:rsidR="00DC7AD1">
        <w:rPr>
          <w:szCs w:val="24"/>
        </w:rPr>
        <w:t xml:space="preserve">on 14 February 2012, </w:t>
      </w:r>
      <w:r>
        <w:rPr>
          <w:szCs w:val="24"/>
        </w:rPr>
        <w:t xml:space="preserve">Mr Tapara </w:t>
      </w:r>
      <w:r w:rsidR="00DC7AD1">
        <w:rPr>
          <w:szCs w:val="24"/>
        </w:rPr>
        <w:t xml:space="preserve">advised the Welfare Client Support Manager that his stepson had passed away and that the funeral would be held in Maryborough on 22 February 2012. </w:t>
      </w:r>
      <w:r w:rsidR="00627F87">
        <w:rPr>
          <w:szCs w:val="24"/>
        </w:rPr>
        <w:t xml:space="preserve">The Department states that </w:t>
      </w:r>
      <w:r w:rsidR="00073587">
        <w:rPr>
          <w:szCs w:val="24"/>
        </w:rPr>
        <w:t xml:space="preserve">at this time, </w:t>
      </w:r>
      <w:r w:rsidR="00627F87">
        <w:rPr>
          <w:szCs w:val="24"/>
        </w:rPr>
        <w:t xml:space="preserve">Mr Tapara indicated that </w:t>
      </w:r>
      <w:r>
        <w:rPr>
          <w:szCs w:val="24"/>
        </w:rPr>
        <w:t xml:space="preserve">he </w:t>
      </w:r>
      <w:r w:rsidR="00627F87">
        <w:rPr>
          <w:szCs w:val="24"/>
        </w:rPr>
        <w:t xml:space="preserve">would be content to </w:t>
      </w:r>
      <w:r>
        <w:rPr>
          <w:szCs w:val="24"/>
        </w:rPr>
        <w:t>visit his family</w:t>
      </w:r>
      <w:r w:rsidR="005C5868">
        <w:rPr>
          <w:szCs w:val="24"/>
        </w:rPr>
        <w:t xml:space="preserve"> in Brisbane</w:t>
      </w:r>
      <w:r w:rsidR="00DC08FA">
        <w:rPr>
          <w:szCs w:val="24"/>
        </w:rPr>
        <w:t xml:space="preserve"> and not attend the funeral in Maryborough</w:t>
      </w:r>
      <w:r w:rsidR="00627F87">
        <w:rPr>
          <w:szCs w:val="24"/>
        </w:rPr>
        <w:t>.</w:t>
      </w:r>
    </w:p>
    <w:p w14:paraId="74F7A902" w14:textId="77777777" w:rsidR="00627F87" w:rsidRDefault="00B529A6" w:rsidP="00C87449">
      <w:pPr>
        <w:numPr>
          <w:ilvl w:val="0"/>
          <w:numId w:val="7"/>
        </w:numPr>
        <w:spacing w:before="240"/>
        <w:rPr>
          <w:szCs w:val="24"/>
        </w:rPr>
      </w:pPr>
      <w:r>
        <w:rPr>
          <w:szCs w:val="24"/>
        </w:rPr>
        <w:t>T</w:t>
      </w:r>
      <w:r w:rsidR="00627F87">
        <w:rPr>
          <w:szCs w:val="24"/>
        </w:rPr>
        <w:t>he Department states that on 20 February 2012</w:t>
      </w:r>
      <w:r w:rsidR="001442AC">
        <w:rPr>
          <w:szCs w:val="24"/>
        </w:rPr>
        <w:t>,</w:t>
      </w:r>
      <w:r w:rsidR="00627F87">
        <w:rPr>
          <w:szCs w:val="24"/>
        </w:rPr>
        <w:t xml:space="preserve"> Mr Tapara </w:t>
      </w:r>
      <w:r w:rsidR="000B515B">
        <w:rPr>
          <w:szCs w:val="24"/>
        </w:rPr>
        <w:t xml:space="preserve">asked </w:t>
      </w:r>
      <w:r w:rsidR="00C87449">
        <w:rPr>
          <w:szCs w:val="24"/>
        </w:rPr>
        <w:t>to attend the funeral</w:t>
      </w:r>
      <w:r w:rsidR="00627F87">
        <w:rPr>
          <w:szCs w:val="24"/>
        </w:rPr>
        <w:t xml:space="preserve"> as well. </w:t>
      </w:r>
      <w:r w:rsidR="00C87449">
        <w:rPr>
          <w:szCs w:val="24"/>
        </w:rPr>
        <w:t xml:space="preserve">At the time, the Department concluded that ‘with such short notice, it would be logistically difficult and a significant security risk to facilitate Mr Tapara’s escort to the funeral’. </w:t>
      </w:r>
      <w:r>
        <w:rPr>
          <w:szCs w:val="24"/>
        </w:rPr>
        <w:t>Mr Tapara denies that he had earlier said that he did not wish to attend the funeral.</w:t>
      </w:r>
    </w:p>
    <w:p w14:paraId="5C1BB094" w14:textId="77777777" w:rsidR="00C87449" w:rsidRDefault="00C87449" w:rsidP="00C87449">
      <w:pPr>
        <w:numPr>
          <w:ilvl w:val="0"/>
          <w:numId w:val="7"/>
        </w:numPr>
        <w:spacing w:before="240"/>
        <w:rPr>
          <w:szCs w:val="24"/>
        </w:rPr>
      </w:pPr>
      <w:r>
        <w:rPr>
          <w:szCs w:val="24"/>
        </w:rPr>
        <w:lastRenderedPageBreak/>
        <w:t xml:space="preserve">The Department </w:t>
      </w:r>
      <w:r w:rsidR="00B31BD6">
        <w:rPr>
          <w:szCs w:val="24"/>
        </w:rPr>
        <w:t>states</w:t>
      </w:r>
      <w:r>
        <w:rPr>
          <w:szCs w:val="24"/>
        </w:rPr>
        <w:t xml:space="preserve"> that on 25 February 2012, Mr Tapar</w:t>
      </w:r>
      <w:r w:rsidR="004E7D53">
        <w:rPr>
          <w:szCs w:val="24"/>
        </w:rPr>
        <w:t>a</w:t>
      </w:r>
      <w:r>
        <w:rPr>
          <w:szCs w:val="24"/>
        </w:rPr>
        <w:t xml:space="preserve"> was taken to the BITA so that he could see and support his family. Mr Tapar</w:t>
      </w:r>
      <w:r w:rsidR="004E7D53">
        <w:rPr>
          <w:szCs w:val="24"/>
        </w:rPr>
        <w:t>a</w:t>
      </w:r>
      <w:r>
        <w:rPr>
          <w:szCs w:val="24"/>
        </w:rPr>
        <w:t xml:space="preserve"> stayed overnight at the BITA and returned to the MIDC the following day after spending time with his family again in the morning.</w:t>
      </w:r>
    </w:p>
    <w:p w14:paraId="2D520B89" w14:textId="77777777" w:rsidR="00C87449" w:rsidRPr="00E87AE8" w:rsidRDefault="00D81BD3" w:rsidP="00C87449">
      <w:pPr>
        <w:numPr>
          <w:ilvl w:val="0"/>
          <w:numId w:val="7"/>
        </w:numPr>
        <w:spacing w:before="240"/>
        <w:rPr>
          <w:szCs w:val="24"/>
        </w:rPr>
      </w:pPr>
      <w:r>
        <w:rPr>
          <w:szCs w:val="24"/>
        </w:rPr>
        <w:t>It is apparent that the Department facilitated Mr Tapar</w:t>
      </w:r>
      <w:r w:rsidR="004E7D53">
        <w:rPr>
          <w:szCs w:val="24"/>
        </w:rPr>
        <w:t>a</w:t>
      </w:r>
      <w:r>
        <w:rPr>
          <w:szCs w:val="24"/>
        </w:rPr>
        <w:t>’s visit to Brisbane to see his family but did not facilitate a visit to Maryborough to attend the funeral</w:t>
      </w:r>
      <w:r w:rsidR="00F76B3D">
        <w:rPr>
          <w:szCs w:val="24"/>
        </w:rPr>
        <w:t xml:space="preserve"> at the relevant time</w:t>
      </w:r>
      <w:r>
        <w:rPr>
          <w:szCs w:val="24"/>
        </w:rPr>
        <w:t>. Mr Tapar</w:t>
      </w:r>
      <w:r w:rsidR="004E7D53">
        <w:rPr>
          <w:szCs w:val="24"/>
        </w:rPr>
        <w:t>a</w:t>
      </w:r>
      <w:r>
        <w:rPr>
          <w:szCs w:val="24"/>
        </w:rPr>
        <w:t xml:space="preserve"> denies ever saying that he did not wish to attend the funeral. </w:t>
      </w:r>
      <w:r w:rsidR="000B515B">
        <w:rPr>
          <w:szCs w:val="24"/>
        </w:rPr>
        <w:t xml:space="preserve">Neither party has </w:t>
      </w:r>
      <w:r>
        <w:rPr>
          <w:szCs w:val="24"/>
        </w:rPr>
        <w:t xml:space="preserve">provided </w:t>
      </w:r>
      <w:r w:rsidR="000B515B">
        <w:rPr>
          <w:szCs w:val="24"/>
        </w:rPr>
        <w:t xml:space="preserve">me </w:t>
      </w:r>
      <w:r>
        <w:rPr>
          <w:szCs w:val="24"/>
        </w:rPr>
        <w:t xml:space="preserve">with any </w:t>
      </w:r>
      <w:r w:rsidR="000B515B">
        <w:rPr>
          <w:szCs w:val="24"/>
        </w:rPr>
        <w:t xml:space="preserve">contemporaneous </w:t>
      </w:r>
      <w:r>
        <w:rPr>
          <w:szCs w:val="24"/>
        </w:rPr>
        <w:t>evidence of the conversation</w:t>
      </w:r>
      <w:r w:rsidR="00B529A6">
        <w:rPr>
          <w:szCs w:val="24"/>
        </w:rPr>
        <w:t>s</w:t>
      </w:r>
      <w:r>
        <w:rPr>
          <w:szCs w:val="24"/>
        </w:rPr>
        <w:t xml:space="preserve"> that occurred </w:t>
      </w:r>
      <w:r w:rsidR="00A77930">
        <w:rPr>
          <w:szCs w:val="24"/>
        </w:rPr>
        <w:t>between the parties</w:t>
      </w:r>
      <w:r w:rsidR="00C303DE">
        <w:rPr>
          <w:szCs w:val="24"/>
        </w:rPr>
        <w:t>. Th</w:t>
      </w:r>
      <w:r>
        <w:rPr>
          <w:szCs w:val="24"/>
        </w:rPr>
        <w:t xml:space="preserve">ere is </w:t>
      </w:r>
      <w:r w:rsidR="00C303DE">
        <w:rPr>
          <w:szCs w:val="24"/>
        </w:rPr>
        <w:t xml:space="preserve">therefore </w:t>
      </w:r>
      <w:r w:rsidR="00C87449">
        <w:rPr>
          <w:szCs w:val="24"/>
        </w:rPr>
        <w:t xml:space="preserve">insufficient </w:t>
      </w:r>
      <w:r w:rsidR="00A77930">
        <w:rPr>
          <w:szCs w:val="24"/>
        </w:rPr>
        <w:t xml:space="preserve">information before me </w:t>
      </w:r>
      <w:r w:rsidR="00C87449">
        <w:rPr>
          <w:szCs w:val="24"/>
        </w:rPr>
        <w:t xml:space="preserve">to </w:t>
      </w:r>
      <w:r w:rsidR="00DC7AD1">
        <w:rPr>
          <w:szCs w:val="24"/>
        </w:rPr>
        <w:t xml:space="preserve">establish </w:t>
      </w:r>
      <w:r w:rsidR="00C87449">
        <w:rPr>
          <w:szCs w:val="24"/>
        </w:rPr>
        <w:t>a breach of articles 17 or 23</w:t>
      </w:r>
      <w:r w:rsidR="00636771">
        <w:rPr>
          <w:szCs w:val="24"/>
        </w:rPr>
        <w:t xml:space="preserve"> of the ICCPR</w:t>
      </w:r>
      <w:r w:rsidR="006F43AE">
        <w:rPr>
          <w:szCs w:val="24"/>
        </w:rPr>
        <w:t xml:space="preserve"> in relation to his failure to attend the funeral</w:t>
      </w:r>
      <w:r w:rsidR="00C87449">
        <w:rPr>
          <w:szCs w:val="24"/>
        </w:rPr>
        <w:t>.</w:t>
      </w:r>
    </w:p>
    <w:p w14:paraId="3F916495" w14:textId="77777777" w:rsidR="00D143F9" w:rsidRDefault="00BC16F1" w:rsidP="00D143F9">
      <w:pPr>
        <w:pStyle w:val="Heading1"/>
      </w:pPr>
      <w:bookmarkStart w:id="17" w:name="_Toc352947010"/>
      <w:bookmarkStart w:id="18" w:name="_Toc282871330"/>
      <w:r>
        <w:t>Recommendations</w:t>
      </w:r>
      <w:bookmarkEnd w:id="17"/>
      <w:bookmarkEnd w:id="18"/>
    </w:p>
    <w:p w14:paraId="47CC6B7D" w14:textId="77777777" w:rsidR="00262FE5" w:rsidRDefault="00262FE5" w:rsidP="00262FE5">
      <w:pPr>
        <w:numPr>
          <w:ilvl w:val="0"/>
          <w:numId w:val="7"/>
        </w:numPr>
        <w:spacing w:before="240"/>
        <w:rPr>
          <w:szCs w:val="24"/>
        </w:rPr>
      </w:pPr>
      <w:r>
        <w:rPr>
          <w:szCs w:val="24"/>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Pr>
          <w:rStyle w:val="EndnoteReference"/>
          <w:szCs w:val="24"/>
        </w:rPr>
        <w:endnoteReference w:id="22"/>
      </w:r>
      <w:r>
        <w:rPr>
          <w:szCs w:val="24"/>
        </w:rPr>
        <w:t xml:space="preserve"> The Commission may include in the notice any recommendation for preventing a repetition of the act or a continuation of the practice.</w:t>
      </w:r>
      <w:r>
        <w:rPr>
          <w:rStyle w:val="EndnoteReference"/>
          <w:szCs w:val="24"/>
        </w:rPr>
        <w:endnoteReference w:id="23"/>
      </w:r>
      <w:r w:rsidR="00146A6A">
        <w:rPr>
          <w:szCs w:val="24"/>
        </w:rPr>
        <w:t xml:space="preserve"> The Commission may also recommend:</w:t>
      </w:r>
    </w:p>
    <w:p w14:paraId="08447F91" w14:textId="77777777" w:rsidR="00146A6A" w:rsidRDefault="00146A6A" w:rsidP="00146A6A">
      <w:pPr>
        <w:numPr>
          <w:ilvl w:val="1"/>
          <w:numId w:val="7"/>
        </w:numPr>
        <w:spacing w:before="240"/>
        <w:rPr>
          <w:szCs w:val="24"/>
        </w:rPr>
      </w:pPr>
      <w:r>
        <w:rPr>
          <w:szCs w:val="24"/>
        </w:rPr>
        <w:t>The payment of compensation to, or in respect of, a person who has suffered loss or damage; and</w:t>
      </w:r>
    </w:p>
    <w:p w14:paraId="46DE9965" w14:textId="77777777" w:rsidR="00146A6A" w:rsidRDefault="00146A6A" w:rsidP="00146A6A">
      <w:pPr>
        <w:numPr>
          <w:ilvl w:val="1"/>
          <w:numId w:val="7"/>
        </w:numPr>
        <w:spacing w:before="240"/>
        <w:rPr>
          <w:szCs w:val="24"/>
        </w:rPr>
      </w:pPr>
      <w:r>
        <w:rPr>
          <w:szCs w:val="24"/>
        </w:rPr>
        <w:t>Other action to remedy or reduce the loss or damage suffered by a person.</w:t>
      </w:r>
      <w:r>
        <w:rPr>
          <w:rStyle w:val="EndnoteReference"/>
          <w:szCs w:val="24"/>
        </w:rPr>
        <w:endnoteReference w:id="24"/>
      </w:r>
    </w:p>
    <w:p w14:paraId="64AF889D" w14:textId="6B3CBEFC" w:rsidR="00146A6A" w:rsidRDefault="00146A6A" w:rsidP="00146A6A">
      <w:pPr>
        <w:pStyle w:val="Heading2"/>
      </w:pPr>
      <w:bookmarkStart w:id="19" w:name="_Toc282871331"/>
      <w:r>
        <w:t>Compensation</w:t>
      </w:r>
      <w:bookmarkEnd w:id="19"/>
    </w:p>
    <w:p w14:paraId="3D18CF78" w14:textId="77777777" w:rsidR="00146A6A" w:rsidRDefault="00146A6A" w:rsidP="00146A6A">
      <w:pPr>
        <w:numPr>
          <w:ilvl w:val="0"/>
          <w:numId w:val="7"/>
        </w:numPr>
        <w:spacing w:before="240"/>
        <w:rPr>
          <w:szCs w:val="24"/>
        </w:rPr>
      </w:pPr>
      <w:r>
        <w:rPr>
          <w:szCs w:val="24"/>
        </w:rPr>
        <w:t>There is no judicial guidance dealing with the assessment of recommendations for financial compensation for breaches of human rights under the AHRC Act.</w:t>
      </w:r>
    </w:p>
    <w:p w14:paraId="7BDBFFAA" w14:textId="77777777" w:rsidR="00146A6A" w:rsidRDefault="00146A6A" w:rsidP="00146A6A">
      <w:pPr>
        <w:numPr>
          <w:ilvl w:val="0"/>
          <w:numId w:val="7"/>
        </w:numPr>
        <w:spacing w:before="240"/>
        <w:rPr>
          <w:szCs w:val="24"/>
        </w:rPr>
      </w:pPr>
      <w:r>
        <w:rPr>
          <w:szCs w:val="24"/>
        </w:rPr>
        <w:t>However, in considering the assessment of a recommendation for compensation under s</w:t>
      </w:r>
      <w:r w:rsidR="001938EF">
        <w:rPr>
          <w:szCs w:val="24"/>
        </w:rPr>
        <w:t> </w:t>
      </w:r>
      <w:r>
        <w:rPr>
          <w:szCs w:val="24"/>
        </w:rPr>
        <w:t>35 of the AHRC Act (relating to discrimination matters under Part II, Division 4 of the AHRC Act), the Federal Court has indicated that tort principles for the assessment of damages should be applied.</w:t>
      </w:r>
      <w:r w:rsidR="00590196">
        <w:rPr>
          <w:rStyle w:val="EndnoteReference"/>
          <w:szCs w:val="24"/>
        </w:rPr>
        <w:endnoteReference w:id="25"/>
      </w:r>
    </w:p>
    <w:p w14:paraId="41EC0B21" w14:textId="77777777" w:rsidR="00590196" w:rsidRDefault="00590196" w:rsidP="00146A6A">
      <w:pPr>
        <w:numPr>
          <w:ilvl w:val="0"/>
          <w:numId w:val="7"/>
        </w:numPr>
        <w:spacing w:before="240"/>
        <w:rPr>
          <w:szCs w:val="24"/>
        </w:rPr>
      </w:pPr>
      <w:r>
        <w:rPr>
          <w:szCs w:val="24"/>
        </w:rPr>
        <w:t>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r>
        <w:rPr>
          <w:rStyle w:val="EndnoteReference"/>
          <w:szCs w:val="24"/>
        </w:rPr>
        <w:endnoteReference w:id="26"/>
      </w:r>
    </w:p>
    <w:p w14:paraId="1773B9E5" w14:textId="77777777" w:rsidR="00B85871" w:rsidRDefault="00B85871" w:rsidP="00B85871">
      <w:pPr>
        <w:pStyle w:val="Heading3"/>
      </w:pPr>
      <w:bookmarkStart w:id="20" w:name="_Toc282871332"/>
      <w:r>
        <w:t>Principles relating to compensation for detention</w:t>
      </w:r>
      <w:r w:rsidR="00A24F22">
        <w:t xml:space="preserve"> and interference with family</w:t>
      </w:r>
      <w:bookmarkEnd w:id="20"/>
    </w:p>
    <w:p w14:paraId="4DAF55EA" w14:textId="77777777" w:rsidR="00590196" w:rsidRDefault="00B85871" w:rsidP="00146A6A">
      <w:pPr>
        <w:numPr>
          <w:ilvl w:val="0"/>
          <w:numId w:val="7"/>
        </w:numPr>
        <w:spacing w:before="240"/>
        <w:rPr>
          <w:szCs w:val="24"/>
        </w:rPr>
      </w:pPr>
      <w:r>
        <w:rPr>
          <w:szCs w:val="24"/>
        </w:rPr>
        <w:t>I have been asked to consider compensation for Mr Tapara for being arbitrarily detained in contravention of article 9(1) of the ICCPR</w:t>
      </w:r>
      <w:r w:rsidR="00240801">
        <w:rPr>
          <w:szCs w:val="24"/>
        </w:rPr>
        <w:t xml:space="preserve"> and the consequent interference with his family</w:t>
      </w:r>
      <w:r>
        <w:rPr>
          <w:szCs w:val="24"/>
        </w:rPr>
        <w:t>.</w:t>
      </w:r>
    </w:p>
    <w:p w14:paraId="5A7FD609" w14:textId="77777777" w:rsidR="00B85871" w:rsidRDefault="00B85871" w:rsidP="00146A6A">
      <w:pPr>
        <w:numPr>
          <w:ilvl w:val="0"/>
          <w:numId w:val="7"/>
        </w:numPr>
        <w:spacing w:before="240"/>
        <w:rPr>
          <w:szCs w:val="24"/>
        </w:rPr>
      </w:pPr>
      <w:r>
        <w:rPr>
          <w:szCs w:val="24"/>
        </w:rPr>
        <w:lastRenderedPageBreak/>
        <w:t>The tort of false imprisonment is a more limited action than an action for breach of article 9(1) of the ICCPR. This is because an action for false imprisonment cannot succeed where there is lawful authority for the detention, whereas a breach of article 9(1) of the ICCPR will be made out where it can be established that the detention was arbitrary, irrespective of legality.</w:t>
      </w:r>
    </w:p>
    <w:p w14:paraId="754303EA" w14:textId="77777777" w:rsidR="00B85871" w:rsidRDefault="00B85871" w:rsidP="00146A6A">
      <w:pPr>
        <w:numPr>
          <w:ilvl w:val="0"/>
          <w:numId w:val="7"/>
        </w:numPr>
        <w:spacing w:before="240"/>
        <w:rPr>
          <w:szCs w:val="24"/>
        </w:rPr>
      </w:pPr>
      <w:r>
        <w:rPr>
          <w:szCs w:val="24"/>
        </w:rPr>
        <w:t>Notwithstanding this important distinction, the damages awarded in false imprisonment provide an appropriate guide for the award of compensation for the breach of article 9(1) of the ICCPR. This is because the damages that are available in false imprisonment matters provide an indication of how the courts have considered it appropriate to compensate for loss of liberty.</w:t>
      </w:r>
    </w:p>
    <w:p w14:paraId="26FA1063" w14:textId="77777777" w:rsidR="00B85871" w:rsidRDefault="00B85871" w:rsidP="00146A6A">
      <w:pPr>
        <w:numPr>
          <w:ilvl w:val="0"/>
          <w:numId w:val="7"/>
        </w:numPr>
        <w:spacing w:before="240"/>
        <w:rPr>
          <w:szCs w:val="24"/>
        </w:rPr>
      </w:pPr>
      <w:r>
        <w:rPr>
          <w:szCs w:val="24"/>
        </w:rPr>
        <w:t>The principle heads of damage for a tort of this nature are injury to liberty (the loss of freedom considered primarily from a non-pecuniary standpoint) and injury to feelings (the indignity, mental suffering, disgrace and humiliation, with any attendant loss of social status).</w:t>
      </w:r>
      <w:r w:rsidR="00B82155">
        <w:rPr>
          <w:rStyle w:val="EndnoteReference"/>
          <w:szCs w:val="24"/>
        </w:rPr>
        <w:endnoteReference w:id="27"/>
      </w:r>
    </w:p>
    <w:p w14:paraId="62535A7D" w14:textId="77777777" w:rsidR="00913958" w:rsidRPr="00290D88" w:rsidRDefault="00913958" w:rsidP="00913958">
      <w:pPr>
        <w:numPr>
          <w:ilvl w:val="0"/>
          <w:numId w:val="7"/>
        </w:numPr>
        <w:tabs>
          <w:tab w:val="clear" w:pos="720"/>
          <w:tab w:val="num" w:pos="709"/>
          <w:tab w:val="num" w:pos="2880"/>
        </w:tabs>
        <w:spacing w:before="240" w:after="240"/>
        <w:ind w:left="709" w:hanging="709"/>
        <w:rPr>
          <w:szCs w:val="24"/>
          <w:lang w:val="en-US"/>
        </w:rPr>
      </w:pPr>
      <w:r w:rsidRPr="00290D88">
        <w:rPr>
          <w:szCs w:val="24"/>
          <w:lang w:val="en-US"/>
        </w:rPr>
        <w:t xml:space="preserve">In the recent case of </w:t>
      </w:r>
      <w:r w:rsidRPr="00290D88">
        <w:rPr>
          <w:i/>
          <w:szCs w:val="24"/>
          <w:lang w:val="en-US"/>
        </w:rPr>
        <w:t>Fernando v Commonwealth of Australia (No 5)</w:t>
      </w:r>
      <w:r w:rsidRPr="00290D88">
        <w:rPr>
          <w:szCs w:val="24"/>
          <w:lang w:val="en-US"/>
        </w:rPr>
        <w:t>,</w:t>
      </w:r>
      <w:r w:rsidRPr="00290D88">
        <w:rPr>
          <w:szCs w:val="24"/>
          <w:vertAlign w:val="superscript"/>
          <w:lang w:val="en-US"/>
        </w:rPr>
        <w:endnoteReference w:id="28"/>
      </w:r>
      <w:r w:rsidRPr="00290D88">
        <w:rPr>
          <w:szCs w:val="24"/>
          <w:lang w:val="en-US"/>
        </w:rPr>
        <w:t xml:space="preserve"> Siopis J considered the judicial guidance available on the quantum of damages for loss of liberty for a long period arising from wrongful imprisonment. Siopis J referred to the case of </w:t>
      </w:r>
      <w:r w:rsidRPr="00290D88">
        <w:rPr>
          <w:i/>
          <w:szCs w:val="24"/>
          <w:lang w:val="en-US"/>
        </w:rPr>
        <w:t>Nye v State of New South Wales</w:t>
      </w:r>
      <w:r w:rsidRPr="00290D88">
        <w:rPr>
          <w:szCs w:val="24"/>
          <w:lang w:val="en-US"/>
        </w:rPr>
        <w:t>:</w:t>
      </w:r>
      <w:r w:rsidRPr="00290D88">
        <w:rPr>
          <w:szCs w:val="24"/>
          <w:vertAlign w:val="superscript"/>
          <w:lang w:val="en-US"/>
        </w:rPr>
        <w:endnoteReference w:id="29"/>
      </w:r>
    </w:p>
    <w:p w14:paraId="32C353EA" w14:textId="77777777" w:rsidR="00913958" w:rsidRPr="00290D88" w:rsidRDefault="00913958" w:rsidP="00913958">
      <w:pPr>
        <w:spacing w:before="240" w:after="240"/>
        <w:ind w:left="1440"/>
        <w:rPr>
          <w:szCs w:val="24"/>
          <w:lang w:val="en-US"/>
        </w:rPr>
      </w:pPr>
      <w:r w:rsidRPr="00290D88">
        <w:rPr>
          <w:sz w:val="22"/>
          <w:szCs w:val="24"/>
          <w:lang w:val="en-US"/>
        </w:rPr>
        <w:t xml:space="preserve">…the </w:t>
      </w:r>
      <w:r w:rsidRPr="00290D88">
        <w:rPr>
          <w:i/>
          <w:sz w:val="22"/>
          <w:szCs w:val="24"/>
          <w:lang w:val="en-US"/>
        </w:rPr>
        <w:t xml:space="preserve">Nye </w:t>
      </w:r>
      <w:r w:rsidRPr="00290D88">
        <w:rPr>
          <w:sz w:val="22"/>
          <w:szCs w:val="24"/>
          <w:lang w:val="en-US"/>
        </w:rPr>
        <w:t xml:space="preserve">case is useful in one respect, namely, that the court was required to consider the quantum of damages to be awarded to Mr Nye in respect of his loss of liberty for a period of some 16 months which he spent in Long Bay Gaol. In doing so, consistently with the approach recognized by Spigelman CJ in </w:t>
      </w:r>
      <w:r w:rsidRPr="00290D88">
        <w:rPr>
          <w:i/>
          <w:sz w:val="22"/>
          <w:szCs w:val="24"/>
          <w:lang w:val="en-US"/>
        </w:rPr>
        <w:t xml:space="preserve">Ruddock </w:t>
      </w:r>
      <w:r w:rsidRPr="00290D88">
        <w:rPr>
          <w:sz w:val="22"/>
          <w:szCs w:val="24"/>
          <w:lang w:val="en-US"/>
        </w:rPr>
        <w:t xml:space="preserve">(NSWCA), the Court did not assess damages by application of a daily rate, but awarded Mr Nye the sum of $100,000 in general damages. It is also relevant to observe that in </w:t>
      </w:r>
      <w:r w:rsidRPr="00290D88">
        <w:rPr>
          <w:i/>
          <w:sz w:val="22"/>
          <w:szCs w:val="24"/>
          <w:lang w:val="en-US"/>
        </w:rPr>
        <w:t>Nye,</w:t>
      </w:r>
      <w:r w:rsidRPr="00290D88">
        <w:rPr>
          <w:sz w:val="22"/>
          <w:szCs w:val="24"/>
          <w:lang w:val="en-US"/>
        </w:rPr>
        <w:t xml:space="preserve"> the court referred to the fact that for a period of time during his detention in Long Bay Gaol, Mr Nye feared for his life at the hands of other inmates of that gaol.</w:t>
      </w:r>
      <w:r w:rsidRPr="00290D88">
        <w:rPr>
          <w:szCs w:val="24"/>
          <w:vertAlign w:val="superscript"/>
          <w:lang w:val="en-US"/>
        </w:rPr>
        <w:endnoteReference w:id="30"/>
      </w:r>
    </w:p>
    <w:p w14:paraId="0A76FE12" w14:textId="77777777" w:rsidR="00913958" w:rsidRPr="00913958" w:rsidRDefault="00913958" w:rsidP="00913958">
      <w:pPr>
        <w:numPr>
          <w:ilvl w:val="0"/>
          <w:numId w:val="7"/>
        </w:numPr>
        <w:tabs>
          <w:tab w:val="clear" w:pos="720"/>
          <w:tab w:val="num" w:pos="709"/>
        </w:tabs>
        <w:spacing w:before="240"/>
        <w:rPr>
          <w:szCs w:val="24"/>
        </w:rPr>
      </w:pPr>
      <w:r w:rsidRPr="00913958">
        <w:rPr>
          <w:szCs w:val="24"/>
        </w:rPr>
        <w:t xml:space="preserve">Siopis J noted that further guidance on the quantum of damages for loss of liberty for a long period arising from wrongful imprisonment can be obtained from the case of </w:t>
      </w:r>
      <w:r w:rsidRPr="00711127">
        <w:rPr>
          <w:i/>
          <w:szCs w:val="24"/>
        </w:rPr>
        <w:t>Ruddock</w:t>
      </w:r>
      <w:r w:rsidRPr="00913958">
        <w:rPr>
          <w:szCs w:val="24"/>
        </w:rPr>
        <w:t xml:space="preserve"> (NSWCA).</w:t>
      </w:r>
      <w:r w:rsidRPr="00D51A0F">
        <w:rPr>
          <w:szCs w:val="24"/>
          <w:vertAlign w:val="superscript"/>
        </w:rPr>
        <w:endnoteReference w:id="31"/>
      </w:r>
      <w:r w:rsidRPr="00913958">
        <w:rPr>
          <w:szCs w:val="24"/>
        </w:rPr>
        <w:t xml:space="preserve"> In that case at first instance,</w:t>
      </w:r>
      <w:r w:rsidRPr="00913958">
        <w:rPr>
          <w:szCs w:val="24"/>
          <w:vertAlign w:val="superscript"/>
        </w:rPr>
        <w:endnoteReference w:id="32"/>
      </w:r>
      <w:r w:rsidRPr="00913958">
        <w:rPr>
          <w:szCs w:val="24"/>
        </w:rPr>
        <w:t xml:space="preserve"> the New South Wales District Court awarded the plaintiff, Mr Taylor, the sum of $116,000 in damages in respect of wrongful imprisonment, consequent upon his detention following the cancellation of his permanent residency visa on character grounds. </w:t>
      </w:r>
    </w:p>
    <w:p w14:paraId="11FDA5A6" w14:textId="0D13A7BA" w:rsidR="00913958" w:rsidRPr="00913958" w:rsidRDefault="00913958" w:rsidP="00913958">
      <w:pPr>
        <w:numPr>
          <w:ilvl w:val="0"/>
          <w:numId w:val="7"/>
        </w:numPr>
        <w:tabs>
          <w:tab w:val="clear" w:pos="720"/>
          <w:tab w:val="num" w:pos="709"/>
        </w:tabs>
        <w:spacing w:before="240"/>
        <w:rPr>
          <w:szCs w:val="24"/>
        </w:rPr>
      </w:pPr>
      <w:r w:rsidRPr="00913958">
        <w:rPr>
          <w:szCs w:val="24"/>
        </w:rPr>
        <w:t>Mr Taylor was detained for two separate periods. The first was for 161 days and the second was for 155 days. In that case, because Mr Taylor’s convictions were in relation to sexual offences against children, Mr Taylor was detained in a state prison under a ‘strict protection’ regime and not in an immigration detention centre. The detention regime to which Mr Taylor was subjected was described</w:t>
      </w:r>
      <w:r w:rsidR="009A1B0E">
        <w:rPr>
          <w:szCs w:val="24"/>
        </w:rPr>
        <w:t xml:space="preserve"> as a ‘particularly harsh one’.</w:t>
      </w:r>
    </w:p>
    <w:p w14:paraId="4AC8921E" w14:textId="77777777" w:rsidR="00913958" w:rsidRPr="00913958" w:rsidRDefault="00913958" w:rsidP="00913958">
      <w:pPr>
        <w:numPr>
          <w:ilvl w:val="0"/>
          <w:numId w:val="7"/>
        </w:numPr>
        <w:tabs>
          <w:tab w:val="clear" w:pos="720"/>
          <w:tab w:val="num" w:pos="709"/>
        </w:tabs>
        <w:spacing w:before="240"/>
        <w:rPr>
          <w:szCs w:val="24"/>
        </w:rPr>
      </w:pPr>
      <w:r w:rsidRPr="00913958">
        <w:rPr>
          <w:szCs w:val="24"/>
        </w:rPr>
        <w:t>The Court also took into account the fact that Mr Taylor had a long criminal record and that this was not his first experience of a loss of liberty. He was also considered to be a person of low repute who would not have felt the disgrace and humiliation experienced by a person of good character in similar circumstances.</w:t>
      </w:r>
      <w:r w:rsidRPr="00913958">
        <w:rPr>
          <w:szCs w:val="24"/>
          <w:vertAlign w:val="superscript"/>
        </w:rPr>
        <w:endnoteReference w:id="33"/>
      </w:r>
    </w:p>
    <w:p w14:paraId="0B9A6750" w14:textId="77777777" w:rsidR="00913958" w:rsidRPr="00913958" w:rsidRDefault="00913958" w:rsidP="00913958">
      <w:pPr>
        <w:numPr>
          <w:ilvl w:val="0"/>
          <w:numId w:val="7"/>
        </w:numPr>
        <w:tabs>
          <w:tab w:val="clear" w:pos="720"/>
          <w:tab w:val="num" w:pos="709"/>
        </w:tabs>
        <w:spacing w:before="240"/>
        <w:rPr>
          <w:szCs w:val="24"/>
        </w:rPr>
      </w:pPr>
      <w:r w:rsidRPr="00913958">
        <w:rPr>
          <w:szCs w:val="24"/>
        </w:rPr>
        <w:lastRenderedPageBreak/>
        <w:t>On appeal, in the New South Wales Court of Appeal, Spigelman CJ considered the adequacy of the damages awarded to Mr Taylor and observed that the quantum of damages was low, but not so low as to amount to appellable error.</w:t>
      </w:r>
      <w:r w:rsidRPr="00913958">
        <w:rPr>
          <w:szCs w:val="24"/>
          <w:vertAlign w:val="superscript"/>
        </w:rPr>
        <w:endnoteReference w:id="34"/>
      </w:r>
      <w:r w:rsidRPr="00913958">
        <w:rPr>
          <w:szCs w:val="24"/>
          <w:vertAlign w:val="superscript"/>
        </w:rPr>
        <w:t xml:space="preserve"> </w:t>
      </w:r>
      <w:r w:rsidRPr="00913958">
        <w:rPr>
          <w:szCs w:val="24"/>
        </w:rPr>
        <w:t xml:space="preserve">Spigelman CJ also observed that: </w:t>
      </w:r>
    </w:p>
    <w:p w14:paraId="3D7A1672" w14:textId="0E8D617B" w:rsidR="00913958" w:rsidRPr="00290D88" w:rsidRDefault="00913958" w:rsidP="00913958">
      <w:pPr>
        <w:spacing w:before="240" w:after="240"/>
        <w:ind w:left="1440"/>
        <w:rPr>
          <w:szCs w:val="24"/>
          <w:lang w:val="en-US"/>
        </w:rPr>
      </w:pPr>
      <w:r w:rsidRPr="00B66EC2">
        <w:rPr>
          <w:sz w:val="22"/>
          <w:szCs w:val="24"/>
          <w:lang w:val="en-US"/>
        </w:rPr>
        <w:t>Damages for false imprisonment cannot be computed on the basis that there is some kind of applicable daily rate. A substantial proportion of the ultimate award must be given for what has been described as “the initial shock of being arrested” (</w:t>
      </w:r>
      <w:r w:rsidRPr="00B66EC2">
        <w:rPr>
          <w:i/>
          <w:sz w:val="22"/>
          <w:szCs w:val="24"/>
          <w:lang w:val="en-US"/>
        </w:rPr>
        <w:t xml:space="preserve">Thompson; Hsu v Commissioner of Police of the Metropolis </w:t>
      </w:r>
      <w:r w:rsidRPr="00B66EC2">
        <w:rPr>
          <w:sz w:val="22"/>
          <w:szCs w:val="24"/>
          <w:lang w:val="en-US"/>
        </w:rPr>
        <w:t>[1998] QB 498 at 515.) As the term of imprisonment extends the effect upon the person falsely imprisoned does progressively diminish.</w:t>
      </w:r>
      <w:r w:rsidRPr="00290D88">
        <w:rPr>
          <w:szCs w:val="24"/>
          <w:vertAlign w:val="superscript"/>
          <w:lang w:val="en-US"/>
        </w:rPr>
        <w:endnoteReference w:id="35"/>
      </w:r>
    </w:p>
    <w:p w14:paraId="6258E932" w14:textId="6D2D45B2" w:rsidR="000567C9" w:rsidRPr="000567C9" w:rsidRDefault="00913958" w:rsidP="00913958">
      <w:pPr>
        <w:numPr>
          <w:ilvl w:val="0"/>
          <w:numId w:val="7"/>
        </w:numPr>
        <w:spacing w:before="240"/>
        <w:rPr>
          <w:szCs w:val="24"/>
        </w:rPr>
      </w:pPr>
      <w:r w:rsidRPr="00913958">
        <w:rPr>
          <w:szCs w:val="24"/>
        </w:rPr>
        <w:t xml:space="preserve">Although in </w:t>
      </w:r>
      <w:r w:rsidRPr="00711127">
        <w:rPr>
          <w:i/>
          <w:szCs w:val="24"/>
        </w:rPr>
        <w:t>Fernando v Commonwealth of Australia (No 5)</w:t>
      </w:r>
      <w:r w:rsidRPr="00913958">
        <w:rPr>
          <w:szCs w:val="24"/>
        </w:rPr>
        <w:t>, Siopis J ultimately accepted the Commonwealth’s argument that Mr Fernando was only entitled to nominal damages,</w:t>
      </w:r>
      <w:r w:rsidRPr="00913958">
        <w:rPr>
          <w:szCs w:val="24"/>
          <w:vertAlign w:val="superscript"/>
        </w:rPr>
        <w:endnoteReference w:id="36"/>
      </w:r>
      <w:r w:rsidRPr="00913958">
        <w:rPr>
          <w:szCs w:val="24"/>
        </w:rPr>
        <w:t xml:space="preserve"> 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 for depression during and after his detention and took these factors into account in assessing the quantum of damages. His Honour also noted that Mr Fernando’s evidence did not suggest that in immigration detention he was subjected to the harsh ‘strict protection’ regime to which Mr Taylor was subjected in a state prison, nor that Mr Fernando feared for his life at the hands of inmates in the same way that Mr Nye did whilst he was detained at Long Bay Gaol. Taking all of these factors into account, Siopis J stated that he would have awarded Mr Fernando in respect of his 1,203 days in detention the sum of $265,000.</w:t>
      </w:r>
      <w:r w:rsidRPr="000934B0">
        <w:rPr>
          <w:szCs w:val="24"/>
          <w:vertAlign w:val="superscript"/>
        </w:rPr>
        <w:endnoteReference w:id="37"/>
      </w:r>
    </w:p>
    <w:p w14:paraId="344AEDA9" w14:textId="77777777" w:rsidR="006F2713" w:rsidRDefault="00EC3582" w:rsidP="006F2713">
      <w:pPr>
        <w:pStyle w:val="Heading3"/>
      </w:pPr>
      <w:bookmarkStart w:id="21" w:name="_Toc282871333"/>
      <w:r>
        <w:t>Recommendation that c</w:t>
      </w:r>
      <w:r w:rsidR="006F2713">
        <w:t xml:space="preserve">ompensation </w:t>
      </w:r>
      <w:r>
        <w:t>be paid</w:t>
      </w:r>
      <w:bookmarkEnd w:id="21"/>
    </w:p>
    <w:p w14:paraId="398C4782" w14:textId="77777777" w:rsidR="000934B0" w:rsidRPr="000934B0" w:rsidRDefault="000934B0" w:rsidP="000934B0">
      <w:pPr>
        <w:numPr>
          <w:ilvl w:val="0"/>
          <w:numId w:val="7"/>
        </w:numPr>
        <w:spacing w:before="240" w:after="240"/>
        <w:rPr>
          <w:szCs w:val="24"/>
        </w:rPr>
      </w:pPr>
      <w:r w:rsidRPr="000934B0">
        <w:rPr>
          <w:szCs w:val="24"/>
        </w:rPr>
        <w:t xml:space="preserve">I have found that Mr Tapara’s detention from </w:t>
      </w:r>
      <w:r>
        <w:rPr>
          <w:szCs w:val="24"/>
        </w:rPr>
        <w:t xml:space="preserve">2 December 2011 until his release from MIDC on 10 May 2013 </w:t>
      </w:r>
      <w:r w:rsidRPr="000934B0">
        <w:rPr>
          <w:szCs w:val="24"/>
        </w:rPr>
        <w:t xml:space="preserve">was arbitrary within the meaning of article 9(1) of the ICCPR and arbitrarily interfered with his family in breach of articles 17(1) and 23(1) of the ICCPR. </w:t>
      </w:r>
    </w:p>
    <w:p w14:paraId="55A01B45" w14:textId="77777777" w:rsidR="000934B0" w:rsidRDefault="000934B0" w:rsidP="000934B0">
      <w:pPr>
        <w:numPr>
          <w:ilvl w:val="0"/>
          <w:numId w:val="7"/>
        </w:numPr>
        <w:spacing w:before="240" w:after="240"/>
        <w:rPr>
          <w:szCs w:val="24"/>
        </w:rPr>
      </w:pPr>
      <w:r w:rsidRPr="00A57BCE">
        <w:rPr>
          <w:szCs w:val="24"/>
        </w:rPr>
        <w:t xml:space="preserve">I consider that the Commonwealth should pay to Mr </w:t>
      </w:r>
      <w:r>
        <w:rPr>
          <w:szCs w:val="24"/>
        </w:rPr>
        <w:t>Tapara</w:t>
      </w:r>
      <w:r w:rsidRPr="00A57BCE">
        <w:rPr>
          <w:szCs w:val="24"/>
        </w:rPr>
        <w:t xml:space="preserve"> an amount of compensation to reflect the loss of liberty caused by his detention at </w:t>
      </w:r>
      <w:r>
        <w:rPr>
          <w:szCs w:val="24"/>
        </w:rPr>
        <w:t>M</w:t>
      </w:r>
      <w:r w:rsidRPr="00A57BCE">
        <w:rPr>
          <w:szCs w:val="24"/>
        </w:rPr>
        <w:t>IDC and the consequent interference with his family</w:t>
      </w:r>
      <w:r>
        <w:rPr>
          <w:szCs w:val="24"/>
        </w:rPr>
        <w:t>.</w:t>
      </w:r>
    </w:p>
    <w:p w14:paraId="7A43061F" w14:textId="77777777" w:rsidR="006F2713" w:rsidRDefault="006F2713" w:rsidP="00146A6A">
      <w:pPr>
        <w:numPr>
          <w:ilvl w:val="0"/>
          <w:numId w:val="7"/>
        </w:numPr>
        <w:spacing w:before="240"/>
        <w:rPr>
          <w:szCs w:val="24"/>
        </w:rPr>
      </w:pPr>
      <w:r>
        <w:rPr>
          <w:szCs w:val="24"/>
        </w:rPr>
        <w:t>I have taken into account the fact that Mr Tapara’s detention in MIDC followed immediately after a period of two and a half years imprisonment within the Queensland correctional system.</w:t>
      </w:r>
      <w:r w:rsidR="00646595">
        <w:rPr>
          <w:szCs w:val="24"/>
        </w:rPr>
        <w:t xml:space="preserve"> In this regard, I note the statement in </w:t>
      </w:r>
      <w:r w:rsidR="00646595">
        <w:rPr>
          <w:i/>
          <w:szCs w:val="24"/>
        </w:rPr>
        <w:t>Ruddock v Taylor</w:t>
      </w:r>
      <w:r w:rsidR="00646595">
        <w:rPr>
          <w:szCs w:val="24"/>
        </w:rPr>
        <w:t>, that ‘as the term of imprisonment extends, the effect upon the person falsely imprisoned does progressively diminish’.</w:t>
      </w:r>
    </w:p>
    <w:p w14:paraId="784ECE37" w14:textId="77777777" w:rsidR="00646595" w:rsidRDefault="00646595" w:rsidP="00146A6A">
      <w:pPr>
        <w:numPr>
          <w:ilvl w:val="0"/>
          <w:numId w:val="7"/>
        </w:numPr>
        <w:spacing w:before="240"/>
        <w:rPr>
          <w:szCs w:val="24"/>
        </w:rPr>
      </w:pPr>
      <w:r>
        <w:rPr>
          <w:szCs w:val="24"/>
        </w:rPr>
        <w:t>I have also considered the particular circumstances of Mr Tapara’s case including his age, his prior lengthy periods of imprisonment, the place in which he was detained and the length of time for which he was detained. Taking into account the guidance provided by the decisions referred to above, I consider that payment of compensation in the amount of $</w:t>
      </w:r>
      <w:r w:rsidR="0036253D">
        <w:rPr>
          <w:szCs w:val="24"/>
        </w:rPr>
        <w:t>100</w:t>
      </w:r>
      <w:r>
        <w:rPr>
          <w:szCs w:val="24"/>
        </w:rPr>
        <w:t>, 000 is appropriate.</w:t>
      </w:r>
    </w:p>
    <w:p w14:paraId="024A1709" w14:textId="77777777" w:rsidR="00AC0E30" w:rsidRDefault="00AC0E30" w:rsidP="00AC0E30">
      <w:pPr>
        <w:pStyle w:val="Heading2"/>
      </w:pPr>
      <w:bookmarkStart w:id="22" w:name="_Toc282871334"/>
      <w:r>
        <w:lastRenderedPageBreak/>
        <w:t>Apology</w:t>
      </w:r>
      <w:bookmarkEnd w:id="22"/>
    </w:p>
    <w:p w14:paraId="6F625BE7" w14:textId="77777777" w:rsidR="00C45AB5" w:rsidRPr="00C45AB5" w:rsidRDefault="00AC0E30" w:rsidP="00C45AB5">
      <w:pPr>
        <w:numPr>
          <w:ilvl w:val="0"/>
          <w:numId w:val="7"/>
        </w:numPr>
        <w:spacing w:before="240"/>
        <w:rPr>
          <w:rFonts w:cs="Arial"/>
          <w:b/>
          <w:bCs/>
          <w:lang w:val="en-US"/>
        </w:rPr>
      </w:pPr>
      <w:r w:rsidRPr="00627CF9">
        <w:rPr>
          <w:szCs w:val="24"/>
        </w:rPr>
        <w:t>In addition to compensation, I consider that it is appropriate that the Commonwealth provide a formal written apology to Mr Tapara. Apologies are important remedies for breaches of human rights. They, at least to some extent, alleviate the suffering of those who have been wronged.</w:t>
      </w:r>
      <w:r>
        <w:rPr>
          <w:rStyle w:val="EndnoteReference"/>
          <w:szCs w:val="24"/>
        </w:rPr>
        <w:endnoteReference w:id="38"/>
      </w:r>
    </w:p>
    <w:p w14:paraId="2B6CB07F" w14:textId="77777777" w:rsidR="00C45AB5" w:rsidRDefault="00C45AB5" w:rsidP="00C45AB5">
      <w:pPr>
        <w:pStyle w:val="Heading1"/>
      </w:pPr>
      <w:bookmarkStart w:id="24" w:name="_Toc397085600"/>
      <w:bookmarkStart w:id="25" w:name="_Toc282871335"/>
      <w:r>
        <w:t>The Department’s responses to my finding and recommendations</w:t>
      </w:r>
      <w:bookmarkEnd w:id="24"/>
      <w:bookmarkEnd w:id="25"/>
    </w:p>
    <w:p w14:paraId="03BBC132" w14:textId="77777777" w:rsidR="00C45AB5" w:rsidRDefault="00C45AB5" w:rsidP="00C45AB5"/>
    <w:p w14:paraId="77F7C2AE" w14:textId="1C7B8BFA" w:rsidR="000567C9" w:rsidRPr="000567C9" w:rsidRDefault="00C45AB5" w:rsidP="00C45AB5">
      <w:pPr>
        <w:pStyle w:val="ListParagraph"/>
        <w:numPr>
          <w:ilvl w:val="0"/>
          <w:numId w:val="7"/>
        </w:numPr>
        <w:rPr>
          <w:rFonts w:cs="Arial"/>
          <w:lang w:val="en-US"/>
        </w:rPr>
      </w:pPr>
      <w:r>
        <w:t xml:space="preserve">On </w:t>
      </w:r>
      <w:r w:rsidR="003904EC">
        <w:t>15 September</w:t>
      </w:r>
      <w:r>
        <w:t xml:space="preserve"> 2014, I provided a notice to the Department under s 29(2)(a) of the AHRC Act setting out my finding</w:t>
      </w:r>
      <w:r w:rsidR="00EF0604">
        <w:t>s</w:t>
      </w:r>
      <w:r>
        <w:t xml:space="preserve"> and recommendations in relation to the complaints dealt with in this report.</w:t>
      </w:r>
      <w:r w:rsidR="000567C9">
        <w:rPr>
          <w:rFonts w:cs="Arial"/>
          <w:lang w:val="en-US"/>
        </w:rPr>
        <w:br/>
      </w:r>
    </w:p>
    <w:p w14:paraId="7C3B54A7" w14:textId="77777777" w:rsidR="003904EC" w:rsidRDefault="003904EC" w:rsidP="003904EC">
      <w:pPr>
        <w:pStyle w:val="ListParagraph"/>
        <w:numPr>
          <w:ilvl w:val="0"/>
          <w:numId w:val="7"/>
        </w:numPr>
        <w:rPr>
          <w:rFonts w:cs="Arial"/>
          <w:lang w:val="en-US"/>
        </w:rPr>
      </w:pPr>
      <w:r>
        <w:t>By letter dated 10 October 2014, the Acting Secretary of the Department provided a response to my Notice.</w:t>
      </w:r>
      <w:r>
        <w:br/>
      </w:r>
    </w:p>
    <w:p w14:paraId="0B2B7811" w14:textId="77777777" w:rsidR="003904EC" w:rsidRPr="003904EC" w:rsidRDefault="003904EC" w:rsidP="003904EC">
      <w:pPr>
        <w:pStyle w:val="ListParagraph"/>
        <w:numPr>
          <w:ilvl w:val="0"/>
          <w:numId w:val="7"/>
        </w:numPr>
        <w:rPr>
          <w:rFonts w:cs="Arial"/>
          <w:lang w:val="en-US"/>
        </w:rPr>
      </w:pPr>
      <w:r>
        <w:t>In response to my recommendation that the Commonwealth pay Mr Tapara $100,000 in compensation, the Department stated:</w:t>
      </w:r>
      <w:r>
        <w:br/>
      </w:r>
    </w:p>
    <w:p w14:paraId="1DA9DF26" w14:textId="77777777" w:rsidR="003904EC" w:rsidRDefault="003904EC" w:rsidP="003904EC">
      <w:pPr>
        <w:pStyle w:val="ListParagraph"/>
        <w:ind w:left="1440"/>
        <w:rPr>
          <w:sz w:val="22"/>
          <w:szCs w:val="22"/>
        </w:rPr>
      </w:pPr>
      <w:r>
        <w:rPr>
          <w:sz w:val="22"/>
          <w:szCs w:val="22"/>
        </w:rPr>
        <w:t>The department does not accept this recommendation.</w:t>
      </w:r>
    </w:p>
    <w:p w14:paraId="18E26669" w14:textId="77777777" w:rsidR="003904EC" w:rsidRDefault="003904EC" w:rsidP="003904EC">
      <w:pPr>
        <w:pStyle w:val="ListParagraph"/>
        <w:ind w:left="1440"/>
        <w:rPr>
          <w:sz w:val="22"/>
          <w:szCs w:val="22"/>
        </w:rPr>
      </w:pPr>
    </w:p>
    <w:p w14:paraId="407F8710" w14:textId="4B73B24B" w:rsidR="003B5E03" w:rsidRDefault="003904EC" w:rsidP="003904EC">
      <w:pPr>
        <w:pStyle w:val="ListParagraph"/>
        <w:ind w:left="1440"/>
        <w:rPr>
          <w:sz w:val="22"/>
          <w:szCs w:val="22"/>
        </w:rPr>
      </w:pPr>
      <w:r>
        <w:rPr>
          <w:sz w:val="22"/>
          <w:szCs w:val="22"/>
        </w:rPr>
        <w:t xml:space="preserve">The department does not agree that Mr Tapara’s detention </w:t>
      </w:r>
      <w:r w:rsidR="003B5E03">
        <w:rPr>
          <w:sz w:val="22"/>
          <w:szCs w:val="22"/>
        </w:rPr>
        <w:t>from 2 December 2011 until his involuntary removal to New Zealand on 10 May 2013 was arbitrary and amounted to a breach of article 9(1) of the ICCPR. Further, based on the department’s earlier responses to President Triggs, the department does not accept that Mr Tapara’s immigration detention arbitrar</w:t>
      </w:r>
      <w:r w:rsidR="005C62FA">
        <w:rPr>
          <w:sz w:val="22"/>
          <w:szCs w:val="22"/>
        </w:rPr>
        <w:t>il</w:t>
      </w:r>
      <w:r w:rsidR="003B5E03">
        <w:rPr>
          <w:sz w:val="22"/>
          <w:szCs w:val="22"/>
        </w:rPr>
        <w:t>y interfered with his family in breach of articles 17(1) and 23(1) of the ICCPR.</w:t>
      </w:r>
    </w:p>
    <w:p w14:paraId="776D3E23" w14:textId="77777777" w:rsidR="003B5E03" w:rsidRDefault="003B5E03" w:rsidP="003904EC">
      <w:pPr>
        <w:pStyle w:val="ListParagraph"/>
        <w:ind w:left="1440"/>
        <w:rPr>
          <w:sz w:val="22"/>
          <w:szCs w:val="22"/>
        </w:rPr>
      </w:pPr>
    </w:p>
    <w:p w14:paraId="34F5AFF0" w14:textId="77777777" w:rsidR="004D481A" w:rsidRDefault="003B5E03" w:rsidP="003904EC">
      <w:pPr>
        <w:pStyle w:val="ListParagraph"/>
        <w:ind w:left="1440"/>
        <w:rPr>
          <w:sz w:val="22"/>
          <w:szCs w:val="22"/>
        </w:rPr>
      </w:pPr>
      <w:r>
        <w:rPr>
          <w:sz w:val="22"/>
          <w:szCs w:val="22"/>
        </w:rPr>
        <w:t>The department stands by the facts presented in its previous correspondence to the Australian Human Rights Commission that provided Mr Tapara’s case history and the legal basis for his immigration detention.</w:t>
      </w:r>
      <w:r w:rsidR="004D481A">
        <w:rPr>
          <w:sz w:val="22"/>
          <w:szCs w:val="22"/>
        </w:rPr>
        <w:t xml:space="preserve"> The information provided in these responses demonstrated that Mr Tapara’s immigration detention was proportionate to the Australian Government’s legitimate aim of ensuring the integrity of Australia’s immigration framework and mitigating risks to the Australian community.</w:t>
      </w:r>
    </w:p>
    <w:p w14:paraId="506B6154" w14:textId="77777777" w:rsidR="004D481A" w:rsidRDefault="004D481A" w:rsidP="003904EC">
      <w:pPr>
        <w:pStyle w:val="ListParagraph"/>
        <w:ind w:left="1440"/>
        <w:rPr>
          <w:sz w:val="22"/>
          <w:szCs w:val="22"/>
        </w:rPr>
      </w:pPr>
    </w:p>
    <w:p w14:paraId="4281B6DF" w14:textId="77777777" w:rsidR="008946DE" w:rsidRDefault="004D481A" w:rsidP="003904EC">
      <w:pPr>
        <w:pStyle w:val="ListParagraph"/>
        <w:ind w:left="1440"/>
        <w:rPr>
          <w:sz w:val="22"/>
          <w:szCs w:val="22"/>
        </w:rPr>
      </w:pPr>
      <w:r>
        <w:rPr>
          <w:sz w:val="22"/>
          <w:szCs w:val="22"/>
        </w:rPr>
        <w:t xml:space="preserve">While Mr Tapara was detained, the department reviewed his case regularly and investigated on numerous occasions whether his case could be referred to the Minister, both for the grant of a visa or for residence determination under section 197AB of the </w:t>
      </w:r>
      <w:r>
        <w:rPr>
          <w:i/>
          <w:sz w:val="22"/>
          <w:szCs w:val="22"/>
        </w:rPr>
        <w:t xml:space="preserve">Migration Act 1958 </w:t>
      </w:r>
      <w:r>
        <w:rPr>
          <w:sz w:val="22"/>
          <w:szCs w:val="22"/>
        </w:rPr>
        <w:t>(the Act).</w:t>
      </w:r>
      <w:r w:rsidR="00CC1E8C">
        <w:rPr>
          <w:sz w:val="22"/>
          <w:szCs w:val="22"/>
        </w:rPr>
        <w:t xml:space="preserve"> Mr Tapara invariably could not meet the Ministerial guidelines for referral due to his serious criminal history in Australia and New Zealand and his section 501 (character) visa cancellation. The department notes that Mr Tapara also misled the Australian Government regarding his criminal history in New Zealand.</w:t>
      </w:r>
    </w:p>
    <w:p w14:paraId="05515D4F" w14:textId="77777777" w:rsidR="008946DE" w:rsidRDefault="008946DE" w:rsidP="003904EC">
      <w:pPr>
        <w:pStyle w:val="ListParagraph"/>
        <w:ind w:left="1440"/>
        <w:rPr>
          <w:sz w:val="22"/>
          <w:szCs w:val="22"/>
        </w:rPr>
      </w:pPr>
    </w:p>
    <w:p w14:paraId="1D756071" w14:textId="77777777" w:rsidR="00C01DE0" w:rsidRDefault="008946DE" w:rsidP="003904EC">
      <w:pPr>
        <w:pStyle w:val="ListParagraph"/>
        <w:ind w:left="1440"/>
        <w:rPr>
          <w:sz w:val="22"/>
          <w:szCs w:val="22"/>
        </w:rPr>
      </w:pPr>
      <w:r>
        <w:rPr>
          <w:sz w:val="22"/>
          <w:szCs w:val="22"/>
        </w:rPr>
        <w:t>The risks associated with granting a visa or making a residence determination with respect to an individual with a proven history of violence and dishonesty are clear, even if Mr Tapara’s case had been referred and the Minister had been minded to exercise his power to make these decisions.</w:t>
      </w:r>
    </w:p>
    <w:p w14:paraId="3B018021" w14:textId="77777777" w:rsidR="00C01DE0" w:rsidRDefault="00C01DE0" w:rsidP="003904EC">
      <w:pPr>
        <w:pStyle w:val="ListParagraph"/>
        <w:ind w:left="1440"/>
        <w:rPr>
          <w:sz w:val="22"/>
          <w:szCs w:val="22"/>
        </w:rPr>
      </w:pPr>
    </w:p>
    <w:p w14:paraId="439D4ADA" w14:textId="7881948D" w:rsidR="00F9787A" w:rsidRDefault="00C01DE0" w:rsidP="003904EC">
      <w:pPr>
        <w:pStyle w:val="ListParagraph"/>
        <w:ind w:left="1440"/>
        <w:rPr>
          <w:sz w:val="22"/>
          <w:szCs w:val="22"/>
        </w:rPr>
      </w:pPr>
      <w:r>
        <w:rPr>
          <w:sz w:val="22"/>
          <w:szCs w:val="22"/>
        </w:rPr>
        <w:lastRenderedPageBreak/>
        <w:t xml:space="preserve">Mr Tapara’s </w:t>
      </w:r>
      <w:r w:rsidR="001B6315">
        <w:rPr>
          <w:sz w:val="22"/>
          <w:szCs w:val="22"/>
        </w:rPr>
        <w:t xml:space="preserve">history also resulted in a ‘High’ </w:t>
      </w:r>
      <w:r w:rsidR="001B6315">
        <w:rPr>
          <w:i/>
          <w:sz w:val="22"/>
          <w:szCs w:val="22"/>
        </w:rPr>
        <w:t xml:space="preserve">Client Placement Risk Assessment </w:t>
      </w:r>
      <w:r w:rsidR="001B6315">
        <w:rPr>
          <w:sz w:val="22"/>
          <w:szCs w:val="22"/>
        </w:rPr>
        <w:t>which necessitated his placement in a facility designed to accommodate high risk detainees. Mr Tapara’s requests to be transferr</w:t>
      </w:r>
      <w:r w:rsidR="00BF1D6B">
        <w:rPr>
          <w:sz w:val="22"/>
          <w:szCs w:val="22"/>
        </w:rPr>
        <w:t xml:space="preserve">ed to Brisbane to be closer to </w:t>
      </w:r>
      <w:r w:rsidR="001B6315">
        <w:rPr>
          <w:sz w:val="22"/>
          <w:szCs w:val="22"/>
        </w:rPr>
        <w:t>his family could not be accommodated because the immigration detention fa</w:t>
      </w:r>
      <w:r w:rsidR="00F9787A">
        <w:rPr>
          <w:sz w:val="22"/>
          <w:szCs w:val="22"/>
        </w:rPr>
        <w:t>cilities in Brisbane (and in Queensland) are not designed to accommodate high risk detainees.</w:t>
      </w:r>
    </w:p>
    <w:p w14:paraId="044D775F" w14:textId="77777777" w:rsidR="00F9787A" w:rsidRDefault="00F9787A" w:rsidP="003904EC">
      <w:pPr>
        <w:pStyle w:val="ListParagraph"/>
        <w:ind w:left="1440"/>
        <w:rPr>
          <w:sz w:val="22"/>
          <w:szCs w:val="22"/>
        </w:rPr>
      </w:pPr>
    </w:p>
    <w:p w14:paraId="2AE939C0" w14:textId="77777777" w:rsidR="000955AF" w:rsidRDefault="00F9787A" w:rsidP="003904EC">
      <w:pPr>
        <w:pStyle w:val="ListParagraph"/>
        <w:ind w:left="1440"/>
        <w:rPr>
          <w:sz w:val="22"/>
          <w:szCs w:val="22"/>
        </w:rPr>
      </w:pPr>
      <w:r>
        <w:rPr>
          <w:sz w:val="22"/>
          <w:szCs w:val="22"/>
        </w:rPr>
        <w:t>The department notes that Mr Tapara met his wife and her children while he was in gaol and developed strong bonds with them in spite of his criminal detention. Mr Tapara’s subsequent separation from his family was not arbitrary but rather a consequence of hi</w:t>
      </w:r>
      <w:r w:rsidR="00896A7C">
        <w:rPr>
          <w:sz w:val="22"/>
          <w:szCs w:val="22"/>
        </w:rPr>
        <w:t>s lawful immigration detention. Mr Tapara was able to sustain his family bonds throughout his immigration detention, including through limited home visits facilitated by the department.</w:t>
      </w:r>
    </w:p>
    <w:p w14:paraId="5059441B" w14:textId="77777777" w:rsidR="000955AF" w:rsidRDefault="000955AF" w:rsidP="003904EC">
      <w:pPr>
        <w:pStyle w:val="ListParagraph"/>
        <w:ind w:left="1440"/>
        <w:rPr>
          <w:sz w:val="22"/>
          <w:szCs w:val="22"/>
        </w:rPr>
      </w:pPr>
    </w:p>
    <w:p w14:paraId="0B9692FC" w14:textId="77777777" w:rsidR="00082405" w:rsidRDefault="00082405" w:rsidP="003904EC">
      <w:pPr>
        <w:pStyle w:val="ListParagraph"/>
        <w:ind w:left="1440"/>
        <w:rPr>
          <w:sz w:val="22"/>
          <w:szCs w:val="22"/>
        </w:rPr>
      </w:pPr>
      <w:r>
        <w:rPr>
          <w:sz w:val="22"/>
          <w:szCs w:val="22"/>
        </w:rPr>
        <w:t xml:space="preserve">Therefore the department remains firmly of the view that Mr Tapara’s immigration detention was lawful and not arbitrary for the purposes of article 9(1) and did not arbitrarily interfere with his family in breach of articles 17(1) and 23(1) of the ICCPR. Any consideration by the Commonwealth to pay compensation on a legal liability basis must be made in accordance with the </w:t>
      </w:r>
      <w:r>
        <w:rPr>
          <w:i/>
          <w:sz w:val="22"/>
          <w:szCs w:val="22"/>
        </w:rPr>
        <w:t>Legal Services Directions 2005</w:t>
      </w:r>
      <w:r>
        <w:rPr>
          <w:sz w:val="22"/>
          <w:szCs w:val="22"/>
        </w:rPr>
        <w:t xml:space="preserve">. The </w:t>
      </w:r>
      <w:r>
        <w:rPr>
          <w:i/>
          <w:sz w:val="22"/>
          <w:szCs w:val="22"/>
        </w:rPr>
        <w:t xml:space="preserve">Legal Services Directions 2005 </w:t>
      </w:r>
      <w:r>
        <w:rPr>
          <w:sz w:val="22"/>
          <w:szCs w:val="22"/>
        </w:rPr>
        <w:t>provide that a monetary claim may only be settled where there is at least a meaningful prospect of liability being established against the Commonwealth. Furthermore, the amount of compensation that is offered must be in accordance with legal principle and practice.</w:t>
      </w:r>
    </w:p>
    <w:p w14:paraId="2A91727D" w14:textId="77777777" w:rsidR="00082405" w:rsidRDefault="00082405" w:rsidP="003904EC">
      <w:pPr>
        <w:pStyle w:val="ListParagraph"/>
        <w:ind w:left="1440"/>
        <w:rPr>
          <w:sz w:val="22"/>
          <w:szCs w:val="22"/>
        </w:rPr>
      </w:pPr>
    </w:p>
    <w:p w14:paraId="28E1EDF1" w14:textId="77777777" w:rsidR="00082405" w:rsidRDefault="00082405" w:rsidP="003904EC">
      <w:pPr>
        <w:pStyle w:val="ListParagraph"/>
        <w:ind w:left="1440"/>
        <w:rPr>
          <w:sz w:val="22"/>
          <w:szCs w:val="22"/>
        </w:rPr>
      </w:pPr>
      <w:r>
        <w:rPr>
          <w:sz w:val="22"/>
          <w:szCs w:val="22"/>
        </w:rPr>
        <w:t>The department considers that Mr Tapara’s detention was lawful and that the decisions and processes were appropriate having regard to the circumstances of his case. The department therefore considers that there is no meaningful prospect of liability being established against the Commonwealth under Australian domestic law and as such no proper legal basis to consider a payment of compensation to Mr Tapara.</w:t>
      </w:r>
    </w:p>
    <w:p w14:paraId="7E7209CB" w14:textId="77777777" w:rsidR="00082405" w:rsidRDefault="00082405" w:rsidP="003904EC">
      <w:pPr>
        <w:pStyle w:val="ListParagraph"/>
        <w:ind w:left="1440"/>
        <w:rPr>
          <w:sz w:val="22"/>
          <w:szCs w:val="22"/>
        </w:rPr>
      </w:pPr>
      <w:r>
        <w:rPr>
          <w:sz w:val="22"/>
          <w:szCs w:val="22"/>
        </w:rPr>
        <w:t xml:space="preserve">Although there are limited circumstances in which the Commonwealth may pay compensation on a discretionary basis, </w:t>
      </w:r>
      <w:r>
        <w:rPr>
          <w:i/>
          <w:sz w:val="22"/>
          <w:szCs w:val="22"/>
        </w:rPr>
        <w:t xml:space="preserve">Resource Management No. 409 </w:t>
      </w:r>
      <w:r>
        <w:rPr>
          <w:sz w:val="22"/>
          <w:szCs w:val="22"/>
        </w:rPr>
        <w:t xml:space="preserve">and </w:t>
      </w:r>
      <w:r>
        <w:rPr>
          <w:i/>
          <w:sz w:val="22"/>
          <w:szCs w:val="22"/>
        </w:rPr>
        <w:t xml:space="preserve">No. 401 </w:t>
      </w:r>
      <w:r>
        <w:rPr>
          <w:sz w:val="22"/>
          <w:szCs w:val="22"/>
        </w:rPr>
        <w:t>generally limits such payments to situations where a person has suffered some form of financial detriment or injury arising out of defective acts on the part of the Commonwealth, or otherwise experiences an anomalous, inequitable or unintended outcome as a result of the application of Commonwealth legislation or policy. On the basis of the information the Commonwealth is currently aware of, the department is not satisfied there is a proper basis for payment of compensation at this time.</w:t>
      </w:r>
    </w:p>
    <w:p w14:paraId="77EEA961" w14:textId="77777777" w:rsidR="00082405" w:rsidRDefault="00082405" w:rsidP="003904EC">
      <w:pPr>
        <w:pStyle w:val="ListParagraph"/>
        <w:ind w:left="1440"/>
        <w:rPr>
          <w:sz w:val="22"/>
          <w:szCs w:val="22"/>
        </w:rPr>
      </w:pPr>
    </w:p>
    <w:p w14:paraId="19E4D92A" w14:textId="77777777" w:rsidR="00D101AD" w:rsidRDefault="00082405" w:rsidP="003904EC">
      <w:pPr>
        <w:pStyle w:val="ListParagraph"/>
        <w:ind w:left="1440"/>
        <w:rPr>
          <w:sz w:val="22"/>
          <w:szCs w:val="22"/>
        </w:rPr>
      </w:pPr>
      <w:r>
        <w:rPr>
          <w:sz w:val="22"/>
          <w:szCs w:val="22"/>
        </w:rPr>
        <w:t>The department therefore holds the view that there is no basis for any payment of discretionary compensation to Mr Tapara.</w:t>
      </w:r>
    </w:p>
    <w:p w14:paraId="7B6BDB86" w14:textId="77777777" w:rsidR="00D101AD" w:rsidRDefault="00D101AD" w:rsidP="00D101AD"/>
    <w:p w14:paraId="73D19784" w14:textId="77777777" w:rsidR="00D101AD" w:rsidRPr="00D101AD" w:rsidRDefault="00D101AD" w:rsidP="00D101AD">
      <w:pPr>
        <w:pStyle w:val="ListParagraph"/>
        <w:numPr>
          <w:ilvl w:val="0"/>
          <w:numId w:val="7"/>
        </w:numPr>
        <w:rPr>
          <w:rFonts w:cs="Arial"/>
          <w:lang w:val="en-US"/>
        </w:rPr>
      </w:pPr>
      <w:r>
        <w:t>In response to my recommendation that the Commonwealth provide a formal written apology to Mr Tapara, the Department stated:</w:t>
      </w:r>
    </w:p>
    <w:p w14:paraId="4AAE9C43" w14:textId="77777777" w:rsidR="00D101AD" w:rsidRDefault="00D101AD" w:rsidP="00D101AD"/>
    <w:p w14:paraId="27AD932E" w14:textId="77777777" w:rsidR="00D101AD" w:rsidRDefault="00D101AD" w:rsidP="00D101AD">
      <w:pPr>
        <w:ind w:left="1440"/>
        <w:rPr>
          <w:sz w:val="22"/>
          <w:szCs w:val="22"/>
        </w:rPr>
      </w:pPr>
      <w:r>
        <w:rPr>
          <w:sz w:val="22"/>
          <w:szCs w:val="22"/>
        </w:rPr>
        <w:t>The department does not accept this recommendation.</w:t>
      </w:r>
    </w:p>
    <w:p w14:paraId="48F40136" w14:textId="77777777" w:rsidR="00D101AD" w:rsidRDefault="00D101AD" w:rsidP="00D101AD">
      <w:pPr>
        <w:ind w:left="1440"/>
        <w:rPr>
          <w:sz w:val="22"/>
          <w:szCs w:val="22"/>
        </w:rPr>
      </w:pPr>
    </w:p>
    <w:p w14:paraId="53DF429E" w14:textId="77777777" w:rsidR="00D101AD" w:rsidRDefault="00D101AD" w:rsidP="00D101AD">
      <w:pPr>
        <w:ind w:left="1440"/>
        <w:rPr>
          <w:sz w:val="22"/>
          <w:szCs w:val="22"/>
        </w:rPr>
      </w:pPr>
      <w:r>
        <w:rPr>
          <w:sz w:val="22"/>
          <w:szCs w:val="22"/>
        </w:rPr>
        <w:t>With respect to the view that the Commonwealth acted inconsistently with, or contrary to the procedures by law within the meaning of articles 9(1), 17(1) and 23(1) of the ICCPR, the department continues to rely on its previous submissions that Mr Tapara’s immigration detention was lawful, being in accordance with the relevant provisions of the Act, was not arbitrary and did not arbitrarily interfere with his family.</w:t>
      </w:r>
    </w:p>
    <w:p w14:paraId="370B849C" w14:textId="77777777" w:rsidR="00D101AD" w:rsidRDefault="00D101AD" w:rsidP="00D101AD">
      <w:pPr>
        <w:ind w:left="1440"/>
        <w:rPr>
          <w:sz w:val="22"/>
          <w:szCs w:val="22"/>
        </w:rPr>
      </w:pPr>
    </w:p>
    <w:p w14:paraId="4FEB2D03" w14:textId="77777777" w:rsidR="00915171" w:rsidRPr="00D101AD" w:rsidRDefault="00D101AD" w:rsidP="00D101AD">
      <w:pPr>
        <w:ind w:left="1440"/>
        <w:rPr>
          <w:rFonts w:cs="Arial"/>
          <w:lang w:val="en-US"/>
        </w:rPr>
      </w:pPr>
      <w:r>
        <w:rPr>
          <w:sz w:val="22"/>
          <w:szCs w:val="22"/>
        </w:rPr>
        <w:lastRenderedPageBreak/>
        <w:t>Given</w:t>
      </w:r>
      <w:r w:rsidR="00667F0C">
        <w:rPr>
          <w:sz w:val="22"/>
          <w:szCs w:val="22"/>
        </w:rPr>
        <w:t xml:space="preserve"> the department maintains this position there is no basis for a formal apology and therefore, there will be no action with regard to this recommendation.</w:t>
      </w:r>
      <w:r w:rsidR="00627CF9">
        <w:br/>
      </w:r>
    </w:p>
    <w:p w14:paraId="0C2AABDA" w14:textId="77777777" w:rsidR="00915171" w:rsidRDefault="00915171" w:rsidP="00C90F62">
      <w:pPr>
        <w:rPr>
          <w:noProof/>
          <w:lang w:eastAsia="en-AU"/>
        </w:rPr>
      </w:pPr>
    </w:p>
    <w:p w14:paraId="5C0F82EA" w14:textId="77777777" w:rsidR="00C01DE0" w:rsidRDefault="00667F0C" w:rsidP="00C90F62">
      <w:pPr>
        <w:rPr>
          <w:noProof/>
          <w:lang w:eastAsia="en-AU"/>
        </w:rPr>
      </w:pPr>
      <w:r>
        <w:rPr>
          <w:noProof/>
          <w:lang w:eastAsia="en-AU"/>
        </w:rPr>
        <w:t>I report accordingly to the Attorney-General.</w:t>
      </w:r>
      <w:r>
        <w:rPr>
          <w:noProof/>
          <w:lang w:eastAsia="en-AU"/>
        </w:rPr>
        <w:br/>
      </w:r>
    </w:p>
    <w:p w14:paraId="5A1E381A" w14:textId="77777777" w:rsidR="00C01DE0" w:rsidRDefault="00C01DE0" w:rsidP="00C90F62">
      <w:pPr>
        <w:rPr>
          <w:noProof/>
          <w:lang w:eastAsia="en-AU"/>
        </w:rPr>
      </w:pPr>
    </w:p>
    <w:p w14:paraId="545B2944" w14:textId="77777777" w:rsidR="00C01DE0" w:rsidRDefault="00240CE5" w:rsidP="00C90F62">
      <w:pPr>
        <w:rPr>
          <w:noProof/>
          <w:lang w:eastAsia="en-AU"/>
        </w:rPr>
      </w:pPr>
      <w:r>
        <w:rPr>
          <w:noProof/>
          <w:lang w:eastAsia="en-AU"/>
        </w:rPr>
        <w:drawing>
          <wp:inline distT="0" distB="0" distL="0" distR="0" wp14:anchorId="149A60B0" wp14:editId="017BEE06">
            <wp:extent cx="2009775" cy="1190625"/>
            <wp:effectExtent l="0" t="0" r="9525" b="9525"/>
            <wp:docPr id="2" name="Picture 2" descr="cid:image006.jpg@01CFD652.DC74F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jpg@01CFD652.DC74FA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09775" cy="1190625"/>
                    </a:xfrm>
                    <a:prstGeom prst="rect">
                      <a:avLst/>
                    </a:prstGeom>
                    <a:noFill/>
                    <a:ln>
                      <a:noFill/>
                    </a:ln>
                  </pic:spPr>
                </pic:pic>
              </a:graphicData>
            </a:graphic>
          </wp:inline>
        </w:drawing>
      </w:r>
    </w:p>
    <w:p w14:paraId="484AFE27" w14:textId="77777777" w:rsidR="00C01DE0" w:rsidRDefault="00C01DE0" w:rsidP="00C90F62">
      <w:pPr>
        <w:rPr>
          <w:rFonts w:cs="Arial"/>
          <w:b/>
          <w:bCs/>
          <w:lang w:val="en-US"/>
        </w:rPr>
      </w:pPr>
    </w:p>
    <w:p w14:paraId="0004FFF4" w14:textId="77777777" w:rsidR="00562680" w:rsidRDefault="009F0915" w:rsidP="00C90F62">
      <w:pPr>
        <w:rPr>
          <w:rFonts w:cs="Arial"/>
          <w:b/>
          <w:bCs/>
          <w:lang w:val="en-US"/>
        </w:rPr>
      </w:pPr>
      <w:r>
        <w:rPr>
          <w:rFonts w:cs="Arial"/>
          <w:b/>
          <w:bCs/>
          <w:lang w:val="en-US"/>
        </w:rPr>
        <w:t>Gillian Triggs</w:t>
      </w:r>
    </w:p>
    <w:p w14:paraId="5ADBE8B0" w14:textId="77777777" w:rsidR="0090470E" w:rsidRDefault="009F0915" w:rsidP="00C90F62">
      <w:pPr>
        <w:rPr>
          <w:rFonts w:cs="Arial"/>
          <w:b/>
          <w:bCs/>
          <w:lang w:val="en-US"/>
        </w:rPr>
      </w:pPr>
      <w:r>
        <w:rPr>
          <w:rFonts w:cs="Arial"/>
          <w:b/>
          <w:bCs/>
          <w:lang w:val="en-US"/>
        </w:rPr>
        <w:t>President</w:t>
      </w:r>
      <w:r w:rsidR="0054693D">
        <w:rPr>
          <w:rFonts w:cs="Arial"/>
          <w:b/>
          <w:bCs/>
          <w:lang w:val="en-US"/>
        </w:rPr>
        <w:t xml:space="preserve"> </w:t>
      </w:r>
    </w:p>
    <w:p w14:paraId="417A98DB" w14:textId="77777777" w:rsidR="00C90F62" w:rsidRPr="0090470E" w:rsidRDefault="0054693D" w:rsidP="00C90F62">
      <w:pPr>
        <w:rPr>
          <w:rFonts w:cs="Arial"/>
          <w:bCs/>
          <w:lang w:val="en-US"/>
        </w:rPr>
      </w:pPr>
      <w:r w:rsidRPr="0090470E">
        <w:rPr>
          <w:rFonts w:cs="Arial"/>
          <w:bCs/>
          <w:lang w:val="en-US"/>
        </w:rPr>
        <w:t xml:space="preserve">Australian Human Rights </w:t>
      </w:r>
      <w:r w:rsidR="009F0915" w:rsidRPr="0090470E">
        <w:rPr>
          <w:rFonts w:cs="Arial"/>
          <w:bCs/>
          <w:lang w:val="en-US"/>
        </w:rPr>
        <w:t>Commission</w:t>
      </w:r>
    </w:p>
    <w:p w14:paraId="1746E6FF" w14:textId="77777777" w:rsidR="00C90F62" w:rsidRDefault="00C90F62" w:rsidP="00C90F62">
      <w:pPr>
        <w:rPr>
          <w:rFonts w:cs="Arial"/>
          <w:lang w:val="en-US"/>
        </w:rPr>
      </w:pPr>
    </w:p>
    <w:p w14:paraId="16188B86" w14:textId="77777777" w:rsidR="00C1439D" w:rsidRDefault="0034299A" w:rsidP="00C1439D">
      <w:pPr>
        <w:spacing w:after="120"/>
        <w:rPr>
          <w:rFonts w:cs="Arial"/>
          <w:szCs w:val="24"/>
        </w:rPr>
      </w:pPr>
      <w:r>
        <w:rPr>
          <w:rFonts w:cs="Arial"/>
          <w:szCs w:val="24"/>
        </w:rPr>
        <w:t>Novembe</w:t>
      </w:r>
      <w:r w:rsidR="00C01DE0">
        <w:rPr>
          <w:rFonts w:cs="Arial"/>
          <w:szCs w:val="24"/>
        </w:rPr>
        <w:t>r</w:t>
      </w:r>
      <w:r w:rsidR="00562680">
        <w:rPr>
          <w:rFonts w:cs="Arial"/>
          <w:szCs w:val="24"/>
        </w:rPr>
        <w:t xml:space="preserve"> </w:t>
      </w:r>
      <w:r w:rsidR="00921406">
        <w:rPr>
          <w:rFonts w:cs="Arial"/>
          <w:szCs w:val="24"/>
        </w:rPr>
        <w:t>201</w:t>
      </w:r>
      <w:r w:rsidR="00562680">
        <w:rPr>
          <w:rFonts w:cs="Arial"/>
          <w:szCs w:val="24"/>
        </w:rPr>
        <w:t>4</w:t>
      </w:r>
    </w:p>
    <w:p w14:paraId="74C9854F" w14:textId="4FA2DBC6" w:rsidR="00E8614C" w:rsidRDefault="00E8614C">
      <w:pPr>
        <w:keepLines w:val="0"/>
        <w:rPr>
          <w:rFonts w:cs="Arial"/>
          <w:szCs w:val="24"/>
        </w:rPr>
      </w:pPr>
      <w:r>
        <w:rPr>
          <w:rFonts w:cs="Arial"/>
          <w:szCs w:val="24"/>
        </w:rPr>
        <w:br w:type="page"/>
      </w:r>
    </w:p>
    <w:p w14:paraId="35D62481" w14:textId="77777777" w:rsidR="00E8614C" w:rsidRPr="00961430" w:rsidRDefault="00E8614C" w:rsidP="00C1439D">
      <w:pPr>
        <w:spacing w:after="120"/>
        <w:rPr>
          <w:rFonts w:cs="Arial"/>
          <w:szCs w:val="24"/>
        </w:rPr>
      </w:pPr>
    </w:p>
    <w:sectPr w:rsidR="00E8614C" w:rsidRPr="00961430" w:rsidSect="00B75196">
      <w:footerReference w:type="even" r:id="rId18"/>
      <w:footerReference w:type="default" r:id="rId19"/>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FD320" w14:textId="77777777" w:rsidR="009E4BFF" w:rsidRDefault="009E4BFF" w:rsidP="00F14C6D">
      <w:r>
        <w:separator/>
      </w:r>
    </w:p>
  </w:endnote>
  <w:endnote w:type="continuationSeparator" w:id="0">
    <w:p w14:paraId="7C6490B8" w14:textId="77777777" w:rsidR="009E4BFF" w:rsidRDefault="009E4BFF" w:rsidP="00F14C6D">
      <w:r>
        <w:continuationSeparator/>
      </w:r>
    </w:p>
  </w:endnote>
  <w:endnote w:id="1">
    <w:p w14:paraId="48CD2FF3" w14:textId="77777777" w:rsidR="009E4BFF" w:rsidRPr="00726BD1" w:rsidRDefault="009E4BFF">
      <w:pPr>
        <w:pStyle w:val="EndnoteText"/>
        <w:rPr>
          <w:szCs w:val="24"/>
        </w:rPr>
      </w:pPr>
      <w:r>
        <w:rPr>
          <w:rStyle w:val="EndnoteReference"/>
        </w:rPr>
        <w:endnoteRef/>
      </w:r>
      <w:r>
        <w:t xml:space="preserve"> </w:t>
      </w:r>
      <w:r w:rsidRPr="00131CB1">
        <w:rPr>
          <w:sz w:val="20"/>
        </w:rPr>
        <w:t xml:space="preserve">Mr Tapara’s appeal against conviction and leave to appeal against his sentence was refused by the Court of Appeal of the Supreme Court of Queensland. See </w:t>
      </w:r>
      <w:r w:rsidRPr="00131CB1">
        <w:rPr>
          <w:i/>
          <w:sz w:val="20"/>
        </w:rPr>
        <w:t>R v Tapara</w:t>
      </w:r>
      <w:r w:rsidRPr="00131CB1">
        <w:rPr>
          <w:sz w:val="20"/>
        </w:rPr>
        <w:t xml:space="preserve"> [2010] QCA 320.</w:t>
      </w:r>
    </w:p>
  </w:endnote>
  <w:endnote w:id="2">
    <w:p w14:paraId="02B56A9A" w14:textId="298D475D" w:rsidR="009E4BFF" w:rsidRDefault="009E4BFF" w:rsidP="00436177">
      <w:pPr>
        <w:pStyle w:val="EndnoteText"/>
      </w:pPr>
      <w:r>
        <w:rPr>
          <w:rStyle w:val="EndnoteReference"/>
        </w:rPr>
        <w:endnoteRef/>
      </w:r>
      <w:r>
        <w:t xml:space="preserve"> </w:t>
      </w:r>
      <w:r w:rsidRPr="00131CB1">
        <w:rPr>
          <w:sz w:val="20"/>
        </w:rPr>
        <w:t xml:space="preserve">See </w:t>
      </w:r>
      <w:r w:rsidRPr="00131CB1">
        <w:rPr>
          <w:rStyle w:val="Emphasis"/>
          <w:sz w:val="20"/>
        </w:rPr>
        <w:t>Secretary, Department of Defence v HREOC, Burgess &amp; Ors</w:t>
      </w:r>
      <w:r w:rsidRPr="00131CB1">
        <w:rPr>
          <w:i/>
          <w:iCs/>
          <w:sz w:val="20"/>
        </w:rPr>
        <w:t xml:space="preserve"> </w:t>
      </w:r>
      <w:r w:rsidRPr="00131CB1">
        <w:rPr>
          <w:sz w:val="20"/>
        </w:rPr>
        <w:t>(1997) 78 FCR 208, where Branson J found that the Commission could not, in conducting its inquiry, disregard the legal obligations of the</w:t>
      </w:r>
      <w:r>
        <w:rPr>
          <w:sz w:val="20"/>
        </w:rPr>
        <w:t xml:space="preserve"> </w:t>
      </w:r>
      <w:r w:rsidRPr="00131CB1">
        <w:rPr>
          <w:sz w:val="20"/>
        </w:rPr>
        <w:t>secretary in exercising a statutory power. Note in particular 212-3 and 214-5</w:t>
      </w:r>
      <w:r>
        <w:t>.</w:t>
      </w:r>
    </w:p>
  </w:endnote>
  <w:endnote w:id="3">
    <w:p w14:paraId="04C749F3" w14:textId="3C6D1238" w:rsidR="009E4BFF" w:rsidRDefault="009E4BFF" w:rsidP="0085458C">
      <w:pPr>
        <w:pStyle w:val="EndnoteText"/>
      </w:pPr>
      <w:r>
        <w:rPr>
          <w:rStyle w:val="EndnoteReference"/>
        </w:rPr>
        <w:endnoteRef/>
      </w:r>
      <w:r>
        <w:t xml:space="preserve"> </w:t>
      </w:r>
      <w:r w:rsidRPr="00131CB1">
        <w:rPr>
          <w:i/>
          <w:sz w:val="20"/>
        </w:rPr>
        <w:t>Migration Act 1958</w:t>
      </w:r>
      <w:r>
        <w:rPr>
          <w:sz w:val="20"/>
        </w:rPr>
        <w:t xml:space="preserve"> (Cth)</w:t>
      </w:r>
      <w:r w:rsidRPr="00131CB1">
        <w:rPr>
          <w:sz w:val="20"/>
        </w:rPr>
        <w:t xml:space="preserve"> s 5.</w:t>
      </w:r>
    </w:p>
  </w:endnote>
  <w:endnote w:id="4">
    <w:p w14:paraId="6C6CA500" w14:textId="2BF778E7" w:rsidR="009E4BFF" w:rsidRPr="00361719" w:rsidRDefault="009E4BFF" w:rsidP="00BB0546">
      <w:pPr>
        <w:pStyle w:val="EndnoteText"/>
        <w:rPr>
          <w:rFonts w:cs="Arial"/>
        </w:rPr>
      </w:pPr>
      <w:r w:rsidRPr="00361719">
        <w:rPr>
          <w:rStyle w:val="EndnoteReference"/>
          <w:rFonts w:cs="Arial"/>
        </w:rPr>
        <w:endnoteRef/>
      </w:r>
      <w:r w:rsidRPr="00361719">
        <w:rPr>
          <w:rFonts w:cs="Arial"/>
        </w:rPr>
        <w:t xml:space="preserve"> </w:t>
      </w:r>
      <w:r w:rsidRPr="00131CB1">
        <w:rPr>
          <w:rFonts w:cs="Arial"/>
          <w:sz w:val="20"/>
        </w:rPr>
        <w:t xml:space="preserve">UN Human Rights Committee, General Comment 8 (1982) </w:t>
      </w:r>
      <w:r w:rsidRPr="00131CB1">
        <w:rPr>
          <w:rStyle w:val="EndnoteReference"/>
          <w:i/>
          <w:vertAlign w:val="baseline"/>
        </w:rPr>
        <w:t>Right to liberty and security of persons (Article 9)</w:t>
      </w:r>
      <w:r w:rsidRPr="00131CB1">
        <w:rPr>
          <w:rFonts w:cs="Arial"/>
          <w:sz w:val="20"/>
        </w:rPr>
        <w:t xml:space="preserve">. See also </w:t>
      </w:r>
      <w:r w:rsidRPr="00131CB1">
        <w:rPr>
          <w:rFonts w:cs="Arial"/>
          <w:i/>
          <w:sz w:val="20"/>
        </w:rPr>
        <w:t>A v Australia</w:t>
      </w:r>
      <w:r w:rsidRPr="00131CB1">
        <w:rPr>
          <w:rFonts w:cs="Arial"/>
          <w:sz w:val="20"/>
        </w:rPr>
        <w:t xml:space="preserve"> [1997] UNHRC 7, UN Doc CCPR/C/59/D/560/1993; </w:t>
      </w:r>
      <w:r w:rsidRPr="00131CB1">
        <w:rPr>
          <w:rFonts w:cs="Arial"/>
          <w:i/>
          <w:sz w:val="20"/>
        </w:rPr>
        <w:t>C v Australia</w:t>
      </w:r>
      <w:r w:rsidRPr="00131CB1">
        <w:rPr>
          <w:rFonts w:cs="Arial"/>
          <w:sz w:val="20"/>
        </w:rPr>
        <w:t xml:space="preserve"> [2002] UNHRC 52, UN Doc CCPR/C/76/D/900/1999; </w:t>
      </w:r>
      <w:r w:rsidRPr="00131CB1">
        <w:rPr>
          <w:rFonts w:cs="Arial"/>
          <w:i/>
          <w:sz w:val="20"/>
        </w:rPr>
        <w:t>Baban v Australia</w:t>
      </w:r>
      <w:r w:rsidRPr="00131CB1">
        <w:rPr>
          <w:rFonts w:cs="Arial"/>
          <w:sz w:val="20"/>
        </w:rPr>
        <w:t xml:space="preserve"> [2003] UNHRC 22, UN Doc</w:t>
      </w:r>
      <w:r>
        <w:rPr>
          <w:rFonts w:cs="Arial"/>
          <w:sz w:val="20"/>
        </w:rPr>
        <w:t xml:space="preserve"> </w:t>
      </w:r>
      <w:r w:rsidRPr="00131CB1">
        <w:rPr>
          <w:rFonts w:cs="Arial"/>
          <w:sz w:val="20"/>
        </w:rPr>
        <w:t>CCPR/C/78/D/1014/2001</w:t>
      </w:r>
      <w:r w:rsidRPr="00361719">
        <w:rPr>
          <w:rFonts w:cs="Arial"/>
        </w:rPr>
        <w:t>.</w:t>
      </w:r>
    </w:p>
  </w:endnote>
  <w:endnote w:id="5">
    <w:p w14:paraId="1F02EAE7" w14:textId="59B437B3" w:rsidR="009E4BFF" w:rsidRDefault="009E4BFF" w:rsidP="00BB0546">
      <w:pPr>
        <w:pStyle w:val="EndnoteText"/>
      </w:pPr>
      <w:r>
        <w:rPr>
          <w:rStyle w:val="EndnoteReference"/>
        </w:rPr>
        <w:endnoteRef/>
      </w:r>
      <w:r>
        <w:t xml:space="preserve"> </w:t>
      </w:r>
      <w:r w:rsidRPr="00131CB1">
        <w:rPr>
          <w:sz w:val="20"/>
        </w:rPr>
        <w:t>UN Human Rights Committe</w:t>
      </w:r>
      <w:r>
        <w:rPr>
          <w:sz w:val="20"/>
        </w:rPr>
        <w:t xml:space="preserve">e, General Comment 31 (2004) </w:t>
      </w:r>
      <w:r w:rsidRPr="00131CB1">
        <w:rPr>
          <w:sz w:val="20"/>
        </w:rPr>
        <w:t xml:space="preserve">[6]. See also </w:t>
      </w:r>
      <w:r>
        <w:rPr>
          <w:sz w:val="20"/>
        </w:rPr>
        <w:t xml:space="preserve">S </w:t>
      </w:r>
      <w:r w:rsidRPr="00131CB1">
        <w:rPr>
          <w:sz w:val="20"/>
        </w:rPr>
        <w:t xml:space="preserve">Joseph, </w:t>
      </w:r>
      <w:r>
        <w:rPr>
          <w:sz w:val="20"/>
        </w:rPr>
        <w:t xml:space="preserve">J </w:t>
      </w:r>
      <w:r w:rsidRPr="00131CB1">
        <w:rPr>
          <w:sz w:val="20"/>
        </w:rPr>
        <w:t xml:space="preserve">Schultz and </w:t>
      </w:r>
      <w:r>
        <w:rPr>
          <w:sz w:val="20"/>
        </w:rPr>
        <w:t xml:space="preserve">M </w:t>
      </w:r>
      <w:r w:rsidRPr="00131CB1">
        <w:rPr>
          <w:sz w:val="20"/>
        </w:rPr>
        <w:t xml:space="preserve">Castan </w:t>
      </w:r>
      <w:r w:rsidRPr="009E4BFF">
        <w:rPr>
          <w:i/>
          <w:sz w:val="20"/>
        </w:rPr>
        <w:t>The International Covenant on Civil and Political Rights Cases, Materials and Commentary</w:t>
      </w:r>
      <w:r>
        <w:rPr>
          <w:sz w:val="20"/>
        </w:rPr>
        <w:t xml:space="preserve"> (Oxford University Press, 2nd ed, 2004) 308 </w:t>
      </w:r>
      <w:r w:rsidRPr="00131CB1">
        <w:rPr>
          <w:sz w:val="20"/>
        </w:rPr>
        <w:t>[11.10].</w:t>
      </w:r>
    </w:p>
  </w:endnote>
  <w:endnote w:id="6">
    <w:p w14:paraId="4DFA587D" w14:textId="71C9BECB" w:rsidR="009E4BFF" w:rsidRPr="00361719" w:rsidRDefault="009E4BFF" w:rsidP="006C72A9">
      <w:pPr>
        <w:pStyle w:val="EndnoteText"/>
        <w:rPr>
          <w:rFonts w:cs="Arial"/>
        </w:rPr>
      </w:pPr>
      <w:r w:rsidRPr="00361719">
        <w:rPr>
          <w:rStyle w:val="EndnoteReference"/>
          <w:rFonts w:cs="Arial"/>
        </w:rPr>
        <w:endnoteRef/>
      </w:r>
      <w:r w:rsidRPr="00361719">
        <w:rPr>
          <w:rFonts w:cs="Arial"/>
        </w:rPr>
        <w:t xml:space="preserve"> </w:t>
      </w:r>
      <w:r w:rsidRPr="00131CB1">
        <w:rPr>
          <w:rFonts w:cs="Arial"/>
          <w:i/>
          <w:sz w:val="20"/>
        </w:rPr>
        <w:t xml:space="preserve">Manga v Attorney-General </w:t>
      </w:r>
      <w:r w:rsidRPr="00131CB1">
        <w:rPr>
          <w:rFonts w:cs="Arial"/>
          <w:sz w:val="20"/>
        </w:rPr>
        <w:t>[2000] 2 NZLR 65</w:t>
      </w:r>
      <w:r>
        <w:rPr>
          <w:rFonts w:cs="Arial"/>
          <w:sz w:val="20"/>
        </w:rPr>
        <w:t>,</w:t>
      </w:r>
      <w:r w:rsidRPr="00131CB1">
        <w:rPr>
          <w:rFonts w:cs="Arial"/>
          <w:sz w:val="20"/>
        </w:rPr>
        <w:t xml:space="preserve"> [40]-[42], (Hammond J). See also the views of the UN Human Rights Committee in </w:t>
      </w:r>
      <w:r w:rsidRPr="00131CB1">
        <w:rPr>
          <w:rFonts w:cs="Arial"/>
          <w:i/>
          <w:sz w:val="20"/>
        </w:rPr>
        <w:t xml:space="preserve">Van Alphen v The Netherlands </w:t>
      </w:r>
      <w:r w:rsidRPr="00131CB1">
        <w:rPr>
          <w:rFonts w:cs="Arial"/>
          <w:sz w:val="20"/>
        </w:rPr>
        <w:t xml:space="preserve">[1990] UNHRC 22, UN Doc CCPR/C/39/D/305/1988; </w:t>
      </w:r>
      <w:r w:rsidRPr="00131CB1">
        <w:rPr>
          <w:rFonts w:cs="Arial"/>
          <w:i/>
          <w:sz w:val="20"/>
        </w:rPr>
        <w:t xml:space="preserve">A v Australia </w:t>
      </w:r>
      <w:r w:rsidRPr="00131CB1">
        <w:rPr>
          <w:rFonts w:cs="Arial"/>
          <w:sz w:val="20"/>
        </w:rPr>
        <w:t>[1997] UNHRC 7, UN Doc CCPR/C/59/D/560/1993;</w:t>
      </w:r>
      <w:r w:rsidRPr="00131CB1">
        <w:rPr>
          <w:rFonts w:cs="Arial"/>
          <w:i/>
          <w:sz w:val="20"/>
        </w:rPr>
        <w:t xml:space="preserve"> Spakmo v Norway</w:t>
      </w:r>
      <w:r w:rsidRPr="00131CB1">
        <w:rPr>
          <w:rFonts w:cs="Arial"/>
          <w:sz w:val="20"/>
        </w:rPr>
        <w:t xml:space="preserve"> [1999] UNHRC 42, UN Doc CCPR/C/67/D/631/1995.</w:t>
      </w:r>
      <w:r w:rsidRPr="00361719">
        <w:rPr>
          <w:rFonts w:cs="Arial"/>
        </w:rPr>
        <w:t xml:space="preserve"> </w:t>
      </w:r>
    </w:p>
  </w:endnote>
  <w:endnote w:id="7">
    <w:p w14:paraId="18219292" w14:textId="2DB02038" w:rsidR="009E4BFF" w:rsidRPr="00361719" w:rsidRDefault="009E4BFF" w:rsidP="000A7634">
      <w:pPr>
        <w:pStyle w:val="EndnoteText"/>
        <w:rPr>
          <w:rFonts w:cs="Arial"/>
        </w:rPr>
      </w:pPr>
      <w:r w:rsidRPr="00361719">
        <w:rPr>
          <w:rStyle w:val="EndnoteReference"/>
          <w:rFonts w:cs="Arial"/>
        </w:rPr>
        <w:endnoteRef/>
      </w:r>
      <w:r w:rsidRPr="00361719">
        <w:rPr>
          <w:rFonts w:cs="Arial"/>
        </w:rPr>
        <w:t xml:space="preserve"> </w:t>
      </w:r>
      <w:r w:rsidRPr="00131CB1">
        <w:rPr>
          <w:rFonts w:cs="Arial"/>
          <w:i/>
          <w:sz w:val="20"/>
        </w:rPr>
        <w:t>A v Australia</w:t>
      </w:r>
      <w:r w:rsidRPr="00131CB1">
        <w:rPr>
          <w:rFonts w:cs="Arial"/>
          <w:sz w:val="20"/>
        </w:rPr>
        <w:t xml:space="preserve"> [1997] UNHRC 7, UN Doc CCPR/C/76/D/900/1993</w:t>
      </w:r>
      <w:r w:rsidRPr="00131CB1">
        <w:rPr>
          <w:rFonts w:cs="Arial"/>
          <w:i/>
          <w:sz w:val="20"/>
        </w:rPr>
        <w:t xml:space="preserve"> </w:t>
      </w:r>
      <w:r w:rsidRPr="00131CB1">
        <w:rPr>
          <w:rFonts w:cs="Arial"/>
          <w:sz w:val="20"/>
        </w:rPr>
        <w:t xml:space="preserve">(the fact that the author may abscond if released into the community was not </w:t>
      </w:r>
      <w:r>
        <w:rPr>
          <w:rFonts w:cs="Arial"/>
          <w:sz w:val="20"/>
        </w:rPr>
        <w:t xml:space="preserve">a </w:t>
      </w:r>
      <w:r w:rsidRPr="00131CB1">
        <w:rPr>
          <w:rFonts w:cs="Arial"/>
          <w:sz w:val="20"/>
        </w:rPr>
        <w:t>sufficient reason to justify holding the author in immigration detention for four years);</w:t>
      </w:r>
      <w:r w:rsidRPr="00131CB1">
        <w:rPr>
          <w:rFonts w:cs="Arial"/>
          <w:i/>
          <w:sz w:val="20"/>
        </w:rPr>
        <w:t xml:space="preserve"> C v Australia </w:t>
      </w:r>
      <w:r w:rsidRPr="00131CB1">
        <w:rPr>
          <w:rFonts w:cs="Arial"/>
          <w:sz w:val="20"/>
        </w:rPr>
        <w:t>[2002] UNHRC 52, UN Doc CCPR/C/76/D/900/1999</w:t>
      </w:r>
      <w:r w:rsidRPr="00361719">
        <w:rPr>
          <w:rFonts w:cs="Arial"/>
        </w:rPr>
        <w:t>.</w:t>
      </w:r>
    </w:p>
  </w:endnote>
  <w:endnote w:id="8">
    <w:p w14:paraId="5B00B8BD" w14:textId="77777777" w:rsidR="009E4BFF" w:rsidRPr="00131CB1" w:rsidRDefault="009E4BFF" w:rsidP="000A7634">
      <w:pPr>
        <w:pStyle w:val="EndnoteText"/>
        <w:ind w:left="567" w:hanging="567"/>
        <w:rPr>
          <w:rFonts w:cs="Arial"/>
          <w:sz w:val="20"/>
        </w:rPr>
      </w:pPr>
      <w:r w:rsidRPr="00361719">
        <w:rPr>
          <w:rStyle w:val="EndnoteReference"/>
          <w:rFonts w:cs="Arial"/>
        </w:rPr>
        <w:endnoteRef/>
      </w:r>
      <w:r w:rsidRPr="00361719">
        <w:rPr>
          <w:rFonts w:cs="Arial"/>
        </w:rPr>
        <w:t xml:space="preserve"> </w:t>
      </w:r>
      <w:r w:rsidRPr="00131CB1">
        <w:rPr>
          <w:rFonts w:cs="Arial"/>
          <w:i/>
          <w:sz w:val="20"/>
        </w:rPr>
        <w:t xml:space="preserve">Van Alphen v The Netherlands </w:t>
      </w:r>
      <w:r w:rsidRPr="00131CB1">
        <w:rPr>
          <w:rFonts w:cs="Arial"/>
          <w:sz w:val="20"/>
        </w:rPr>
        <w:t>[1990] UNHRC 22, UN Doc CCPR/C/39/D/305/1988.</w:t>
      </w:r>
    </w:p>
  </w:endnote>
  <w:endnote w:id="9">
    <w:p w14:paraId="45BC125C" w14:textId="77777777" w:rsidR="009E4BFF" w:rsidRPr="00361719" w:rsidRDefault="009E4BFF" w:rsidP="000A7634">
      <w:pPr>
        <w:pStyle w:val="EndnoteText"/>
        <w:rPr>
          <w:rFonts w:cs="Arial"/>
        </w:rPr>
      </w:pPr>
      <w:r w:rsidRPr="00131CB1">
        <w:rPr>
          <w:rStyle w:val="EndnoteReference"/>
          <w:rFonts w:cs="Arial"/>
        </w:rPr>
        <w:endnoteRef/>
      </w:r>
      <w:r w:rsidRPr="00131CB1">
        <w:rPr>
          <w:rFonts w:cs="Arial"/>
          <w:sz w:val="20"/>
        </w:rPr>
        <w:t xml:space="preserve"> </w:t>
      </w:r>
      <w:r w:rsidRPr="00131CB1">
        <w:rPr>
          <w:rFonts w:cs="Arial"/>
          <w:i/>
          <w:sz w:val="20"/>
        </w:rPr>
        <w:t>C v Australia</w:t>
      </w:r>
      <w:r w:rsidRPr="00131CB1">
        <w:rPr>
          <w:rFonts w:cs="Arial"/>
          <w:sz w:val="20"/>
        </w:rPr>
        <w:t xml:space="preserve"> [2002] UNHRC 52, UN Doc CCPR/C/76/D/900/1999; </w:t>
      </w:r>
      <w:r w:rsidRPr="00131CB1">
        <w:rPr>
          <w:rFonts w:cs="Arial"/>
          <w:i/>
          <w:sz w:val="20"/>
        </w:rPr>
        <w:t>Shams &amp; Ors v Australia</w:t>
      </w:r>
      <w:r w:rsidRPr="00131CB1">
        <w:rPr>
          <w:rFonts w:cs="Arial"/>
          <w:sz w:val="20"/>
        </w:rPr>
        <w:t xml:space="preserve"> [2007] UNHRC 73, UN Doc CCPR/C/90/D/1255/2004; </w:t>
      </w:r>
      <w:r w:rsidRPr="00131CB1">
        <w:rPr>
          <w:rFonts w:cs="Arial"/>
          <w:i/>
          <w:sz w:val="20"/>
        </w:rPr>
        <w:t>Baban v Australia</w:t>
      </w:r>
      <w:r w:rsidRPr="00131CB1">
        <w:rPr>
          <w:rFonts w:cs="Arial"/>
          <w:sz w:val="20"/>
        </w:rPr>
        <w:t xml:space="preserve"> [2003] UNHRC 22, CCPR/C/78/D/1014/2001;</w:t>
      </w:r>
      <w:r w:rsidRPr="00131CB1">
        <w:rPr>
          <w:rFonts w:cs="Arial"/>
          <w:i/>
          <w:sz w:val="20"/>
        </w:rPr>
        <w:t xml:space="preserve"> D and E v Australia </w:t>
      </w:r>
      <w:r w:rsidRPr="00131CB1">
        <w:rPr>
          <w:rFonts w:cs="Arial"/>
          <w:sz w:val="20"/>
        </w:rPr>
        <w:t>[2006] UNHRC 32,</w:t>
      </w:r>
      <w:r w:rsidRPr="00131CB1">
        <w:rPr>
          <w:rFonts w:cs="Arial"/>
          <w:i/>
          <w:sz w:val="20"/>
        </w:rPr>
        <w:t xml:space="preserve"> </w:t>
      </w:r>
      <w:r w:rsidRPr="00131CB1">
        <w:rPr>
          <w:rFonts w:cs="Arial"/>
          <w:sz w:val="20"/>
        </w:rPr>
        <w:t>CCPR/C/87/D/1050/2002.</w:t>
      </w:r>
    </w:p>
  </w:endnote>
  <w:endnote w:id="10">
    <w:p w14:paraId="5B193C3F" w14:textId="77777777" w:rsidR="009E4BFF" w:rsidRPr="00131CB1" w:rsidRDefault="009E4BFF">
      <w:pPr>
        <w:pStyle w:val="EndnoteText"/>
        <w:rPr>
          <w:sz w:val="20"/>
        </w:rPr>
      </w:pPr>
      <w:r>
        <w:rPr>
          <w:rStyle w:val="EndnoteReference"/>
        </w:rPr>
        <w:endnoteRef/>
      </w:r>
      <w:r>
        <w:t xml:space="preserve"> </w:t>
      </w:r>
      <w:r w:rsidRPr="00131CB1">
        <w:rPr>
          <w:i/>
          <w:sz w:val="20"/>
        </w:rPr>
        <w:t xml:space="preserve">Re NZA v Minister for Immigration and Citizenship </w:t>
      </w:r>
      <w:r w:rsidRPr="00131CB1">
        <w:rPr>
          <w:sz w:val="20"/>
        </w:rPr>
        <w:t>[2011] AATA 928, [23].</w:t>
      </w:r>
    </w:p>
  </w:endnote>
  <w:endnote w:id="11">
    <w:p w14:paraId="72291B25" w14:textId="77777777" w:rsidR="009E4BFF" w:rsidRDefault="009E4BFF">
      <w:pPr>
        <w:pStyle w:val="EndnoteText"/>
      </w:pPr>
      <w:r>
        <w:rPr>
          <w:rStyle w:val="EndnoteReference"/>
        </w:rPr>
        <w:endnoteRef/>
      </w:r>
      <w:r>
        <w:t xml:space="preserve"> </w:t>
      </w:r>
      <w:r w:rsidRPr="00131CB1">
        <w:rPr>
          <w:i/>
          <w:sz w:val="20"/>
        </w:rPr>
        <w:t xml:space="preserve">Re NZA v Minister for Immigration and Citizenship </w:t>
      </w:r>
      <w:r w:rsidRPr="00131CB1">
        <w:rPr>
          <w:sz w:val="20"/>
        </w:rPr>
        <w:t>[2011] AATA 928, [17].</w:t>
      </w:r>
    </w:p>
  </w:endnote>
  <w:endnote w:id="12">
    <w:p w14:paraId="2E03479D" w14:textId="1FAFDC38" w:rsidR="009E4BFF" w:rsidRDefault="009E4BFF">
      <w:pPr>
        <w:pStyle w:val="EndnoteText"/>
      </w:pPr>
      <w:r>
        <w:rPr>
          <w:rStyle w:val="EndnoteReference"/>
        </w:rPr>
        <w:endnoteRef/>
      </w:r>
      <w:r>
        <w:t xml:space="preserve"> </w:t>
      </w:r>
      <w:r w:rsidRPr="00131CB1">
        <w:rPr>
          <w:i/>
          <w:sz w:val="20"/>
        </w:rPr>
        <w:t xml:space="preserve">Re NZA v Minister for Immigration and Citizenship </w:t>
      </w:r>
      <w:r w:rsidRPr="00131CB1">
        <w:rPr>
          <w:sz w:val="20"/>
        </w:rPr>
        <w:t xml:space="preserve">[2011] AATA 928, </w:t>
      </w:r>
      <w:r>
        <w:rPr>
          <w:sz w:val="20"/>
        </w:rPr>
        <w:t>[</w:t>
      </w:r>
      <w:r w:rsidRPr="00131CB1">
        <w:rPr>
          <w:sz w:val="20"/>
        </w:rPr>
        <w:t>18</w:t>
      </w:r>
      <w:r>
        <w:rPr>
          <w:sz w:val="20"/>
        </w:rPr>
        <w:t>]</w:t>
      </w:r>
      <w:r w:rsidRPr="00131CB1">
        <w:rPr>
          <w:sz w:val="20"/>
        </w:rPr>
        <w:t>.</w:t>
      </w:r>
    </w:p>
  </w:endnote>
  <w:endnote w:id="13">
    <w:p w14:paraId="4EDF1E89" w14:textId="38A01C79" w:rsidR="009E4BFF" w:rsidRDefault="009E4BFF" w:rsidP="008A4F58">
      <w:pPr>
        <w:pStyle w:val="EndnoteText"/>
      </w:pPr>
      <w:r>
        <w:rPr>
          <w:rStyle w:val="EndnoteReference"/>
        </w:rPr>
        <w:endnoteRef/>
      </w:r>
      <w:r>
        <w:t xml:space="preserve"> </w:t>
      </w:r>
      <w:r w:rsidRPr="00131CB1">
        <w:rPr>
          <w:sz w:val="20"/>
        </w:rPr>
        <w:t xml:space="preserve">Australian Human Rights Commission, </w:t>
      </w:r>
      <w:r w:rsidRPr="00131CB1">
        <w:rPr>
          <w:rFonts w:cs="Arial"/>
          <w:i/>
          <w:sz w:val="20"/>
        </w:rPr>
        <w:t>Complaint by Mr Huong Nguyen and Mr Austin Okoye against the Commonwealth of Australia and GSL (Australia)</w:t>
      </w:r>
      <w:r>
        <w:rPr>
          <w:rFonts w:cs="Arial"/>
          <w:i/>
          <w:sz w:val="20"/>
        </w:rPr>
        <w:t xml:space="preserve"> </w:t>
      </w:r>
      <w:r w:rsidRPr="00131CB1">
        <w:rPr>
          <w:rFonts w:cs="Arial"/>
          <w:i/>
          <w:sz w:val="20"/>
        </w:rPr>
        <w:t xml:space="preserve">Pty Ltd </w:t>
      </w:r>
      <w:r w:rsidRPr="00131CB1">
        <w:rPr>
          <w:rFonts w:cs="Arial"/>
          <w:sz w:val="20"/>
        </w:rPr>
        <w:t>[2007] AusHRC 39, [80]-[88].</w:t>
      </w:r>
    </w:p>
  </w:endnote>
  <w:endnote w:id="14">
    <w:p w14:paraId="568C044A" w14:textId="720B2479" w:rsidR="009E4BFF" w:rsidRPr="00E8614C" w:rsidRDefault="009E4BFF" w:rsidP="008A4F58">
      <w:pPr>
        <w:pStyle w:val="EndnoteText"/>
        <w:rPr>
          <w:rFonts w:cs="Arial"/>
          <w:color w:val="000000"/>
          <w:sz w:val="20"/>
        </w:rPr>
      </w:pPr>
      <w:r>
        <w:rPr>
          <w:rStyle w:val="EndnoteReference"/>
        </w:rPr>
        <w:endnoteRef/>
      </w:r>
      <w:r>
        <w:t xml:space="preserve"> </w:t>
      </w:r>
      <w:r w:rsidRPr="00131CB1">
        <w:rPr>
          <w:rStyle w:val="black1"/>
          <w:rFonts w:cs="Arial"/>
          <w:sz w:val="20"/>
        </w:rPr>
        <w:t xml:space="preserve">United Nations Human Rights Committee, General Comment 16 (Thirty-second session, 1988), Compilation of General comments and General Recommendations Adopted by </w:t>
      </w:r>
      <w:r>
        <w:rPr>
          <w:rStyle w:val="black1"/>
          <w:rFonts w:cs="Arial"/>
          <w:sz w:val="20"/>
        </w:rPr>
        <w:t>Human Rights Treaty Bodies, UN Doc HRI/GEN/1/Rev.6 (2003) 142 (t</w:t>
      </w:r>
      <w:r w:rsidRPr="00131CB1">
        <w:rPr>
          <w:rStyle w:val="black1"/>
          <w:rFonts w:cs="Arial"/>
          <w:sz w:val="20"/>
        </w:rPr>
        <w:t>he right to respect of privacy, family, home and correspondence, and protection of honour and reputation)</w:t>
      </w:r>
      <w:r w:rsidR="00B20FD8">
        <w:rPr>
          <w:rStyle w:val="black1"/>
          <w:rFonts w:cs="Arial"/>
          <w:sz w:val="20"/>
        </w:rPr>
        <w:t>,</w:t>
      </w:r>
      <w:r w:rsidRPr="00131CB1">
        <w:rPr>
          <w:rStyle w:val="black1"/>
          <w:rFonts w:cs="Arial"/>
          <w:sz w:val="20"/>
        </w:rPr>
        <w:t xml:space="preserve"> [4]</w:t>
      </w:r>
      <w:r>
        <w:rPr>
          <w:rStyle w:val="black1"/>
          <w:rFonts w:cs="Arial"/>
          <w:sz w:val="20"/>
        </w:rPr>
        <w:t>.</w:t>
      </w:r>
    </w:p>
  </w:endnote>
  <w:endnote w:id="15">
    <w:p w14:paraId="5D828F8A" w14:textId="72E4D2B8" w:rsidR="009E4BFF" w:rsidRPr="00E8614C" w:rsidRDefault="009E4BFF" w:rsidP="008A4F58">
      <w:pPr>
        <w:pStyle w:val="FootnoteText"/>
        <w:rPr>
          <w:rFonts w:cs="Arial"/>
          <w:sz w:val="20"/>
        </w:rPr>
      </w:pPr>
      <w:r>
        <w:rPr>
          <w:rStyle w:val="EndnoteReference"/>
        </w:rPr>
        <w:endnoteRef/>
      </w:r>
      <w:r>
        <w:t xml:space="preserve"> </w:t>
      </w:r>
      <w:r w:rsidRPr="00131CB1">
        <w:rPr>
          <w:i/>
          <w:sz w:val="20"/>
        </w:rPr>
        <w:t>Toonen v Australia</w:t>
      </w:r>
      <w:r w:rsidRPr="00131CB1">
        <w:rPr>
          <w:rFonts w:cs="Arial"/>
          <w:sz w:val="20"/>
        </w:rPr>
        <w:t xml:space="preserve"> Communication No. 488/1992 UN Doc CCPR/C/50/D/488/1992</w:t>
      </w:r>
      <w:r>
        <w:rPr>
          <w:rFonts w:cs="Arial"/>
          <w:sz w:val="20"/>
        </w:rPr>
        <w:t>,</w:t>
      </w:r>
      <w:r w:rsidRPr="00131CB1">
        <w:rPr>
          <w:rFonts w:cs="Arial"/>
          <w:sz w:val="20"/>
        </w:rPr>
        <w:t xml:space="preserve"> [8.3]. Whilst this case concerned a breach of article 17(1) in relation to privacy, these comments would apply equally to an arbitrary interference with family.</w:t>
      </w:r>
    </w:p>
  </w:endnote>
  <w:endnote w:id="16">
    <w:p w14:paraId="1F58810B" w14:textId="00B9552E" w:rsidR="009E4BFF" w:rsidRDefault="009E4BFF" w:rsidP="00DC1CE6">
      <w:pPr>
        <w:pStyle w:val="EndnoteText"/>
      </w:pPr>
      <w:r>
        <w:rPr>
          <w:rStyle w:val="EndnoteReference"/>
        </w:rPr>
        <w:endnoteRef/>
      </w:r>
      <w:r>
        <w:t xml:space="preserve"> </w:t>
      </w:r>
      <w:r w:rsidRPr="00131CB1">
        <w:rPr>
          <w:sz w:val="20"/>
        </w:rPr>
        <w:t xml:space="preserve">S Joseph and M Castan, </w:t>
      </w:r>
      <w:r w:rsidRPr="009E4BFF">
        <w:rPr>
          <w:i/>
          <w:sz w:val="20"/>
        </w:rPr>
        <w:t>The International Covenant on Civil and Political Rights Cases, Materials and Commentary</w:t>
      </w:r>
      <w:r w:rsidRPr="00131CB1">
        <w:rPr>
          <w:sz w:val="20"/>
        </w:rPr>
        <w:t>, (Oxford University Press</w:t>
      </w:r>
      <w:r>
        <w:rPr>
          <w:sz w:val="20"/>
        </w:rPr>
        <w:t>,</w:t>
      </w:r>
      <w:r w:rsidRPr="00131CB1">
        <w:rPr>
          <w:sz w:val="20"/>
        </w:rPr>
        <w:t xml:space="preserve"> 3</w:t>
      </w:r>
      <w:r w:rsidRPr="00131CB1">
        <w:rPr>
          <w:sz w:val="20"/>
          <w:vertAlign w:val="superscript"/>
        </w:rPr>
        <w:t>rd</w:t>
      </w:r>
      <w:r w:rsidRPr="00131CB1">
        <w:rPr>
          <w:sz w:val="20"/>
        </w:rPr>
        <w:t xml:space="preserve"> ed, 2013</w:t>
      </w:r>
      <w:r>
        <w:rPr>
          <w:sz w:val="20"/>
        </w:rPr>
        <w:t xml:space="preserve">) </w:t>
      </w:r>
      <w:r w:rsidRPr="00131CB1">
        <w:rPr>
          <w:sz w:val="20"/>
        </w:rPr>
        <w:t>668</w:t>
      </w:r>
      <w:r>
        <w:rPr>
          <w:sz w:val="20"/>
        </w:rPr>
        <w:t>,</w:t>
      </w:r>
      <w:r w:rsidRPr="00131CB1">
        <w:rPr>
          <w:sz w:val="20"/>
        </w:rPr>
        <w:t xml:space="preserve"> [20.06].</w:t>
      </w:r>
    </w:p>
  </w:endnote>
  <w:endnote w:id="17">
    <w:p w14:paraId="215B4DC7" w14:textId="77777777" w:rsidR="009E4BFF" w:rsidRDefault="009E4BFF" w:rsidP="00DC1CE6">
      <w:pPr>
        <w:pStyle w:val="EndnoteText"/>
      </w:pPr>
      <w:r>
        <w:rPr>
          <w:rStyle w:val="EndnoteReference"/>
        </w:rPr>
        <w:endnoteRef/>
      </w:r>
      <w:r>
        <w:t xml:space="preserve"> </w:t>
      </w:r>
      <w:r w:rsidRPr="00131CB1">
        <w:rPr>
          <w:i/>
          <w:sz w:val="20"/>
        </w:rPr>
        <w:t>Balaguer Santacana v Spain</w:t>
      </w:r>
      <w:r w:rsidRPr="00131CB1">
        <w:rPr>
          <w:sz w:val="20"/>
        </w:rPr>
        <w:t>, Communication No. 417 of 1990, UN Doc CCPR/C/51/D/417/1990.</w:t>
      </w:r>
    </w:p>
  </w:endnote>
  <w:endnote w:id="18">
    <w:p w14:paraId="46C38969" w14:textId="77777777" w:rsidR="009E4BFF" w:rsidRDefault="009E4BFF" w:rsidP="00DC1CE6">
      <w:pPr>
        <w:pStyle w:val="EndnoteText"/>
      </w:pPr>
      <w:r>
        <w:rPr>
          <w:rStyle w:val="EndnoteReference"/>
        </w:rPr>
        <w:endnoteRef/>
      </w:r>
      <w:r>
        <w:t xml:space="preserve"> </w:t>
      </w:r>
      <w:r w:rsidRPr="00131CB1">
        <w:rPr>
          <w:sz w:val="20"/>
        </w:rPr>
        <w:t>Communiciation No.1179 of 2003, UN Doc CCPR/C/81/D/1179/2003, [6.4].</w:t>
      </w:r>
    </w:p>
  </w:endnote>
  <w:endnote w:id="19">
    <w:p w14:paraId="567B4ADF" w14:textId="77777777" w:rsidR="009E4BFF" w:rsidRDefault="009E4BFF">
      <w:pPr>
        <w:pStyle w:val="EndnoteText"/>
      </w:pPr>
      <w:r>
        <w:rPr>
          <w:rStyle w:val="EndnoteReference"/>
        </w:rPr>
        <w:endnoteRef/>
      </w:r>
      <w:r>
        <w:t xml:space="preserve"> </w:t>
      </w:r>
      <w:r w:rsidRPr="00131CB1">
        <w:rPr>
          <w:sz w:val="20"/>
        </w:rPr>
        <w:t>Communication No. 1792 of 2008, UN Doc CCPR/C/96/D/1792/2008.</w:t>
      </w:r>
    </w:p>
  </w:endnote>
  <w:endnote w:id="20">
    <w:p w14:paraId="52F44306" w14:textId="77777777" w:rsidR="009E4BFF" w:rsidRDefault="009E4BFF">
      <w:pPr>
        <w:pStyle w:val="EndnoteText"/>
      </w:pPr>
      <w:r>
        <w:rPr>
          <w:rStyle w:val="EndnoteReference"/>
        </w:rPr>
        <w:endnoteRef/>
      </w:r>
      <w:r>
        <w:t xml:space="preserve"> </w:t>
      </w:r>
      <w:r w:rsidRPr="00131CB1">
        <w:rPr>
          <w:i/>
          <w:sz w:val="20"/>
        </w:rPr>
        <w:t xml:space="preserve">Re NZA v Minister for Immigration and Citizenship </w:t>
      </w:r>
      <w:r w:rsidRPr="00131CB1">
        <w:rPr>
          <w:sz w:val="20"/>
        </w:rPr>
        <w:t>[2011] AATA 928, [20].</w:t>
      </w:r>
    </w:p>
  </w:endnote>
  <w:endnote w:id="21">
    <w:p w14:paraId="7FBC1A3D" w14:textId="77777777" w:rsidR="009E4BFF" w:rsidRDefault="009E4BFF">
      <w:pPr>
        <w:pStyle w:val="EndnoteText"/>
      </w:pPr>
      <w:r>
        <w:rPr>
          <w:rStyle w:val="EndnoteReference"/>
        </w:rPr>
        <w:endnoteRef/>
      </w:r>
      <w:r>
        <w:t xml:space="preserve"> </w:t>
      </w:r>
      <w:r w:rsidRPr="00131CB1">
        <w:rPr>
          <w:i/>
          <w:sz w:val="20"/>
        </w:rPr>
        <w:t xml:space="preserve">Re NZA v Minister for Immigration and Citizenship </w:t>
      </w:r>
      <w:r w:rsidRPr="00131CB1">
        <w:rPr>
          <w:sz w:val="20"/>
        </w:rPr>
        <w:t>[2011] AATA 928, [21].</w:t>
      </w:r>
    </w:p>
  </w:endnote>
  <w:endnote w:id="22">
    <w:p w14:paraId="6E4786ED" w14:textId="1E904CD6" w:rsidR="009E4BFF" w:rsidRDefault="009E4BFF">
      <w:pPr>
        <w:pStyle w:val="EndnoteText"/>
      </w:pPr>
      <w:r>
        <w:rPr>
          <w:rStyle w:val="EndnoteReference"/>
        </w:rPr>
        <w:endnoteRef/>
      </w:r>
      <w:r>
        <w:t xml:space="preserve"> </w:t>
      </w:r>
      <w:r w:rsidRPr="00131CB1">
        <w:rPr>
          <w:i/>
          <w:sz w:val="20"/>
        </w:rPr>
        <w:t>Australian Human Rights Commission Act</w:t>
      </w:r>
      <w:r w:rsidRPr="00131CB1">
        <w:rPr>
          <w:sz w:val="20"/>
        </w:rPr>
        <w:t xml:space="preserve"> </w:t>
      </w:r>
      <w:r w:rsidRPr="00131CB1">
        <w:rPr>
          <w:i/>
          <w:sz w:val="20"/>
        </w:rPr>
        <w:t xml:space="preserve">1986 </w:t>
      </w:r>
      <w:r>
        <w:rPr>
          <w:sz w:val="20"/>
        </w:rPr>
        <w:t>(Cth) (AHRC Act)</w:t>
      </w:r>
      <w:r w:rsidRPr="00131CB1">
        <w:rPr>
          <w:sz w:val="20"/>
        </w:rPr>
        <w:t xml:space="preserve"> s 29(2)(a).</w:t>
      </w:r>
    </w:p>
  </w:endnote>
  <w:endnote w:id="23">
    <w:p w14:paraId="49101A2C" w14:textId="5A8B7830" w:rsidR="009E4BFF" w:rsidRDefault="009E4BFF">
      <w:pPr>
        <w:pStyle w:val="EndnoteText"/>
      </w:pPr>
      <w:r>
        <w:rPr>
          <w:rStyle w:val="EndnoteReference"/>
        </w:rPr>
        <w:endnoteRef/>
      </w:r>
      <w:r>
        <w:t xml:space="preserve"> </w:t>
      </w:r>
      <w:r>
        <w:rPr>
          <w:sz w:val="20"/>
        </w:rPr>
        <w:t>AHRC Act</w:t>
      </w:r>
      <w:r w:rsidRPr="00131CB1">
        <w:rPr>
          <w:sz w:val="20"/>
        </w:rPr>
        <w:t xml:space="preserve"> s 29(2)(b).</w:t>
      </w:r>
    </w:p>
  </w:endnote>
  <w:endnote w:id="24">
    <w:p w14:paraId="09C8EF5E" w14:textId="03BE5996" w:rsidR="009E4BFF" w:rsidRDefault="009E4BFF">
      <w:pPr>
        <w:pStyle w:val="EndnoteText"/>
      </w:pPr>
      <w:r>
        <w:rPr>
          <w:rStyle w:val="EndnoteReference"/>
        </w:rPr>
        <w:endnoteRef/>
      </w:r>
      <w:r>
        <w:t xml:space="preserve"> </w:t>
      </w:r>
      <w:r>
        <w:rPr>
          <w:sz w:val="20"/>
        </w:rPr>
        <w:t>AHRC Act</w:t>
      </w:r>
      <w:r w:rsidRPr="00131CB1">
        <w:rPr>
          <w:sz w:val="20"/>
        </w:rPr>
        <w:t xml:space="preserve"> s 29(2)(c).</w:t>
      </w:r>
    </w:p>
  </w:endnote>
  <w:endnote w:id="25">
    <w:p w14:paraId="7C939368" w14:textId="77777777" w:rsidR="009E4BFF" w:rsidRPr="00590196" w:rsidRDefault="009E4BFF">
      <w:pPr>
        <w:pStyle w:val="EndnoteText"/>
      </w:pPr>
      <w:r>
        <w:rPr>
          <w:rStyle w:val="EndnoteReference"/>
        </w:rPr>
        <w:endnoteRef/>
      </w:r>
      <w:r>
        <w:t xml:space="preserve"> </w:t>
      </w:r>
      <w:r w:rsidRPr="00131CB1">
        <w:rPr>
          <w:i/>
          <w:sz w:val="20"/>
        </w:rPr>
        <w:t xml:space="preserve">Peacock v The Commonwealth </w:t>
      </w:r>
      <w:r w:rsidRPr="00131CB1">
        <w:rPr>
          <w:sz w:val="20"/>
        </w:rPr>
        <w:t>(2000) 104 FCR 464, 483 (Wilcox J).</w:t>
      </w:r>
    </w:p>
  </w:endnote>
  <w:endnote w:id="26">
    <w:p w14:paraId="448AE7B4" w14:textId="77777777" w:rsidR="009E4BFF" w:rsidRPr="00590196" w:rsidRDefault="009E4BFF">
      <w:pPr>
        <w:pStyle w:val="EndnoteText"/>
      </w:pPr>
      <w:r>
        <w:rPr>
          <w:rStyle w:val="EndnoteReference"/>
        </w:rPr>
        <w:endnoteRef/>
      </w:r>
      <w:r>
        <w:t xml:space="preserve"> </w:t>
      </w:r>
      <w:r w:rsidRPr="00131CB1">
        <w:rPr>
          <w:i/>
          <w:sz w:val="20"/>
        </w:rPr>
        <w:t xml:space="preserve">Hall v A&amp;A Sheiban Pty Limited </w:t>
      </w:r>
      <w:r w:rsidRPr="00131CB1">
        <w:rPr>
          <w:sz w:val="20"/>
        </w:rPr>
        <w:t>(1989) 20 FCR 217, 239 (Lockhart J).</w:t>
      </w:r>
    </w:p>
  </w:endnote>
  <w:endnote w:id="27">
    <w:p w14:paraId="1FE7C606" w14:textId="332340BB" w:rsidR="009E4BFF" w:rsidRPr="00B82155" w:rsidRDefault="009E4BFF">
      <w:pPr>
        <w:pStyle w:val="EndnoteText"/>
      </w:pPr>
      <w:r>
        <w:rPr>
          <w:rStyle w:val="EndnoteReference"/>
        </w:rPr>
        <w:endnoteRef/>
      </w:r>
      <w:r>
        <w:t xml:space="preserve"> </w:t>
      </w:r>
      <w:r w:rsidRPr="00131CB1">
        <w:rPr>
          <w:i/>
          <w:sz w:val="20"/>
        </w:rPr>
        <w:t xml:space="preserve">Cassel &amp; Co Ltd v Broome </w:t>
      </w:r>
      <w:r w:rsidRPr="00131CB1">
        <w:rPr>
          <w:sz w:val="20"/>
        </w:rPr>
        <w:t xml:space="preserve">(1972) AC 1027, 1124; </w:t>
      </w:r>
      <w:r w:rsidRPr="00131CB1">
        <w:rPr>
          <w:i/>
          <w:sz w:val="20"/>
        </w:rPr>
        <w:t xml:space="preserve">Spautz v Butterworth &amp; Anor </w:t>
      </w:r>
      <w:r w:rsidRPr="00131CB1">
        <w:rPr>
          <w:sz w:val="20"/>
        </w:rPr>
        <w:t xml:space="preserve">(1996) 41 NSWLR 1 (Clarke JA); </w:t>
      </w:r>
      <w:r w:rsidRPr="00131CB1">
        <w:rPr>
          <w:i/>
          <w:sz w:val="20"/>
        </w:rPr>
        <w:t xml:space="preserve">Vignoli v Sydney Harbour Casino </w:t>
      </w:r>
      <w:r w:rsidRPr="00131CB1">
        <w:rPr>
          <w:sz w:val="20"/>
        </w:rPr>
        <w:t>[1999]</w:t>
      </w:r>
      <w:r>
        <w:rPr>
          <w:sz w:val="20"/>
        </w:rPr>
        <w:t xml:space="preserve"> </w:t>
      </w:r>
      <w:r w:rsidRPr="00131CB1">
        <w:rPr>
          <w:sz w:val="20"/>
        </w:rPr>
        <w:t>NSWSC 1113 (22 November 1999), [87].</w:t>
      </w:r>
    </w:p>
  </w:endnote>
  <w:endnote w:id="28">
    <w:p w14:paraId="19A4A1A9" w14:textId="77777777" w:rsidR="009E4BFF" w:rsidRPr="00131CB1" w:rsidRDefault="009E4BFF" w:rsidP="00913958">
      <w:pPr>
        <w:pStyle w:val="EndnoteText"/>
        <w:rPr>
          <w:sz w:val="20"/>
        </w:rPr>
      </w:pPr>
      <w:r>
        <w:rPr>
          <w:rStyle w:val="EndnoteReference"/>
        </w:rPr>
        <w:endnoteRef/>
      </w:r>
      <w:r>
        <w:t xml:space="preserve"> </w:t>
      </w:r>
      <w:r w:rsidRPr="00131CB1">
        <w:rPr>
          <w:sz w:val="20"/>
        </w:rPr>
        <w:t>[2013] FCA 901</w:t>
      </w:r>
      <w:r>
        <w:rPr>
          <w:sz w:val="20"/>
        </w:rPr>
        <w:t>.</w:t>
      </w:r>
    </w:p>
  </w:endnote>
  <w:endnote w:id="29">
    <w:p w14:paraId="5BDA7CD3" w14:textId="77777777" w:rsidR="009E4BFF" w:rsidRDefault="009E4BFF" w:rsidP="00913958">
      <w:pPr>
        <w:pStyle w:val="EndnoteText"/>
      </w:pPr>
      <w:r>
        <w:rPr>
          <w:rStyle w:val="EndnoteReference"/>
        </w:rPr>
        <w:endnoteRef/>
      </w:r>
      <w:r>
        <w:t xml:space="preserve"> </w:t>
      </w:r>
      <w:r w:rsidRPr="00131CB1">
        <w:rPr>
          <w:sz w:val="20"/>
        </w:rPr>
        <w:t>[2003] NSWSC 1212</w:t>
      </w:r>
      <w:r>
        <w:rPr>
          <w:sz w:val="20"/>
        </w:rPr>
        <w:t>.</w:t>
      </w:r>
    </w:p>
  </w:endnote>
  <w:endnote w:id="30">
    <w:p w14:paraId="67F39FD7" w14:textId="1FEBF66F" w:rsidR="009E4BFF" w:rsidRDefault="009E4BFF" w:rsidP="00913958">
      <w:pPr>
        <w:pStyle w:val="EndnoteText"/>
      </w:pPr>
      <w:r>
        <w:rPr>
          <w:rStyle w:val="EndnoteReference"/>
        </w:rPr>
        <w:endnoteRef/>
      </w:r>
      <w:r>
        <w:t xml:space="preserve"> </w:t>
      </w:r>
      <w:r w:rsidRPr="00131CB1">
        <w:rPr>
          <w:sz w:val="20"/>
        </w:rPr>
        <w:t>[2013] FCA 901</w:t>
      </w:r>
      <w:r>
        <w:rPr>
          <w:sz w:val="20"/>
        </w:rPr>
        <w:t xml:space="preserve">, </w:t>
      </w:r>
      <w:r w:rsidRPr="00131CB1">
        <w:rPr>
          <w:sz w:val="20"/>
        </w:rPr>
        <w:t>[121]</w:t>
      </w:r>
      <w:r>
        <w:rPr>
          <w:sz w:val="20"/>
        </w:rPr>
        <w:t>.</w:t>
      </w:r>
    </w:p>
  </w:endnote>
  <w:endnote w:id="31">
    <w:p w14:paraId="0847D83F" w14:textId="77777777" w:rsidR="009E4BFF" w:rsidRPr="00024A1C" w:rsidRDefault="009E4BFF" w:rsidP="00913958">
      <w:pPr>
        <w:pStyle w:val="EndnoteText"/>
        <w:rPr>
          <w:i/>
        </w:rPr>
      </w:pPr>
      <w:r>
        <w:rPr>
          <w:rStyle w:val="EndnoteReference"/>
        </w:rPr>
        <w:endnoteRef/>
      </w:r>
      <w:r>
        <w:t xml:space="preserve"> </w:t>
      </w:r>
      <w:r w:rsidRPr="00131CB1">
        <w:rPr>
          <w:i/>
          <w:sz w:val="20"/>
        </w:rPr>
        <w:t xml:space="preserve">Ruddock v Taylor </w:t>
      </w:r>
      <w:r w:rsidRPr="00131CB1">
        <w:rPr>
          <w:sz w:val="20"/>
        </w:rPr>
        <w:t>(2003) 58 NSWLR 269</w:t>
      </w:r>
      <w:r>
        <w:rPr>
          <w:sz w:val="20"/>
        </w:rPr>
        <w:t>.</w:t>
      </w:r>
    </w:p>
  </w:endnote>
  <w:endnote w:id="32">
    <w:p w14:paraId="473F93E5" w14:textId="77777777" w:rsidR="009E4BFF" w:rsidRDefault="009E4BFF" w:rsidP="00913958">
      <w:pPr>
        <w:pStyle w:val="EndnoteText"/>
      </w:pPr>
      <w:r>
        <w:rPr>
          <w:rStyle w:val="EndnoteReference"/>
        </w:rPr>
        <w:endnoteRef/>
      </w:r>
      <w:r>
        <w:t xml:space="preserve"> </w:t>
      </w:r>
      <w:r w:rsidRPr="00131CB1">
        <w:rPr>
          <w:i/>
          <w:sz w:val="20"/>
        </w:rPr>
        <w:t>Taylor v Ruddock</w:t>
      </w:r>
      <w:r w:rsidRPr="00131CB1">
        <w:rPr>
          <w:sz w:val="20"/>
        </w:rPr>
        <w:t xml:space="preserve"> (unreported, 18 December 2002, NSW District Court (Murrell DCJ)).</w:t>
      </w:r>
    </w:p>
  </w:endnote>
  <w:endnote w:id="33">
    <w:p w14:paraId="6D199C12" w14:textId="6EA358A9" w:rsidR="009E4BFF" w:rsidRPr="00131CB1" w:rsidRDefault="009E4BFF" w:rsidP="00913958">
      <w:pPr>
        <w:pStyle w:val="EndnoteText"/>
        <w:rPr>
          <w:sz w:val="20"/>
        </w:rPr>
      </w:pPr>
      <w:r>
        <w:rPr>
          <w:rStyle w:val="EndnoteReference"/>
        </w:rPr>
        <w:endnoteRef/>
      </w:r>
      <w:r>
        <w:t xml:space="preserve"> </w:t>
      </w:r>
      <w:r w:rsidRPr="00131CB1">
        <w:rPr>
          <w:i/>
          <w:sz w:val="20"/>
        </w:rPr>
        <w:t>Taylor v Ruddock</w:t>
      </w:r>
      <w:r w:rsidRPr="00131CB1">
        <w:rPr>
          <w:sz w:val="20"/>
        </w:rPr>
        <w:t xml:space="preserve"> (unreported, 18 December 2002, NSW District Court (Murrell DCJ))</w:t>
      </w:r>
      <w:r>
        <w:rPr>
          <w:sz w:val="20"/>
        </w:rPr>
        <w:t>,</w:t>
      </w:r>
      <w:r w:rsidRPr="00131CB1">
        <w:rPr>
          <w:sz w:val="20"/>
        </w:rPr>
        <w:t xml:space="preserve"> [140]</w:t>
      </w:r>
      <w:r>
        <w:rPr>
          <w:sz w:val="20"/>
        </w:rPr>
        <w:t>.</w:t>
      </w:r>
    </w:p>
  </w:endnote>
  <w:endnote w:id="34">
    <w:p w14:paraId="0A853D41" w14:textId="77777777" w:rsidR="009E4BFF" w:rsidRPr="00131CB1" w:rsidRDefault="009E4BFF" w:rsidP="00913958">
      <w:pPr>
        <w:pStyle w:val="EndnoteText"/>
        <w:rPr>
          <w:sz w:val="20"/>
        </w:rPr>
      </w:pPr>
      <w:r>
        <w:rPr>
          <w:rStyle w:val="EndnoteReference"/>
        </w:rPr>
        <w:endnoteRef/>
      </w:r>
      <w:r>
        <w:t xml:space="preserve"> </w:t>
      </w:r>
      <w:r w:rsidRPr="00131CB1">
        <w:rPr>
          <w:i/>
          <w:sz w:val="20"/>
        </w:rPr>
        <w:t>Ruddock v Taylor</w:t>
      </w:r>
      <w:r w:rsidRPr="00131CB1">
        <w:rPr>
          <w:sz w:val="20"/>
        </w:rPr>
        <w:t xml:space="preserve"> [2003] 58 NSWLR 269, 279</w:t>
      </w:r>
      <w:r>
        <w:rPr>
          <w:sz w:val="20"/>
        </w:rPr>
        <w:t>.</w:t>
      </w:r>
    </w:p>
  </w:endnote>
  <w:endnote w:id="35">
    <w:p w14:paraId="348B8A81" w14:textId="77777777" w:rsidR="009E4BFF" w:rsidRPr="00131CB1" w:rsidRDefault="009E4BFF" w:rsidP="00913958">
      <w:pPr>
        <w:pStyle w:val="EndnoteText"/>
        <w:rPr>
          <w:sz w:val="20"/>
        </w:rPr>
      </w:pPr>
      <w:r w:rsidRPr="00024A1C">
        <w:rPr>
          <w:rStyle w:val="EndnoteReference"/>
        </w:rPr>
        <w:endnoteRef/>
      </w:r>
      <w:r w:rsidRPr="00024A1C">
        <w:t xml:space="preserve"> </w:t>
      </w:r>
      <w:r w:rsidRPr="00131CB1">
        <w:rPr>
          <w:i/>
          <w:sz w:val="20"/>
        </w:rPr>
        <w:t>Ruddock v Taylor</w:t>
      </w:r>
      <w:r w:rsidRPr="00131CB1">
        <w:rPr>
          <w:sz w:val="20"/>
        </w:rPr>
        <w:t xml:space="preserve"> [2003] 58 NSWLR 269, 279</w:t>
      </w:r>
      <w:r>
        <w:rPr>
          <w:sz w:val="20"/>
        </w:rPr>
        <w:t>.</w:t>
      </w:r>
    </w:p>
  </w:endnote>
  <w:endnote w:id="36">
    <w:p w14:paraId="684D50ED" w14:textId="4F1C9B2E" w:rsidR="009E4BFF" w:rsidRPr="00461E42" w:rsidRDefault="009E4BFF" w:rsidP="00913958">
      <w:pPr>
        <w:pStyle w:val="EndnoteText"/>
        <w:rPr>
          <w:sz w:val="20"/>
        </w:rPr>
      </w:pPr>
      <w:r w:rsidRPr="00EF6584">
        <w:rPr>
          <w:rStyle w:val="EndnoteReference"/>
        </w:rPr>
        <w:endnoteRef/>
      </w:r>
      <w:r w:rsidRPr="00EF6584">
        <w:t xml:space="preserve"> </w:t>
      </w:r>
      <w:r w:rsidRPr="00461E42">
        <w:rPr>
          <w:sz w:val="20"/>
          <w:lang w:val="en-US"/>
        </w:rPr>
        <w:t xml:space="preserve">The court awarded nominal damages of one dollar for the unlawful detention of Mr Fernando because as a non-citizen, once he committed a serious crime, he was always liable to have his visa cancelled: </w:t>
      </w:r>
      <w:r w:rsidRPr="00461E42">
        <w:rPr>
          <w:i/>
          <w:sz w:val="20"/>
          <w:lang w:val="en-US"/>
        </w:rPr>
        <w:t xml:space="preserve">Fernando v Commonwealth of </w:t>
      </w:r>
      <w:r w:rsidRPr="00E8614C">
        <w:rPr>
          <w:sz w:val="20"/>
          <w:lang w:val="en-US"/>
        </w:rPr>
        <w:t>Australia (No 5)</w:t>
      </w:r>
      <w:r w:rsidRPr="00461E42">
        <w:rPr>
          <w:sz w:val="20"/>
        </w:rPr>
        <w:t xml:space="preserve"> [2013] FCA 901</w:t>
      </w:r>
      <w:r>
        <w:rPr>
          <w:sz w:val="20"/>
        </w:rPr>
        <w:t>,</w:t>
      </w:r>
      <w:r w:rsidRPr="00461E42">
        <w:rPr>
          <w:sz w:val="20"/>
        </w:rPr>
        <w:t xml:space="preserve"> [98]-[99].</w:t>
      </w:r>
    </w:p>
  </w:endnote>
  <w:endnote w:id="37">
    <w:p w14:paraId="79267AAC" w14:textId="177A022A" w:rsidR="009E4BFF" w:rsidRPr="00461E42" w:rsidRDefault="009E4BFF" w:rsidP="00913958">
      <w:pPr>
        <w:pStyle w:val="EndnoteText"/>
        <w:rPr>
          <w:sz w:val="20"/>
        </w:rPr>
      </w:pPr>
      <w:r>
        <w:rPr>
          <w:rStyle w:val="EndnoteReference"/>
        </w:rPr>
        <w:endnoteRef/>
      </w:r>
      <w:r>
        <w:t xml:space="preserve"> </w:t>
      </w:r>
      <w:r w:rsidRPr="00461E42">
        <w:rPr>
          <w:i/>
          <w:sz w:val="20"/>
          <w:lang w:val="en-US"/>
        </w:rPr>
        <w:t>Fernando v Commonwealth of Australia</w:t>
      </w:r>
      <w:r w:rsidRPr="00461E42">
        <w:rPr>
          <w:sz w:val="20"/>
          <w:lang w:val="en-US"/>
        </w:rPr>
        <w:t xml:space="preserve"> (No 5)</w:t>
      </w:r>
      <w:r w:rsidRPr="00461E42">
        <w:rPr>
          <w:sz w:val="20"/>
        </w:rPr>
        <w:t xml:space="preserve"> [2013] FCA 901</w:t>
      </w:r>
      <w:r>
        <w:rPr>
          <w:sz w:val="20"/>
        </w:rPr>
        <w:t>,</w:t>
      </w:r>
      <w:r w:rsidRPr="00461E42">
        <w:rPr>
          <w:sz w:val="20"/>
        </w:rPr>
        <w:t xml:space="preserve"> [139]</w:t>
      </w:r>
      <w:r>
        <w:rPr>
          <w:sz w:val="20"/>
        </w:rPr>
        <w:t>.</w:t>
      </w:r>
    </w:p>
  </w:endnote>
  <w:endnote w:id="38">
    <w:p w14:paraId="543D0BDF" w14:textId="30832F44" w:rsidR="009E4BFF" w:rsidRPr="00461E42" w:rsidRDefault="009E4BFF">
      <w:pPr>
        <w:pStyle w:val="EndnoteText"/>
        <w:rPr>
          <w:sz w:val="20"/>
        </w:rPr>
      </w:pPr>
      <w:r>
        <w:rPr>
          <w:rStyle w:val="EndnoteReference"/>
        </w:rPr>
        <w:endnoteRef/>
      </w:r>
      <w:r>
        <w:t xml:space="preserve"> </w:t>
      </w:r>
      <w:r w:rsidRPr="00461E42">
        <w:rPr>
          <w:sz w:val="20"/>
        </w:rPr>
        <w:t xml:space="preserve">D Shelton, </w:t>
      </w:r>
      <w:r w:rsidRPr="00461E42">
        <w:rPr>
          <w:i/>
          <w:sz w:val="20"/>
        </w:rPr>
        <w:t xml:space="preserve">Remedies in International Human Rights Law </w:t>
      </w:r>
      <w:r w:rsidRPr="00461E42">
        <w:rPr>
          <w:sz w:val="20"/>
        </w:rPr>
        <w:t>(</w:t>
      </w:r>
      <w:r>
        <w:rPr>
          <w:sz w:val="20"/>
        </w:rPr>
        <w:t>Oxford University Press, 1</w:t>
      </w:r>
      <w:r w:rsidRPr="009E4BFF">
        <w:rPr>
          <w:sz w:val="20"/>
          <w:vertAlign w:val="superscript"/>
        </w:rPr>
        <w:t>st</w:t>
      </w:r>
      <w:r>
        <w:rPr>
          <w:sz w:val="20"/>
        </w:rPr>
        <w:t xml:space="preserve"> ed, </w:t>
      </w:r>
      <w:r w:rsidRPr="00461E42">
        <w:rPr>
          <w:sz w:val="20"/>
        </w:rPr>
        <w:t>2000)</w:t>
      </w:r>
      <w:bookmarkStart w:id="23" w:name="_GoBack"/>
      <w:bookmarkEnd w:id="23"/>
      <w:r w:rsidRPr="00461E42">
        <w:rPr>
          <w:sz w:val="20"/>
        </w:rPr>
        <w:t xml:space="preserve"> 151</w:t>
      </w:r>
      <w:r>
        <w:rPr>
          <w:sz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CC"/>
    <w:family w:val="auto"/>
    <w:notTrueType/>
    <w:pitch w:val="default"/>
    <w:sig w:usb0="00000203" w:usb1="00000000" w:usb2="00000000" w:usb3="00000000" w:csb0="00000005" w:csb1="00000000"/>
  </w:font>
  <w:font w:name="ヒラギノ角ゴ Pro W3">
    <w:charset w:val="00"/>
    <w:family w:val="roman"/>
    <w:pitch w:val="default"/>
  </w:font>
  <w:font w:name="HelveticaNeue">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CYPlain">
    <w:altName w:val="Times New Roman"/>
    <w:panose1 w:val="00000000000000000000"/>
    <w:charset w:val="CD"/>
    <w:family w:val="auto"/>
    <w:notTrueType/>
    <w:pitch w:val="default"/>
    <w:sig w:usb0="00000001" w:usb1="00000000" w:usb2="00000000" w:usb3="00000000" w:csb0="00000000"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940AC" w14:textId="77777777" w:rsidR="009E4BFF" w:rsidRDefault="009E4BFF" w:rsidP="009D2E68">
    <w:pPr>
      <w:pStyle w:val="Footer"/>
      <w:framePr w:wrap="around" w:vAnchor="text" w:hAnchor="margin" w:xAlign="right"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4D22E7E4" w14:textId="77777777" w:rsidR="009E4BFF" w:rsidRDefault="009E4BFF" w:rsidP="00087C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119B4" w14:textId="281D6B3C" w:rsidR="009E4BFF" w:rsidRPr="000010F1" w:rsidRDefault="009E4BFF" w:rsidP="000010F1">
    <w:pPr>
      <w:keepNext/>
      <w:widowControl w:val="0"/>
      <w:tabs>
        <w:tab w:val="left" w:pos="567"/>
      </w:tabs>
      <w:suppressAutoHyphens/>
      <w:autoSpaceDE w:val="0"/>
      <w:autoSpaceDN w:val="0"/>
      <w:adjustRightInd w:val="0"/>
      <w:ind w:right="360"/>
      <w:jc w:val="right"/>
      <w:textAlignment w:val="center"/>
      <w:rPr>
        <w:rFonts w:cs="Arial"/>
        <w:b/>
        <w:bCs/>
        <w:sz w:val="20"/>
        <w:lang w:eastAsia="en-AU" w:bidi="ar-YE"/>
      </w:rPr>
    </w:pPr>
    <w:r>
      <w:rPr>
        <w:rFonts w:cs="Arial"/>
        <w:b/>
        <w:bCs/>
        <w:sz w:val="20"/>
        <w:lang w:eastAsia="en-AU" w:bidi="ar-YE"/>
      </w:rPr>
      <w:t>Tapara v Commonwealth of Australia (DIBP)</w:t>
    </w:r>
    <w:r>
      <w:rPr>
        <w:rFonts w:cs="Arial"/>
        <w:sz w:val="20"/>
        <w:lang w:eastAsia="en-AU"/>
      </w:rPr>
      <w:t xml:space="preserve"> • [2014] AusHRC 91</w:t>
    </w:r>
    <w:r w:rsidRPr="00415667">
      <w:rPr>
        <w:rFonts w:cs="Arial"/>
        <w:sz w:val="20"/>
        <w:lang w:eastAsia="en-AU"/>
      </w:rPr>
      <w:t xml:space="preserve"> • </w:t>
    </w:r>
    <w:r w:rsidRPr="000010F1">
      <w:rPr>
        <w:rStyle w:val="PageNumber"/>
        <w:b/>
        <w:sz w:val="20"/>
      </w:rPr>
      <w:fldChar w:fldCharType="begin"/>
    </w:r>
    <w:r w:rsidRPr="000010F1">
      <w:rPr>
        <w:rStyle w:val="PageNumber"/>
        <w:b/>
        <w:sz w:val="20"/>
      </w:rPr>
      <w:instrText xml:space="preserve"> PAGE </w:instrText>
    </w:r>
    <w:r w:rsidRPr="000010F1">
      <w:rPr>
        <w:rStyle w:val="PageNumber"/>
        <w:b/>
        <w:sz w:val="20"/>
      </w:rPr>
      <w:fldChar w:fldCharType="separate"/>
    </w:r>
    <w:r w:rsidR="00B20FD8">
      <w:rPr>
        <w:rStyle w:val="PageNumber"/>
        <w:b/>
        <w:noProof/>
        <w:sz w:val="20"/>
      </w:rPr>
      <w:t>21</w:t>
    </w:r>
    <w:r w:rsidRPr="000010F1">
      <w:rPr>
        <w:rStyle w:val="PageNumbe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7047F" w14:textId="77777777" w:rsidR="009E4BFF" w:rsidRDefault="009E4BFF" w:rsidP="00F14C6D">
      <w:r>
        <w:separator/>
      </w:r>
    </w:p>
  </w:footnote>
  <w:footnote w:type="continuationSeparator" w:id="0">
    <w:p w14:paraId="5EAB4992" w14:textId="77777777" w:rsidR="009E4BFF" w:rsidRDefault="009E4BFF" w:rsidP="00F14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104E1E6"/>
    <w:styleLink w:val="1ai1"/>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C2C21C32"/>
    <w:styleLink w:val="1111111"/>
    <w:lvl w:ilvl="0">
      <w:start w:val="1"/>
      <w:numFmt w:val="bullet"/>
      <w:lvlText w:val=""/>
      <w:lvlJc w:val="left"/>
      <w:pPr>
        <w:tabs>
          <w:tab w:val="num" w:pos="1209"/>
        </w:tabs>
        <w:ind w:left="1209" w:hanging="360"/>
      </w:pPr>
      <w:rPr>
        <w:rFonts w:ascii="Symbol" w:hAnsi="Symbol" w:hint="default"/>
      </w:rPr>
    </w:lvl>
  </w:abstractNum>
  <w:abstractNum w:abstractNumId="2">
    <w:nsid w:val="FFFFFF88"/>
    <w:multiLevelType w:val="singleLevel"/>
    <w:tmpl w:val="F3FEF416"/>
    <w:styleLink w:val="ArticleSection1"/>
    <w:lvl w:ilvl="0">
      <w:start w:val="1"/>
      <w:numFmt w:val="decimal"/>
      <w:lvlText w:val="%1."/>
      <w:lvlJc w:val="left"/>
      <w:pPr>
        <w:tabs>
          <w:tab w:val="num" w:pos="360"/>
        </w:tabs>
        <w:ind w:left="360" w:hanging="360"/>
      </w:pPr>
    </w:lvl>
  </w:abstractNum>
  <w:abstractNum w:abstractNumId="3">
    <w:nsid w:val="FFFFFFFE"/>
    <w:multiLevelType w:val="singleLevel"/>
    <w:tmpl w:val="6C009348"/>
    <w:lvl w:ilvl="0">
      <w:numFmt w:val="decimal"/>
      <w:pStyle w:val="Dash"/>
      <w:lvlText w:val="*"/>
      <w:lvlJc w:val="left"/>
    </w:lvl>
  </w:abstractNum>
  <w:abstractNum w:abstractNumId="4">
    <w:nsid w:val="060801F2"/>
    <w:multiLevelType w:val="hybridMultilevel"/>
    <w:tmpl w:val="1A20C148"/>
    <w:lvl w:ilvl="0" w:tplc="0CDEEFAC">
      <w:start w:val="1"/>
      <w:numFmt w:val="decimal"/>
      <w:pStyle w:val="BodyListParagraph"/>
      <w:lvlText w:val="%1."/>
      <w:lvlJc w:val="left"/>
      <w:pPr>
        <w:tabs>
          <w:tab w:val="num" w:pos="680"/>
        </w:tabs>
        <w:ind w:left="680" w:hanging="680"/>
      </w:pPr>
      <w:rPr>
        <w:rFonts w:ascii="Arial" w:hAnsi="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1768E"/>
    <w:multiLevelType w:val="hybridMultilevel"/>
    <w:tmpl w:val="D3702ABA"/>
    <w:lvl w:ilvl="0" w:tplc="0C090001">
      <w:start w:val="1"/>
      <w:numFmt w:val="bullet"/>
      <w:lvlText w:val=""/>
      <w:lvlJc w:val="left"/>
      <w:pPr>
        <w:tabs>
          <w:tab w:val="num" w:pos="720"/>
        </w:tabs>
        <w:ind w:left="720" w:hanging="720"/>
      </w:pPr>
      <w:rPr>
        <w:rFonts w:ascii="Symbol" w:hAnsi="Symbol" w:hint="default"/>
        <w:b w:val="0"/>
        <w:i w:val="0"/>
      </w:rPr>
    </w:lvl>
    <w:lvl w:ilvl="1" w:tplc="0C090001">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108C72E0"/>
    <w:multiLevelType w:val="hybridMultilevel"/>
    <w:tmpl w:val="B5A85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MT"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MT"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F911CD"/>
    <w:multiLevelType w:val="hybridMultilevel"/>
    <w:tmpl w:val="B4000B5C"/>
    <w:lvl w:ilvl="0" w:tplc="15EEA4A2">
      <w:start w:val="1"/>
      <w:numFmt w:val="decimal"/>
      <w:lvlText w:val="%1."/>
      <w:lvlJc w:val="left"/>
      <w:pPr>
        <w:tabs>
          <w:tab w:val="num" w:pos="643"/>
        </w:tabs>
        <w:ind w:left="643" w:hanging="360"/>
      </w:pPr>
      <w:rPr>
        <w:b w:val="0"/>
        <w:i w:val="0"/>
        <w:sz w:val="24"/>
        <w:szCs w:val="24"/>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1DCB237C"/>
    <w:multiLevelType w:val="hybridMultilevel"/>
    <w:tmpl w:val="CB0E8624"/>
    <w:lvl w:ilvl="0" w:tplc="FFFFFFFF">
      <w:start w:val="1"/>
      <w:numFmt w:val="decimal"/>
      <w:pStyle w:val="SubmissionNormal"/>
      <w:lvlText w:val="%1."/>
      <w:lvlJc w:val="left"/>
      <w:pPr>
        <w:tabs>
          <w:tab w:val="num" w:pos="3240"/>
        </w:tabs>
        <w:ind w:left="324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0337929"/>
    <w:multiLevelType w:val="singleLevel"/>
    <w:tmpl w:val="0862F6CA"/>
    <w:lvl w:ilvl="0">
      <w:start w:val="1"/>
      <w:numFmt w:val="bullet"/>
      <w:pStyle w:val="Bullet"/>
      <w:lvlText w:val="•"/>
      <w:lvlJc w:val="left"/>
      <w:pPr>
        <w:tabs>
          <w:tab w:val="num" w:pos="360"/>
        </w:tabs>
        <w:ind w:left="360" w:hanging="360"/>
      </w:pPr>
      <w:rPr>
        <w:rFonts w:ascii="Arial" w:hAnsi="Arial" w:hint="default"/>
        <w:sz w:val="21"/>
      </w:rPr>
    </w:lvl>
  </w:abstractNum>
  <w:abstractNum w:abstractNumId="10">
    <w:nsid w:val="21B71560"/>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23E129E5"/>
    <w:multiLevelType w:val="multilevel"/>
    <w:tmpl w:val="FE9419EA"/>
    <w:lvl w:ilvl="0">
      <w:start w:val="1"/>
      <w:numFmt w:val="decimal"/>
      <w:lvlText w:val="%1"/>
      <w:lvlJc w:val="left"/>
      <w:pPr>
        <w:tabs>
          <w:tab w:val="num" w:pos="851"/>
        </w:tabs>
        <w:ind w:left="851" w:hanging="851"/>
      </w:pPr>
      <w:rPr>
        <w:rFonts w:cs="Times New Roman" w:hint="default"/>
      </w:rPr>
    </w:lvl>
    <w:lvl w:ilvl="1">
      <w:start w:val="1"/>
      <w:numFmt w:val="bullet"/>
      <w:lvlText w:val=""/>
      <w:lvlJc w:val="left"/>
      <w:pPr>
        <w:tabs>
          <w:tab w:val="num" w:pos="4254"/>
        </w:tabs>
        <w:ind w:left="4254" w:hanging="851"/>
      </w:pPr>
      <w:rPr>
        <w:rFonts w:ascii="Symbol" w:hAnsi="Symbol" w:hint="default"/>
        <w:b/>
        <w:i/>
      </w:rPr>
    </w:lvl>
    <w:lvl w:ilvl="2">
      <w:start w:val="1"/>
      <w:numFmt w:val="bullet"/>
      <w:lvlText w:val=""/>
      <w:lvlJc w:val="left"/>
      <w:pPr>
        <w:tabs>
          <w:tab w:val="num" w:pos="851"/>
        </w:tabs>
        <w:ind w:left="851" w:hanging="851"/>
      </w:pPr>
      <w:rPr>
        <w:rFonts w:ascii="Symbol" w:hAnsi="Symbol" w:hint="default"/>
        <w:b/>
        <w:i/>
        <w:sz w:val="24"/>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292F2338"/>
    <w:multiLevelType w:val="hybridMultilevel"/>
    <w:tmpl w:val="3BA4895A"/>
    <w:lvl w:ilvl="0" w:tplc="909E6AE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7817C3"/>
    <w:multiLevelType w:val="multilevel"/>
    <w:tmpl w:val="CF101B14"/>
    <w:lvl w:ilvl="0">
      <w:start w:val="1"/>
      <w:numFmt w:val="decimal"/>
      <w:pStyle w:val="Heading1"/>
      <w:lvlText w:val="%1"/>
      <w:lvlJc w:val="left"/>
      <w:pPr>
        <w:tabs>
          <w:tab w:val="num" w:pos="851"/>
        </w:tabs>
        <w:ind w:left="851" w:hanging="851"/>
      </w:pPr>
      <w:rPr>
        <w:rFonts w:cs="Times New Roman" w:hint="default"/>
      </w:rPr>
    </w:lvl>
    <w:lvl w:ilvl="1">
      <w:start w:val="1"/>
      <w:numFmt w:val="decimal"/>
      <w:pStyle w:val="Heading2"/>
      <w:lvlText w:val="%1.%2"/>
      <w:lvlJc w:val="left"/>
      <w:pPr>
        <w:tabs>
          <w:tab w:val="num" w:pos="1135"/>
        </w:tabs>
        <w:ind w:left="1135" w:hanging="851"/>
      </w:pPr>
      <w:rPr>
        <w:rFonts w:cs="Times New Roman" w:hint="default"/>
        <w:b/>
        <w:i/>
      </w:rPr>
    </w:lvl>
    <w:lvl w:ilvl="2">
      <w:start w:val="1"/>
      <w:numFmt w:val="lowerLetter"/>
      <w:pStyle w:val="Heading3"/>
      <w:lvlText w:val="(%3)"/>
      <w:lvlJc w:val="left"/>
      <w:pPr>
        <w:tabs>
          <w:tab w:val="num" w:pos="851"/>
        </w:tabs>
        <w:ind w:left="851" w:hanging="851"/>
      </w:pPr>
      <w:rPr>
        <w:rFonts w:ascii="Arial" w:hAnsi="Arial" w:cs="Times New Roman" w:hint="default"/>
        <w:b w:val="0"/>
        <w:bCs w:val="0"/>
        <w:i/>
        <w:iCs/>
        <w:sz w:val="24"/>
        <w:szCs w:val="24"/>
      </w:rPr>
    </w:lvl>
    <w:lvl w:ilvl="3">
      <w:start w:val="1"/>
      <w:numFmt w:val="lowerRoman"/>
      <w:pStyle w:val="Heading4"/>
      <w:lvlText w:val="(%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2B1C79AA"/>
    <w:multiLevelType w:val="hybridMultilevel"/>
    <w:tmpl w:val="999C616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MT"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MT"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MT"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5F12037"/>
    <w:multiLevelType w:val="multilevel"/>
    <w:tmpl w:val="FCC0F9B6"/>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1135"/>
        </w:tabs>
        <w:ind w:left="1135" w:hanging="851"/>
      </w:pPr>
      <w:rPr>
        <w:rFonts w:cs="Times New Roman" w:hint="default"/>
        <w:b/>
        <w:i/>
      </w:rPr>
    </w:lvl>
    <w:lvl w:ilvl="2">
      <w:start w:val="1"/>
      <w:numFmt w:val="bullet"/>
      <w:lvlText w:val=""/>
      <w:lvlJc w:val="left"/>
      <w:pPr>
        <w:tabs>
          <w:tab w:val="num" w:pos="851"/>
        </w:tabs>
        <w:ind w:left="851" w:hanging="851"/>
      </w:pPr>
      <w:rPr>
        <w:rFonts w:ascii="Symbol" w:hAnsi="Symbol" w:hint="default"/>
        <w:b/>
        <w:i/>
        <w:sz w:val="24"/>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363A0196"/>
    <w:multiLevelType w:val="hybridMultilevel"/>
    <w:tmpl w:val="FD78A1BE"/>
    <w:lvl w:ilvl="0" w:tplc="0C090001">
      <w:start w:val="1"/>
      <w:numFmt w:val="bullet"/>
      <w:lvlText w:val=""/>
      <w:lvlJc w:val="left"/>
      <w:pPr>
        <w:tabs>
          <w:tab w:val="num" w:pos="720"/>
        </w:tabs>
        <w:ind w:left="720" w:hanging="720"/>
      </w:pPr>
      <w:rPr>
        <w:rFonts w:ascii="Symbol" w:hAnsi="Symbol" w:hint="default"/>
        <w:b w:val="0"/>
        <w:i w:val="0"/>
      </w:rPr>
    </w:lvl>
    <w:lvl w:ilvl="1" w:tplc="0C090001">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nsid w:val="395A00FE"/>
    <w:multiLevelType w:val="hybridMultilevel"/>
    <w:tmpl w:val="6DEEBEBC"/>
    <w:lvl w:ilvl="0" w:tplc="0C090001">
      <w:start w:val="1"/>
      <w:numFmt w:val="bullet"/>
      <w:lvlText w:val=""/>
      <w:lvlJc w:val="left"/>
      <w:pPr>
        <w:tabs>
          <w:tab w:val="num" w:pos="720"/>
        </w:tabs>
        <w:ind w:left="720" w:hanging="720"/>
      </w:pPr>
      <w:rPr>
        <w:rFonts w:ascii="Symbol" w:hAnsi="Symbol" w:hint="default"/>
        <w:b w:val="0"/>
        <w:i w:val="0"/>
      </w:rPr>
    </w:lvl>
    <w:lvl w:ilvl="1" w:tplc="0C090001">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3EC42FE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EF92440"/>
    <w:multiLevelType w:val="multilevel"/>
    <w:tmpl w:val="FE9419EA"/>
    <w:lvl w:ilvl="0">
      <w:start w:val="1"/>
      <w:numFmt w:val="decimal"/>
      <w:lvlText w:val="%1"/>
      <w:lvlJc w:val="left"/>
      <w:pPr>
        <w:tabs>
          <w:tab w:val="num" w:pos="851"/>
        </w:tabs>
        <w:ind w:left="851" w:hanging="851"/>
      </w:pPr>
      <w:rPr>
        <w:rFonts w:cs="Times New Roman" w:hint="default"/>
      </w:rPr>
    </w:lvl>
    <w:lvl w:ilvl="1">
      <w:start w:val="1"/>
      <w:numFmt w:val="bullet"/>
      <w:lvlText w:val=""/>
      <w:lvlJc w:val="left"/>
      <w:pPr>
        <w:tabs>
          <w:tab w:val="num" w:pos="1135"/>
        </w:tabs>
        <w:ind w:left="1135" w:hanging="851"/>
      </w:pPr>
      <w:rPr>
        <w:rFonts w:ascii="Symbol" w:hAnsi="Symbol" w:hint="default"/>
        <w:b/>
        <w:i/>
      </w:rPr>
    </w:lvl>
    <w:lvl w:ilvl="2">
      <w:start w:val="1"/>
      <w:numFmt w:val="bullet"/>
      <w:lvlText w:val=""/>
      <w:lvlJc w:val="left"/>
      <w:pPr>
        <w:tabs>
          <w:tab w:val="num" w:pos="851"/>
        </w:tabs>
        <w:ind w:left="851" w:hanging="851"/>
      </w:pPr>
      <w:rPr>
        <w:rFonts w:ascii="Symbol" w:hAnsi="Symbol" w:hint="default"/>
        <w:b/>
        <w:i/>
        <w:sz w:val="24"/>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43E85A5C"/>
    <w:multiLevelType w:val="hybridMultilevel"/>
    <w:tmpl w:val="FB4E8C92"/>
    <w:lvl w:ilvl="0" w:tplc="703E9D96">
      <w:start w:val="1"/>
      <w:numFmt w:val="lowerLetter"/>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nsid w:val="43F6004F"/>
    <w:multiLevelType w:val="hybridMultilevel"/>
    <w:tmpl w:val="F21A76DA"/>
    <w:lvl w:ilvl="0" w:tplc="0C090001">
      <w:start w:val="1"/>
      <w:numFmt w:val="bullet"/>
      <w:lvlText w:val=""/>
      <w:lvlJc w:val="left"/>
      <w:pPr>
        <w:tabs>
          <w:tab w:val="num" w:pos="720"/>
        </w:tabs>
        <w:ind w:left="720" w:hanging="720"/>
      </w:pPr>
      <w:rPr>
        <w:rFonts w:ascii="Symbol" w:hAnsi="Symbol" w:hint="default"/>
        <w:b w:val="0"/>
        <w:i w:val="0"/>
      </w:rPr>
    </w:lvl>
    <w:lvl w:ilvl="1" w:tplc="0C090001">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nsid w:val="464E5ADD"/>
    <w:multiLevelType w:val="hybridMultilevel"/>
    <w:tmpl w:val="3BA4895A"/>
    <w:lvl w:ilvl="0" w:tplc="909E6AE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F61F85"/>
    <w:multiLevelType w:val="hybridMultilevel"/>
    <w:tmpl w:val="299EE9AA"/>
    <w:lvl w:ilvl="0" w:tplc="B20E40AA">
      <w:numFmt w:val="bullet"/>
      <w:lvlText w:val="-"/>
      <w:lvlJc w:val="left"/>
      <w:pPr>
        <w:ind w:left="1778" w:hanging="360"/>
      </w:pPr>
      <w:rPr>
        <w:rFonts w:ascii="Arial" w:eastAsia="Times New Roman" w:hAnsi="Arial" w:cs="Aria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4">
    <w:nsid w:val="49FF7A73"/>
    <w:multiLevelType w:val="multilevel"/>
    <w:tmpl w:val="4F2257E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E4322A8"/>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57231DAC"/>
    <w:multiLevelType w:val="multilevel"/>
    <w:tmpl w:val="FE9419EA"/>
    <w:lvl w:ilvl="0">
      <w:start w:val="1"/>
      <w:numFmt w:val="decimal"/>
      <w:lvlText w:val="%1"/>
      <w:lvlJc w:val="left"/>
      <w:pPr>
        <w:tabs>
          <w:tab w:val="num" w:pos="851"/>
        </w:tabs>
        <w:ind w:left="851" w:hanging="851"/>
      </w:pPr>
      <w:rPr>
        <w:rFonts w:cs="Times New Roman" w:hint="default"/>
      </w:rPr>
    </w:lvl>
    <w:lvl w:ilvl="1">
      <w:start w:val="1"/>
      <w:numFmt w:val="bullet"/>
      <w:lvlText w:val=""/>
      <w:lvlJc w:val="left"/>
      <w:pPr>
        <w:tabs>
          <w:tab w:val="num" w:pos="1135"/>
        </w:tabs>
        <w:ind w:left="1135" w:hanging="851"/>
      </w:pPr>
      <w:rPr>
        <w:rFonts w:ascii="Symbol" w:hAnsi="Symbol" w:hint="default"/>
        <w:b/>
        <w:i/>
      </w:rPr>
    </w:lvl>
    <w:lvl w:ilvl="2">
      <w:start w:val="1"/>
      <w:numFmt w:val="bullet"/>
      <w:lvlText w:val=""/>
      <w:lvlJc w:val="left"/>
      <w:pPr>
        <w:tabs>
          <w:tab w:val="num" w:pos="851"/>
        </w:tabs>
        <w:ind w:left="851" w:hanging="851"/>
      </w:pPr>
      <w:rPr>
        <w:rFonts w:ascii="Symbol" w:hAnsi="Symbol" w:hint="default"/>
        <w:b/>
        <w:i/>
        <w:sz w:val="24"/>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68E61540"/>
    <w:multiLevelType w:val="hybridMultilevel"/>
    <w:tmpl w:val="090E9822"/>
    <w:lvl w:ilvl="0" w:tplc="50F2EAD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6BD52B4E"/>
    <w:multiLevelType w:val="multilevel"/>
    <w:tmpl w:val="FCC0F9B6"/>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1135"/>
        </w:tabs>
        <w:ind w:left="1135" w:hanging="851"/>
      </w:pPr>
      <w:rPr>
        <w:rFonts w:cs="Times New Roman" w:hint="default"/>
        <w:b/>
        <w:i/>
      </w:rPr>
    </w:lvl>
    <w:lvl w:ilvl="2">
      <w:start w:val="1"/>
      <w:numFmt w:val="bullet"/>
      <w:lvlText w:val=""/>
      <w:lvlJc w:val="left"/>
      <w:pPr>
        <w:tabs>
          <w:tab w:val="num" w:pos="851"/>
        </w:tabs>
        <w:ind w:left="851" w:hanging="851"/>
      </w:pPr>
      <w:rPr>
        <w:rFonts w:ascii="Symbol" w:hAnsi="Symbol" w:hint="default"/>
        <w:b/>
        <w:i/>
        <w:sz w:val="24"/>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6C1D6BD4"/>
    <w:multiLevelType w:val="multilevel"/>
    <w:tmpl w:val="8F0C69B4"/>
    <w:lvl w:ilvl="0">
      <w:start w:val="1"/>
      <w:numFmt w:val="decimal"/>
      <w:lvlText w:val="%1."/>
      <w:lvlJc w:val="left"/>
      <w:pPr>
        <w:tabs>
          <w:tab w:val="num" w:pos="720"/>
        </w:tabs>
        <w:ind w:left="720" w:hanging="720"/>
      </w:pPr>
      <w:rPr>
        <w:rFonts w:cs="Times New Roman" w:hint="default"/>
        <w:b w:val="0"/>
        <w:i w:val="0"/>
      </w:rPr>
    </w:lvl>
    <w:lvl w:ilvl="1">
      <w:start w:val="1"/>
      <w:numFmt w:val="bullet"/>
      <w:lvlText w:val=""/>
      <w:lvlJc w:val="left"/>
      <w:pPr>
        <w:tabs>
          <w:tab w:val="num" w:pos="1440"/>
        </w:tabs>
        <w:ind w:left="1440" w:hanging="360"/>
      </w:pPr>
      <w:rPr>
        <w:rFonts w:ascii="Symbol" w:hAnsi="Symbol" w:hint="default"/>
        <w:b w:val="0"/>
        <w:sz w:val="22"/>
        <w:szCs w:val="22"/>
      </w:rPr>
    </w:lvl>
    <w:lvl w:ilvl="2">
      <w:start w:val="1"/>
      <w:numFmt w:val="lowerRoman"/>
      <w:lvlText w:val="%3."/>
      <w:lvlJc w:val="right"/>
      <w:pPr>
        <w:tabs>
          <w:tab w:val="num" w:pos="2160"/>
        </w:tabs>
        <w:ind w:left="2160" w:hanging="180"/>
      </w:pPr>
      <w:rPr>
        <w:rFonts w:cs="Times New Roman"/>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0721124"/>
    <w:multiLevelType w:val="hybridMultilevel"/>
    <w:tmpl w:val="3BE4156C"/>
    <w:lvl w:ilvl="0" w:tplc="E408A7A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730F5020"/>
    <w:multiLevelType w:val="hybridMultilevel"/>
    <w:tmpl w:val="4A46B58C"/>
    <w:lvl w:ilvl="0" w:tplc="0C090005">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nsid w:val="74C74663"/>
    <w:multiLevelType w:val="hybridMultilevel"/>
    <w:tmpl w:val="8F0C69B4"/>
    <w:lvl w:ilvl="0" w:tplc="0C090001">
      <w:start w:val="1"/>
      <w:numFmt w:val="decimal"/>
      <w:lvlText w:val="%1."/>
      <w:lvlJc w:val="left"/>
      <w:pPr>
        <w:tabs>
          <w:tab w:val="num" w:pos="720"/>
        </w:tabs>
        <w:ind w:left="720" w:hanging="720"/>
      </w:pPr>
      <w:rPr>
        <w:rFonts w:cs="Times New Roman" w:hint="default"/>
        <w:b w:val="0"/>
        <w:i w:val="0"/>
      </w:rPr>
    </w:lvl>
    <w:lvl w:ilvl="1" w:tplc="0C090001">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4">
    <w:nsid w:val="75A059CE"/>
    <w:multiLevelType w:val="hybridMultilevel"/>
    <w:tmpl w:val="F364C87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5">
    <w:nsid w:val="77985733"/>
    <w:multiLevelType w:val="multilevel"/>
    <w:tmpl w:val="0054EC2E"/>
    <w:lvl w:ilvl="0">
      <w:start w:val="1"/>
      <w:numFmt w:val="decimal"/>
      <w:lvlText w:val="%1"/>
      <w:lvlJc w:val="left"/>
      <w:pPr>
        <w:tabs>
          <w:tab w:val="num" w:pos="851"/>
        </w:tabs>
        <w:ind w:left="851" w:hanging="851"/>
      </w:pPr>
      <w:rPr>
        <w:rFonts w:cs="Times New Roman" w:hint="default"/>
      </w:rPr>
    </w:lvl>
    <w:lvl w:ilvl="1">
      <w:start w:val="1"/>
      <w:numFmt w:val="lowerLetter"/>
      <w:lvlText w:val="(%2)"/>
      <w:lvlJc w:val="left"/>
      <w:pPr>
        <w:tabs>
          <w:tab w:val="num" w:pos="1135"/>
        </w:tabs>
        <w:ind w:left="1135" w:hanging="851"/>
      </w:pPr>
      <w:rPr>
        <w:rFonts w:hint="default"/>
        <w:b/>
        <w:i/>
      </w:rPr>
    </w:lvl>
    <w:lvl w:ilvl="2">
      <w:start w:val="1"/>
      <w:numFmt w:val="bullet"/>
      <w:lvlText w:val=""/>
      <w:lvlJc w:val="left"/>
      <w:pPr>
        <w:tabs>
          <w:tab w:val="num" w:pos="851"/>
        </w:tabs>
        <w:ind w:left="851" w:hanging="851"/>
      </w:pPr>
      <w:rPr>
        <w:rFonts w:ascii="Symbol" w:hAnsi="Symbol" w:hint="default"/>
        <w:b/>
        <w:i/>
        <w:sz w:val="24"/>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7E903915"/>
    <w:multiLevelType w:val="hybridMultilevel"/>
    <w:tmpl w:val="6934888C"/>
    <w:lvl w:ilvl="0" w:tplc="FB823F4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26"/>
  </w:num>
  <w:num w:numId="2">
    <w:abstractNumId w:val="18"/>
  </w:num>
  <w:num w:numId="3">
    <w:abstractNumId w:val="10"/>
  </w:num>
  <w:num w:numId="4">
    <w:abstractNumId w:val="25"/>
  </w:num>
  <w:num w:numId="5">
    <w:abstractNumId w:val="13"/>
  </w:num>
  <w:num w:numId="6">
    <w:abstractNumId w:val="8"/>
  </w:num>
  <w:num w:numId="7">
    <w:abstractNumId w:val="33"/>
  </w:num>
  <w:num w:numId="8">
    <w:abstractNumId w:val="1"/>
  </w:num>
  <w:num w:numId="9">
    <w:abstractNumId w:val="0"/>
  </w:num>
  <w:num w:numId="10">
    <w:abstractNumId w:val="2"/>
  </w:num>
  <w:num w:numId="11">
    <w:abstractNumId w:val="9"/>
  </w:num>
  <w:num w:numId="12">
    <w:abstractNumId w:val="3"/>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13">
    <w:abstractNumId w:val="36"/>
  </w:num>
  <w:num w:numId="14">
    <w:abstractNumId w:val="5"/>
  </w:num>
  <w:num w:numId="15">
    <w:abstractNumId w:val="34"/>
  </w:num>
  <w:num w:numId="16">
    <w:abstractNumId w:val="13"/>
  </w:num>
  <w:num w:numId="17">
    <w:abstractNumId w:val="13"/>
  </w:num>
  <w:num w:numId="18">
    <w:abstractNumId w:val="13"/>
  </w:num>
  <w:num w:numId="19">
    <w:abstractNumId w:val="16"/>
  </w:num>
  <w:num w:numId="20">
    <w:abstractNumId w:val="20"/>
  </w:num>
  <w:num w:numId="21">
    <w:abstractNumId w:val="14"/>
  </w:num>
  <w:num w:numId="22">
    <w:abstractNumId w:val="32"/>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2"/>
  </w:num>
  <w:num w:numId="27">
    <w:abstractNumId w:val="22"/>
  </w:num>
  <w:num w:numId="28">
    <w:abstractNumId w:val="7"/>
  </w:num>
  <w:num w:numId="29">
    <w:abstractNumId w:val="17"/>
  </w:num>
  <w:num w:numId="30">
    <w:abstractNumId w:val="13"/>
  </w:num>
  <w:num w:numId="31">
    <w:abstractNumId w:val="21"/>
  </w:num>
  <w:num w:numId="32">
    <w:abstractNumId w:val="13"/>
  </w:num>
  <w:num w:numId="33">
    <w:abstractNumId w:val="31"/>
  </w:num>
  <w:num w:numId="34">
    <w:abstractNumId w:val="13"/>
  </w:num>
  <w:num w:numId="35">
    <w:abstractNumId w:val="29"/>
  </w:num>
  <w:num w:numId="36">
    <w:abstractNumId w:val="15"/>
  </w:num>
  <w:num w:numId="37">
    <w:abstractNumId w:val="35"/>
  </w:num>
  <w:num w:numId="38">
    <w:abstractNumId w:val="11"/>
  </w:num>
  <w:num w:numId="39">
    <w:abstractNumId w:val="27"/>
  </w:num>
  <w:num w:numId="40">
    <w:abstractNumId w:val="19"/>
  </w:num>
  <w:num w:numId="41">
    <w:abstractNumId w:val="4"/>
  </w:num>
  <w:num w:numId="42">
    <w:abstractNumId w:val="23"/>
  </w:num>
  <w:num w:numId="43">
    <w:abstractNumId w:val="13"/>
  </w:num>
  <w:num w:numId="44">
    <w:abstractNumId w:val="13"/>
  </w:num>
  <w:num w:numId="45">
    <w:abstractNumId w:val="28"/>
  </w:num>
  <w:num w:numId="46">
    <w:abstractNumId w:val="13"/>
  </w:num>
  <w:num w:numId="47">
    <w:abstractNumId w:val="13"/>
  </w:num>
  <w:num w:numId="48">
    <w:abstractNumId w:val="13"/>
  </w:num>
  <w:num w:numId="49">
    <w:abstractNumId w:val="13"/>
  </w:num>
  <w:num w:numId="5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79"/>
    <w:rsid w:val="00000645"/>
    <w:rsid w:val="00000995"/>
    <w:rsid w:val="0000108E"/>
    <w:rsid w:val="000010F1"/>
    <w:rsid w:val="000014F4"/>
    <w:rsid w:val="0000153F"/>
    <w:rsid w:val="000017CE"/>
    <w:rsid w:val="00002062"/>
    <w:rsid w:val="00002CA2"/>
    <w:rsid w:val="0000304D"/>
    <w:rsid w:val="00003D6C"/>
    <w:rsid w:val="00004560"/>
    <w:rsid w:val="0000460A"/>
    <w:rsid w:val="0000486E"/>
    <w:rsid w:val="00004AE1"/>
    <w:rsid w:val="00004DFA"/>
    <w:rsid w:val="000061E1"/>
    <w:rsid w:val="00006202"/>
    <w:rsid w:val="0000659B"/>
    <w:rsid w:val="000071FD"/>
    <w:rsid w:val="0000779F"/>
    <w:rsid w:val="00007C94"/>
    <w:rsid w:val="00007DB9"/>
    <w:rsid w:val="000100E4"/>
    <w:rsid w:val="00010A3D"/>
    <w:rsid w:val="00011601"/>
    <w:rsid w:val="0001212F"/>
    <w:rsid w:val="00012322"/>
    <w:rsid w:val="0001254B"/>
    <w:rsid w:val="0001268D"/>
    <w:rsid w:val="000129D3"/>
    <w:rsid w:val="00013272"/>
    <w:rsid w:val="00014090"/>
    <w:rsid w:val="00014936"/>
    <w:rsid w:val="00014A69"/>
    <w:rsid w:val="00014E26"/>
    <w:rsid w:val="00014FFF"/>
    <w:rsid w:val="000152AB"/>
    <w:rsid w:val="000158A7"/>
    <w:rsid w:val="00015E3E"/>
    <w:rsid w:val="00015F8D"/>
    <w:rsid w:val="0001614B"/>
    <w:rsid w:val="00016BA2"/>
    <w:rsid w:val="00017101"/>
    <w:rsid w:val="00017519"/>
    <w:rsid w:val="00017A43"/>
    <w:rsid w:val="00017C98"/>
    <w:rsid w:val="000201C2"/>
    <w:rsid w:val="000201D7"/>
    <w:rsid w:val="000201E9"/>
    <w:rsid w:val="00020435"/>
    <w:rsid w:val="00020907"/>
    <w:rsid w:val="00021134"/>
    <w:rsid w:val="000218F1"/>
    <w:rsid w:val="00021B1B"/>
    <w:rsid w:val="00022991"/>
    <w:rsid w:val="00022BD3"/>
    <w:rsid w:val="00022CD1"/>
    <w:rsid w:val="00023241"/>
    <w:rsid w:val="0002376F"/>
    <w:rsid w:val="0002406A"/>
    <w:rsid w:val="00024359"/>
    <w:rsid w:val="000243DA"/>
    <w:rsid w:val="000244B8"/>
    <w:rsid w:val="00024FC4"/>
    <w:rsid w:val="00025002"/>
    <w:rsid w:val="00025ADF"/>
    <w:rsid w:val="00026375"/>
    <w:rsid w:val="000263C1"/>
    <w:rsid w:val="00027517"/>
    <w:rsid w:val="00027D6D"/>
    <w:rsid w:val="0003038F"/>
    <w:rsid w:val="0003096F"/>
    <w:rsid w:val="00031403"/>
    <w:rsid w:val="0003176C"/>
    <w:rsid w:val="00032305"/>
    <w:rsid w:val="000323E3"/>
    <w:rsid w:val="00032936"/>
    <w:rsid w:val="00032A8D"/>
    <w:rsid w:val="00033207"/>
    <w:rsid w:val="00033583"/>
    <w:rsid w:val="0003442A"/>
    <w:rsid w:val="00034C6D"/>
    <w:rsid w:val="00034DF2"/>
    <w:rsid w:val="00034EA2"/>
    <w:rsid w:val="00035849"/>
    <w:rsid w:val="00035FC9"/>
    <w:rsid w:val="000360E4"/>
    <w:rsid w:val="000364D1"/>
    <w:rsid w:val="00037019"/>
    <w:rsid w:val="000370B0"/>
    <w:rsid w:val="00037BD6"/>
    <w:rsid w:val="0004095C"/>
    <w:rsid w:val="00040AE0"/>
    <w:rsid w:val="000415C5"/>
    <w:rsid w:val="000417E5"/>
    <w:rsid w:val="00042085"/>
    <w:rsid w:val="00042092"/>
    <w:rsid w:val="0004210D"/>
    <w:rsid w:val="00042BE0"/>
    <w:rsid w:val="00042C50"/>
    <w:rsid w:val="0004397C"/>
    <w:rsid w:val="00043C23"/>
    <w:rsid w:val="00044CA3"/>
    <w:rsid w:val="00044DEC"/>
    <w:rsid w:val="000453C6"/>
    <w:rsid w:val="00045D72"/>
    <w:rsid w:val="0004638B"/>
    <w:rsid w:val="00047076"/>
    <w:rsid w:val="000479A7"/>
    <w:rsid w:val="00047D01"/>
    <w:rsid w:val="00050810"/>
    <w:rsid w:val="0005103C"/>
    <w:rsid w:val="00051CE0"/>
    <w:rsid w:val="0005202A"/>
    <w:rsid w:val="0005222E"/>
    <w:rsid w:val="00052249"/>
    <w:rsid w:val="000523CB"/>
    <w:rsid w:val="000523EF"/>
    <w:rsid w:val="00052697"/>
    <w:rsid w:val="00053523"/>
    <w:rsid w:val="00054004"/>
    <w:rsid w:val="000540A0"/>
    <w:rsid w:val="0005426C"/>
    <w:rsid w:val="000542C7"/>
    <w:rsid w:val="0005446F"/>
    <w:rsid w:val="000544EE"/>
    <w:rsid w:val="0005547E"/>
    <w:rsid w:val="00055868"/>
    <w:rsid w:val="00055A9A"/>
    <w:rsid w:val="00055CCA"/>
    <w:rsid w:val="00056436"/>
    <w:rsid w:val="000567C9"/>
    <w:rsid w:val="000569A6"/>
    <w:rsid w:val="000570CC"/>
    <w:rsid w:val="000570D1"/>
    <w:rsid w:val="00057668"/>
    <w:rsid w:val="000579B1"/>
    <w:rsid w:val="00057D3C"/>
    <w:rsid w:val="00060991"/>
    <w:rsid w:val="0006132E"/>
    <w:rsid w:val="000618E7"/>
    <w:rsid w:val="000625D0"/>
    <w:rsid w:val="00062E05"/>
    <w:rsid w:val="00063614"/>
    <w:rsid w:val="00063F02"/>
    <w:rsid w:val="00064538"/>
    <w:rsid w:val="000651EE"/>
    <w:rsid w:val="00065F71"/>
    <w:rsid w:val="00066F0A"/>
    <w:rsid w:val="00067265"/>
    <w:rsid w:val="0006754B"/>
    <w:rsid w:val="00067D3A"/>
    <w:rsid w:val="000704FC"/>
    <w:rsid w:val="00070624"/>
    <w:rsid w:val="00070E05"/>
    <w:rsid w:val="000718CB"/>
    <w:rsid w:val="00071CC3"/>
    <w:rsid w:val="00071E4E"/>
    <w:rsid w:val="00072183"/>
    <w:rsid w:val="000729A3"/>
    <w:rsid w:val="000729B3"/>
    <w:rsid w:val="00072F5B"/>
    <w:rsid w:val="00073587"/>
    <w:rsid w:val="000737F8"/>
    <w:rsid w:val="00073EC7"/>
    <w:rsid w:val="000745FB"/>
    <w:rsid w:val="00074881"/>
    <w:rsid w:val="00074CD6"/>
    <w:rsid w:val="00074D0C"/>
    <w:rsid w:val="00076C71"/>
    <w:rsid w:val="0007732B"/>
    <w:rsid w:val="00077CEE"/>
    <w:rsid w:val="00080D88"/>
    <w:rsid w:val="00080F6B"/>
    <w:rsid w:val="0008196E"/>
    <w:rsid w:val="00082405"/>
    <w:rsid w:val="000830EB"/>
    <w:rsid w:val="0008392C"/>
    <w:rsid w:val="00084000"/>
    <w:rsid w:val="00084A54"/>
    <w:rsid w:val="00085074"/>
    <w:rsid w:val="0008523A"/>
    <w:rsid w:val="00085562"/>
    <w:rsid w:val="00086500"/>
    <w:rsid w:val="00086627"/>
    <w:rsid w:val="000867ED"/>
    <w:rsid w:val="000875EB"/>
    <w:rsid w:val="00087CAD"/>
    <w:rsid w:val="00087E2D"/>
    <w:rsid w:val="0009028B"/>
    <w:rsid w:val="00090364"/>
    <w:rsid w:val="00090596"/>
    <w:rsid w:val="00091FF7"/>
    <w:rsid w:val="000934B0"/>
    <w:rsid w:val="0009352B"/>
    <w:rsid w:val="00093BF2"/>
    <w:rsid w:val="0009471F"/>
    <w:rsid w:val="00094A51"/>
    <w:rsid w:val="00094C01"/>
    <w:rsid w:val="000955AF"/>
    <w:rsid w:val="0009563D"/>
    <w:rsid w:val="000961A8"/>
    <w:rsid w:val="0009623D"/>
    <w:rsid w:val="00096295"/>
    <w:rsid w:val="00096506"/>
    <w:rsid w:val="00096772"/>
    <w:rsid w:val="000969AF"/>
    <w:rsid w:val="00096AA9"/>
    <w:rsid w:val="00096DF5"/>
    <w:rsid w:val="00096E8E"/>
    <w:rsid w:val="000976EB"/>
    <w:rsid w:val="00097A56"/>
    <w:rsid w:val="00097AE0"/>
    <w:rsid w:val="000A013E"/>
    <w:rsid w:val="000A05CC"/>
    <w:rsid w:val="000A0820"/>
    <w:rsid w:val="000A0E8E"/>
    <w:rsid w:val="000A1402"/>
    <w:rsid w:val="000A1EAD"/>
    <w:rsid w:val="000A1F43"/>
    <w:rsid w:val="000A2092"/>
    <w:rsid w:val="000A2C78"/>
    <w:rsid w:val="000A371C"/>
    <w:rsid w:val="000A3947"/>
    <w:rsid w:val="000A3BC5"/>
    <w:rsid w:val="000A3D33"/>
    <w:rsid w:val="000A3DB6"/>
    <w:rsid w:val="000A4C01"/>
    <w:rsid w:val="000A6A08"/>
    <w:rsid w:val="000A7634"/>
    <w:rsid w:val="000A7748"/>
    <w:rsid w:val="000A7E5F"/>
    <w:rsid w:val="000B0095"/>
    <w:rsid w:val="000B03B0"/>
    <w:rsid w:val="000B06A4"/>
    <w:rsid w:val="000B0A5D"/>
    <w:rsid w:val="000B11EB"/>
    <w:rsid w:val="000B192C"/>
    <w:rsid w:val="000B19D7"/>
    <w:rsid w:val="000B21AB"/>
    <w:rsid w:val="000B354E"/>
    <w:rsid w:val="000B362B"/>
    <w:rsid w:val="000B3EAF"/>
    <w:rsid w:val="000B515B"/>
    <w:rsid w:val="000B5515"/>
    <w:rsid w:val="000B5C15"/>
    <w:rsid w:val="000B65E5"/>
    <w:rsid w:val="000B6632"/>
    <w:rsid w:val="000B68E8"/>
    <w:rsid w:val="000B6EC6"/>
    <w:rsid w:val="000B7141"/>
    <w:rsid w:val="000B73D3"/>
    <w:rsid w:val="000B79D6"/>
    <w:rsid w:val="000C04D8"/>
    <w:rsid w:val="000C1022"/>
    <w:rsid w:val="000C136D"/>
    <w:rsid w:val="000C1CAF"/>
    <w:rsid w:val="000C1DDF"/>
    <w:rsid w:val="000C47A5"/>
    <w:rsid w:val="000C4CAC"/>
    <w:rsid w:val="000C4CE6"/>
    <w:rsid w:val="000C4E39"/>
    <w:rsid w:val="000C5161"/>
    <w:rsid w:val="000C58F6"/>
    <w:rsid w:val="000C64E9"/>
    <w:rsid w:val="000C75C5"/>
    <w:rsid w:val="000C7DC5"/>
    <w:rsid w:val="000D0066"/>
    <w:rsid w:val="000D02B1"/>
    <w:rsid w:val="000D070F"/>
    <w:rsid w:val="000D1F2C"/>
    <w:rsid w:val="000D1FBD"/>
    <w:rsid w:val="000D2BBC"/>
    <w:rsid w:val="000D2CCE"/>
    <w:rsid w:val="000D33FB"/>
    <w:rsid w:val="000D3467"/>
    <w:rsid w:val="000D3573"/>
    <w:rsid w:val="000D36FC"/>
    <w:rsid w:val="000D404B"/>
    <w:rsid w:val="000D697B"/>
    <w:rsid w:val="000D72A1"/>
    <w:rsid w:val="000D7538"/>
    <w:rsid w:val="000D75DB"/>
    <w:rsid w:val="000E0208"/>
    <w:rsid w:val="000E056B"/>
    <w:rsid w:val="000E1188"/>
    <w:rsid w:val="000E187A"/>
    <w:rsid w:val="000E1924"/>
    <w:rsid w:val="000E1A58"/>
    <w:rsid w:val="000E1AAD"/>
    <w:rsid w:val="000E35F4"/>
    <w:rsid w:val="000E3740"/>
    <w:rsid w:val="000E39F7"/>
    <w:rsid w:val="000E4B22"/>
    <w:rsid w:val="000E50B5"/>
    <w:rsid w:val="000E64B9"/>
    <w:rsid w:val="000E6CC2"/>
    <w:rsid w:val="000E6FB1"/>
    <w:rsid w:val="000E7B19"/>
    <w:rsid w:val="000F1AC2"/>
    <w:rsid w:val="000F2FEB"/>
    <w:rsid w:val="000F30E7"/>
    <w:rsid w:val="000F3550"/>
    <w:rsid w:val="000F3609"/>
    <w:rsid w:val="000F3724"/>
    <w:rsid w:val="000F382F"/>
    <w:rsid w:val="000F414E"/>
    <w:rsid w:val="000F52B4"/>
    <w:rsid w:val="000F550E"/>
    <w:rsid w:val="000F5A27"/>
    <w:rsid w:val="000F5D00"/>
    <w:rsid w:val="000F64D3"/>
    <w:rsid w:val="000F66E1"/>
    <w:rsid w:val="000F687B"/>
    <w:rsid w:val="000F79DF"/>
    <w:rsid w:val="000F7F76"/>
    <w:rsid w:val="00100651"/>
    <w:rsid w:val="00100794"/>
    <w:rsid w:val="0010114A"/>
    <w:rsid w:val="001011C8"/>
    <w:rsid w:val="001018AB"/>
    <w:rsid w:val="001024BC"/>
    <w:rsid w:val="00102EA2"/>
    <w:rsid w:val="00103481"/>
    <w:rsid w:val="00103C48"/>
    <w:rsid w:val="00104891"/>
    <w:rsid w:val="00104A89"/>
    <w:rsid w:val="00104B8E"/>
    <w:rsid w:val="00104BA4"/>
    <w:rsid w:val="00104E22"/>
    <w:rsid w:val="0010515E"/>
    <w:rsid w:val="00105A30"/>
    <w:rsid w:val="00105FC4"/>
    <w:rsid w:val="00106777"/>
    <w:rsid w:val="00106B4D"/>
    <w:rsid w:val="00107065"/>
    <w:rsid w:val="001103CD"/>
    <w:rsid w:val="001105EA"/>
    <w:rsid w:val="00110AEB"/>
    <w:rsid w:val="00110C50"/>
    <w:rsid w:val="0011137E"/>
    <w:rsid w:val="00111650"/>
    <w:rsid w:val="00112106"/>
    <w:rsid w:val="00112461"/>
    <w:rsid w:val="001130DC"/>
    <w:rsid w:val="00113317"/>
    <w:rsid w:val="0011377D"/>
    <w:rsid w:val="00113850"/>
    <w:rsid w:val="00113A4C"/>
    <w:rsid w:val="00113D99"/>
    <w:rsid w:val="00113F37"/>
    <w:rsid w:val="00114092"/>
    <w:rsid w:val="0011413A"/>
    <w:rsid w:val="00114372"/>
    <w:rsid w:val="00114DE0"/>
    <w:rsid w:val="00114DEC"/>
    <w:rsid w:val="00115897"/>
    <w:rsid w:val="00115A53"/>
    <w:rsid w:val="00116124"/>
    <w:rsid w:val="00116153"/>
    <w:rsid w:val="001166FA"/>
    <w:rsid w:val="001167E0"/>
    <w:rsid w:val="00116B3C"/>
    <w:rsid w:val="00117406"/>
    <w:rsid w:val="00117769"/>
    <w:rsid w:val="00117C69"/>
    <w:rsid w:val="00117CE1"/>
    <w:rsid w:val="00120077"/>
    <w:rsid w:val="00120565"/>
    <w:rsid w:val="00120F05"/>
    <w:rsid w:val="001222D2"/>
    <w:rsid w:val="0012233F"/>
    <w:rsid w:val="001224D7"/>
    <w:rsid w:val="00122B07"/>
    <w:rsid w:val="00123219"/>
    <w:rsid w:val="0012337E"/>
    <w:rsid w:val="0012390A"/>
    <w:rsid w:val="001239B6"/>
    <w:rsid w:val="00123F08"/>
    <w:rsid w:val="00123F60"/>
    <w:rsid w:val="001243F0"/>
    <w:rsid w:val="0012584C"/>
    <w:rsid w:val="00125D1B"/>
    <w:rsid w:val="001260C3"/>
    <w:rsid w:val="00126308"/>
    <w:rsid w:val="00126866"/>
    <w:rsid w:val="00126A02"/>
    <w:rsid w:val="001303B3"/>
    <w:rsid w:val="001303FF"/>
    <w:rsid w:val="00130627"/>
    <w:rsid w:val="00131768"/>
    <w:rsid w:val="00131CB1"/>
    <w:rsid w:val="00132091"/>
    <w:rsid w:val="001322D4"/>
    <w:rsid w:val="00132462"/>
    <w:rsid w:val="0013395C"/>
    <w:rsid w:val="00133A2E"/>
    <w:rsid w:val="00133CD9"/>
    <w:rsid w:val="00133D62"/>
    <w:rsid w:val="00134947"/>
    <w:rsid w:val="00134BAF"/>
    <w:rsid w:val="001355AD"/>
    <w:rsid w:val="0013585D"/>
    <w:rsid w:val="00135B39"/>
    <w:rsid w:val="00136B0C"/>
    <w:rsid w:val="00136D41"/>
    <w:rsid w:val="00136E8A"/>
    <w:rsid w:val="00137B1E"/>
    <w:rsid w:val="00137EBB"/>
    <w:rsid w:val="00140077"/>
    <w:rsid w:val="0014061D"/>
    <w:rsid w:val="00140681"/>
    <w:rsid w:val="00140B64"/>
    <w:rsid w:val="0014206D"/>
    <w:rsid w:val="00142B9D"/>
    <w:rsid w:val="00143172"/>
    <w:rsid w:val="00143D21"/>
    <w:rsid w:val="001442AC"/>
    <w:rsid w:val="00144303"/>
    <w:rsid w:val="0014439B"/>
    <w:rsid w:val="0014472A"/>
    <w:rsid w:val="00144C0D"/>
    <w:rsid w:val="001465BA"/>
    <w:rsid w:val="00146771"/>
    <w:rsid w:val="00146A6A"/>
    <w:rsid w:val="00147115"/>
    <w:rsid w:val="00147761"/>
    <w:rsid w:val="00147C8D"/>
    <w:rsid w:val="00150182"/>
    <w:rsid w:val="0015062E"/>
    <w:rsid w:val="00150C7A"/>
    <w:rsid w:val="001515E7"/>
    <w:rsid w:val="00151A18"/>
    <w:rsid w:val="00151BC9"/>
    <w:rsid w:val="00151DA3"/>
    <w:rsid w:val="001523D8"/>
    <w:rsid w:val="001528FF"/>
    <w:rsid w:val="00152C8B"/>
    <w:rsid w:val="00152C9C"/>
    <w:rsid w:val="00152EF4"/>
    <w:rsid w:val="001531F9"/>
    <w:rsid w:val="001533E4"/>
    <w:rsid w:val="00153507"/>
    <w:rsid w:val="001539A3"/>
    <w:rsid w:val="00154114"/>
    <w:rsid w:val="00154510"/>
    <w:rsid w:val="00154885"/>
    <w:rsid w:val="00155880"/>
    <w:rsid w:val="00155ADA"/>
    <w:rsid w:val="00155CF7"/>
    <w:rsid w:val="00155EF4"/>
    <w:rsid w:val="001566D4"/>
    <w:rsid w:val="0015674C"/>
    <w:rsid w:val="00157067"/>
    <w:rsid w:val="0015737C"/>
    <w:rsid w:val="001574AD"/>
    <w:rsid w:val="00157658"/>
    <w:rsid w:val="0015774C"/>
    <w:rsid w:val="00157A6B"/>
    <w:rsid w:val="00162A8D"/>
    <w:rsid w:val="00163113"/>
    <w:rsid w:val="00163C2C"/>
    <w:rsid w:val="00164191"/>
    <w:rsid w:val="00164764"/>
    <w:rsid w:val="001649D9"/>
    <w:rsid w:val="001651CD"/>
    <w:rsid w:val="001659F9"/>
    <w:rsid w:val="00166C0D"/>
    <w:rsid w:val="00166F38"/>
    <w:rsid w:val="00166F9B"/>
    <w:rsid w:val="00167CD8"/>
    <w:rsid w:val="00170002"/>
    <w:rsid w:val="001703F1"/>
    <w:rsid w:val="00170CAE"/>
    <w:rsid w:val="00170E1D"/>
    <w:rsid w:val="00170F39"/>
    <w:rsid w:val="00170F93"/>
    <w:rsid w:val="0017118A"/>
    <w:rsid w:val="00171D76"/>
    <w:rsid w:val="00171FD4"/>
    <w:rsid w:val="00172773"/>
    <w:rsid w:val="001727C4"/>
    <w:rsid w:val="00172ABA"/>
    <w:rsid w:val="00172DB3"/>
    <w:rsid w:val="00173156"/>
    <w:rsid w:val="00173EEB"/>
    <w:rsid w:val="001744A3"/>
    <w:rsid w:val="00174C4D"/>
    <w:rsid w:val="00175261"/>
    <w:rsid w:val="001756BF"/>
    <w:rsid w:val="00175742"/>
    <w:rsid w:val="00175E12"/>
    <w:rsid w:val="00175E81"/>
    <w:rsid w:val="001763E5"/>
    <w:rsid w:val="0017647E"/>
    <w:rsid w:val="001766CD"/>
    <w:rsid w:val="00176941"/>
    <w:rsid w:val="00176AB0"/>
    <w:rsid w:val="0017792A"/>
    <w:rsid w:val="0018017D"/>
    <w:rsid w:val="001803B6"/>
    <w:rsid w:val="00180A40"/>
    <w:rsid w:val="00180AFB"/>
    <w:rsid w:val="001810F7"/>
    <w:rsid w:val="001821DE"/>
    <w:rsid w:val="00183306"/>
    <w:rsid w:val="00184098"/>
    <w:rsid w:val="001840CE"/>
    <w:rsid w:val="001853B9"/>
    <w:rsid w:val="0018599B"/>
    <w:rsid w:val="001867A2"/>
    <w:rsid w:val="00186A2B"/>
    <w:rsid w:val="00186BDE"/>
    <w:rsid w:val="0018736F"/>
    <w:rsid w:val="001874AB"/>
    <w:rsid w:val="00187AF6"/>
    <w:rsid w:val="00187BA7"/>
    <w:rsid w:val="001904E1"/>
    <w:rsid w:val="00190F05"/>
    <w:rsid w:val="0019119F"/>
    <w:rsid w:val="00191512"/>
    <w:rsid w:val="00191F22"/>
    <w:rsid w:val="00192F7A"/>
    <w:rsid w:val="0019303E"/>
    <w:rsid w:val="00193422"/>
    <w:rsid w:val="001938EF"/>
    <w:rsid w:val="00193DC4"/>
    <w:rsid w:val="0019492B"/>
    <w:rsid w:val="00194C03"/>
    <w:rsid w:val="00195017"/>
    <w:rsid w:val="00195395"/>
    <w:rsid w:val="0019552F"/>
    <w:rsid w:val="00195AE9"/>
    <w:rsid w:val="00196243"/>
    <w:rsid w:val="00196843"/>
    <w:rsid w:val="00196E12"/>
    <w:rsid w:val="00197724"/>
    <w:rsid w:val="001977D7"/>
    <w:rsid w:val="001A037F"/>
    <w:rsid w:val="001A05DE"/>
    <w:rsid w:val="001A05EC"/>
    <w:rsid w:val="001A08CE"/>
    <w:rsid w:val="001A0954"/>
    <w:rsid w:val="001A0B69"/>
    <w:rsid w:val="001A0B76"/>
    <w:rsid w:val="001A1B39"/>
    <w:rsid w:val="001A1FE2"/>
    <w:rsid w:val="001A200B"/>
    <w:rsid w:val="001A2A8F"/>
    <w:rsid w:val="001A3CE4"/>
    <w:rsid w:val="001A414B"/>
    <w:rsid w:val="001A425D"/>
    <w:rsid w:val="001A4491"/>
    <w:rsid w:val="001A4DF7"/>
    <w:rsid w:val="001A4E4E"/>
    <w:rsid w:val="001A5890"/>
    <w:rsid w:val="001A5985"/>
    <w:rsid w:val="001A5D46"/>
    <w:rsid w:val="001A6770"/>
    <w:rsid w:val="001B0268"/>
    <w:rsid w:val="001B0353"/>
    <w:rsid w:val="001B0444"/>
    <w:rsid w:val="001B15AC"/>
    <w:rsid w:val="001B1ACD"/>
    <w:rsid w:val="001B1D8C"/>
    <w:rsid w:val="001B2A8E"/>
    <w:rsid w:val="001B2DD3"/>
    <w:rsid w:val="001B397B"/>
    <w:rsid w:val="001B3B40"/>
    <w:rsid w:val="001B3F32"/>
    <w:rsid w:val="001B414F"/>
    <w:rsid w:val="001B42E9"/>
    <w:rsid w:val="001B42F8"/>
    <w:rsid w:val="001B4704"/>
    <w:rsid w:val="001B4D30"/>
    <w:rsid w:val="001B4FC3"/>
    <w:rsid w:val="001B5D11"/>
    <w:rsid w:val="001B6315"/>
    <w:rsid w:val="001B6398"/>
    <w:rsid w:val="001B7487"/>
    <w:rsid w:val="001C0852"/>
    <w:rsid w:val="001C0E24"/>
    <w:rsid w:val="001C0F53"/>
    <w:rsid w:val="001C0F7F"/>
    <w:rsid w:val="001C1099"/>
    <w:rsid w:val="001C10E5"/>
    <w:rsid w:val="001C139C"/>
    <w:rsid w:val="001C148C"/>
    <w:rsid w:val="001C1692"/>
    <w:rsid w:val="001C1700"/>
    <w:rsid w:val="001C19FB"/>
    <w:rsid w:val="001C1A91"/>
    <w:rsid w:val="001C1B21"/>
    <w:rsid w:val="001C22AF"/>
    <w:rsid w:val="001C27E3"/>
    <w:rsid w:val="001C29DB"/>
    <w:rsid w:val="001C2C1A"/>
    <w:rsid w:val="001C3461"/>
    <w:rsid w:val="001C451B"/>
    <w:rsid w:val="001C47A0"/>
    <w:rsid w:val="001C4B5E"/>
    <w:rsid w:val="001C65FA"/>
    <w:rsid w:val="001C67A1"/>
    <w:rsid w:val="001C6A35"/>
    <w:rsid w:val="001C72BE"/>
    <w:rsid w:val="001C7524"/>
    <w:rsid w:val="001C7553"/>
    <w:rsid w:val="001C797D"/>
    <w:rsid w:val="001C79BC"/>
    <w:rsid w:val="001D0116"/>
    <w:rsid w:val="001D08A5"/>
    <w:rsid w:val="001D147F"/>
    <w:rsid w:val="001D1C4E"/>
    <w:rsid w:val="001D234B"/>
    <w:rsid w:val="001D2529"/>
    <w:rsid w:val="001D2901"/>
    <w:rsid w:val="001D29CD"/>
    <w:rsid w:val="001D2C42"/>
    <w:rsid w:val="001D43FF"/>
    <w:rsid w:val="001D4E31"/>
    <w:rsid w:val="001D4E3C"/>
    <w:rsid w:val="001D56B6"/>
    <w:rsid w:val="001D5E4A"/>
    <w:rsid w:val="001D5F3D"/>
    <w:rsid w:val="001D603F"/>
    <w:rsid w:val="001D6966"/>
    <w:rsid w:val="001D69A8"/>
    <w:rsid w:val="001D6E71"/>
    <w:rsid w:val="001D747C"/>
    <w:rsid w:val="001D7DC4"/>
    <w:rsid w:val="001E01A4"/>
    <w:rsid w:val="001E028B"/>
    <w:rsid w:val="001E0522"/>
    <w:rsid w:val="001E0F4C"/>
    <w:rsid w:val="001E15E3"/>
    <w:rsid w:val="001E17AD"/>
    <w:rsid w:val="001E1874"/>
    <w:rsid w:val="001E18A5"/>
    <w:rsid w:val="001E2396"/>
    <w:rsid w:val="001E30F0"/>
    <w:rsid w:val="001E31A0"/>
    <w:rsid w:val="001E31FB"/>
    <w:rsid w:val="001E33EF"/>
    <w:rsid w:val="001E3F7A"/>
    <w:rsid w:val="001E5295"/>
    <w:rsid w:val="001E5862"/>
    <w:rsid w:val="001E7019"/>
    <w:rsid w:val="001E71FA"/>
    <w:rsid w:val="001E730A"/>
    <w:rsid w:val="001F00EE"/>
    <w:rsid w:val="001F0835"/>
    <w:rsid w:val="001F184A"/>
    <w:rsid w:val="001F2368"/>
    <w:rsid w:val="001F25AF"/>
    <w:rsid w:val="001F26FE"/>
    <w:rsid w:val="001F2BBB"/>
    <w:rsid w:val="001F2E02"/>
    <w:rsid w:val="001F2F8B"/>
    <w:rsid w:val="001F3546"/>
    <w:rsid w:val="001F3672"/>
    <w:rsid w:val="001F3A9F"/>
    <w:rsid w:val="001F4015"/>
    <w:rsid w:val="001F42D7"/>
    <w:rsid w:val="001F44AF"/>
    <w:rsid w:val="001F55AE"/>
    <w:rsid w:val="001F685F"/>
    <w:rsid w:val="001F6F72"/>
    <w:rsid w:val="001F7E9E"/>
    <w:rsid w:val="00200080"/>
    <w:rsid w:val="00200B07"/>
    <w:rsid w:val="00200CD0"/>
    <w:rsid w:val="00200F0A"/>
    <w:rsid w:val="00201004"/>
    <w:rsid w:val="0020198D"/>
    <w:rsid w:val="00202434"/>
    <w:rsid w:val="00202443"/>
    <w:rsid w:val="002035FC"/>
    <w:rsid w:val="002039AF"/>
    <w:rsid w:val="00204198"/>
    <w:rsid w:val="00204670"/>
    <w:rsid w:val="00204AA8"/>
    <w:rsid w:val="0020638E"/>
    <w:rsid w:val="002064BE"/>
    <w:rsid w:val="0020759E"/>
    <w:rsid w:val="0020765B"/>
    <w:rsid w:val="002078F8"/>
    <w:rsid w:val="00207F4A"/>
    <w:rsid w:val="00210D9E"/>
    <w:rsid w:val="002111EA"/>
    <w:rsid w:val="00211515"/>
    <w:rsid w:val="00211A77"/>
    <w:rsid w:val="00211E15"/>
    <w:rsid w:val="0021239A"/>
    <w:rsid w:val="00212C98"/>
    <w:rsid w:val="0021305A"/>
    <w:rsid w:val="00215EF4"/>
    <w:rsid w:val="0021612F"/>
    <w:rsid w:val="0021668B"/>
    <w:rsid w:val="00216D68"/>
    <w:rsid w:val="00216F73"/>
    <w:rsid w:val="002174B2"/>
    <w:rsid w:val="00217635"/>
    <w:rsid w:val="00217B9F"/>
    <w:rsid w:val="00217FB1"/>
    <w:rsid w:val="002203ED"/>
    <w:rsid w:val="00220D84"/>
    <w:rsid w:val="00220E40"/>
    <w:rsid w:val="002220B7"/>
    <w:rsid w:val="002225A0"/>
    <w:rsid w:val="00222927"/>
    <w:rsid w:val="002235DC"/>
    <w:rsid w:val="00223A37"/>
    <w:rsid w:val="0022441A"/>
    <w:rsid w:val="00224D24"/>
    <w:rsid w:val="002260BD"/>
    <w:rsid w:val="002264F1"/>
    <w:rsid w:val="00227940"/>
    <w:rsid w:val="00230A84"/>
    <w:rsid w:val="00230E13"/>
    <w:rsid w:val="00230FF9"/>
    <w:rsid w:val="002314FC"/>
    <w:rsid w:val="0023159E"/>
    <w:rsid w:val="00231ED1"/>
    <w:rsid w:val="00232130"/>
    <w:rsid w:val="00232D3A"/>
    <w:rsid w:val="00232DAF"/>
    <w:rsid w:val="0023303F"/>
    <w:rsid w:val="002339D8"/>
    <w:rsid w:val="00233B71"/>
    <w:rsid w:val="00235222"/>
    <w:rsid w:val="0023613B"/>
    <w:rsid w:val="00236205"/>
    <w:rsid w:val="00236B29"/>
    <w:rsid w:val="00236BFA"/>
    <w:rsid w:val="00236C57"/>
    <w:rsid w:val="00236FAA"/>
    <w:rsid w:val="0023784E"/>
    <w:rsid w:val="00237A3B"/>
    <w:rsid w:val="00240801"/>
    <w:rsid w:val="00240CE5"/>
    <w:rsid w:val="002412D7"/>
    <w:rsid w:val="0024171E"/>
    <w:rsid w:val="00241A02"/>
    <w:rsid w:val="00241CA8"/>
    <w:rsid w:val="00241D75"/>
    <w:rsid w:val="00242353"/>
    <w:rsid w:val="00242D34"/>
    <w:rsid w:val="0024300C"/>
    <w:rsid w:val="00243C26"/>
    <w:rsid w:val="00244506"/>
    <w:rsid w:val="00244967"/>
    <w:rsid w:val="00244B76"/>
    <w:rsid w:val="0024525A"/>
    <w:rsid w:val="0024525F"/>
    <w:rsid w:val="0024557E"/>
    <w:rsid w:val="00245918"/>
    <w:rsid w:val="00245EED"/>
    <w:rsid w:val="00245FD9"/>
    <w:rsid w:val="002473C8"/>
    <w:rsid w:val="002473CE"/>
    <w:rsid w:val="002475D4"/>
    <w:rsid w:val="00250212"/>
    <w:rsid w:val="00250467"/>
    <w:rsid w:val="002504B6"/>
    <w:rsid w:val="00250787"/>
    <w:rsid w:val="00250BF3"/>
    <w:rsid w:val="00251510"/>
    <w:rsid w:val="00251BCA"/>
    <w:rsid w:val="002520A8"/>
    <w:rsid w:val="002529F0"/>
    <w:rsid w:val="00252D57"/>
    <w:rsid w:val="002532F5"/>
    <w:rsid w:val="00253D73"/>
    <w:rsid w:val="00253EC8"/>
    <w:rsid w:val="0025566E"/>
    <w:rsid w:val="00256AD9"/>
    <w:rsid w:val="00257231"/>
    <w:rsid w:val="00257672"/>
    <w:rsid w:val="00257EE8"/>
    <w:rsid w:val="00257F6D"/>
    <w:rsid w:val="00260267"/>
    <w:rsid w:val="00261173"/>
    <w:rsid w:val="002615F8"/>
    <w:rsid w:val="002616E0"/>
    <w:rsid w:val="0026192D"/>
    <w:rsid w:val="00261BE7"/>
    <w:rsid w:val="00261C42"/>
    <w:rsid w:val="00262898"/>
    <w:rsid w:val="00262FE5"/>
    <w:rsid w:val="00263283"/>
    <w:rsid w:val="00263720"/>
    <w:rsid w:val="00264105"/>
    <w:rsid w:val="00264153"/>
    <w:rsid w:val="00264483"/>
    <w:rsid w:val="00264C28"/>
    <w:rsid w:val="002657C0"/>
    <w:rsid w:val="0026625B"/>
    <w:rsid w:val="00266E6B"/>
    <w:rsid w:val="00266FE6"/>
    <w:rsid w:val="002674ED"/>
    <w:rsid w:val="00267C6B"/>
    <w:rsid w:val="002701C3"/>
    <w:rsid w:val="002701E1"/>
    <w:rsid w:val="002702D9"/>
    <w:rsid w:val="002702E0"/>
    <w:rsid w:val="00270A43"/>
    <w:rsid w:val="00270EE6"/>
    <w:rsid w:val="0027135E"/>
    <w:rsid w:val="002719C0"/>
    <w:rsid w:val="00271BD5"/>
    <w:rsid w:val="00273287"/>
    <w:rsid w:val="0027392D"/>
    <w:rsid w:val="00274049"/>
    <w:rsid w:val="0027464E"/>
    <w:rsid w:val="002747C3"/>
    <w:rsid w:val="00274E15"/>
    <w:rsid w:val="00274FDD"/>
    <w:rsid w:val="00275F81"/>
    <w:rsid w:val="0027631F"/>
    <w:rsid w:val="00277019"/>
    <w:rsid w:val="002777D4"/>
    <w:rsid w:val="00277973"/>
    <w:rsid w:val="00277D6C"/>
    <w:rsid w:val="0028038E"/>
    <w:rsid w:val="00281536"/>
    <w:rsid w:val="00281590"/>
    <w:rsid w:val="002822EE"/>
    <w:rsid w:val="002844F9"/>
    <w:rsid w:val="00284675"/>
    <w:rsid w:val="00284763"/>
    <w:rsid w:val="002852CD"/>
    <w:rsid w:val="0028634B"/>
    <w:rsid w:val="00286538"/>
    <w:rsid w:val="0028663D"/>
    <w:rsid w:val="00286B69"/>
    <w:rsid w:val="00286B7F"/>
    <w:rsid w:val="00286DC5"/>
    <w:rsid w:val="0028745D"/>
    <w:rsid w:val="002903E3"/>
    <w:rsid w:val="002904F8"/>
    <w:rsid w:val="0029084A"/>
    <w:rsid w:val="00290C74"/>
    <w:rsid w:val="002913AF"/>
    <w:rsid w:val="0029172B"/>
    <w:rsid w:val="00291AA8"/>
    <w:rsid w:val="00291E65"/>
    <w:rsid w:val="00292BE8"/>
    <w:rsid w:val="00292F38"/>
    <w:rsid w:val="002931D9"/>
    <w:rsid w:val="0029320F"/>
    <w:rsid w:val="002932DD"/>
    <w:rsid w:val="00293F94"/>
    <w:rsid w:val="0029433A"/>
    <w:rsid w:val="00294AB3"/>
    <w:rsid w:val="00295090"/>
    <w:rsid w:val="0029529E"/>
    <w:rsid w:val="002955C1"/>
    <w:rsid w:val="002966C5"/>
    <w:rsid w:val="002966E0"/>
    <w:rsid w:val="00296E65"/>
    <w:rsid w:val="00297ADF"/>
    <w:rsid w:val="00297F22"/>
    <w:rsid w:val="002A035B"/>
    <w:rsid w:val="002A0778"/>
    <w:rsid w:val="002A0EF6"/>
    <w:rsid w:val="002A12A3"/>
    <w:rsid w:val="002A18F2"/>
    <w:rsid w:val="002A2037"/>
    <w:rsid w:val="002A2BAB"/>
    <w:rsid w:val="002A2D2A"/>
    <w:rsid w:val="002A32CD"/>
    <w:rsid w:val="002A377D"/>
    <w:rsid w:val="002A37A7"/>
    <w:rsid w:val="002A3802"/>
    <w:rsid w:val="002A40B9"/>
    <w:rsid w:val="002A4613"/>
    <w:rsid w:val="002A4CBC"/>
    <w:rsid w:val="002A5164"/>
    <w:rsid w:val="002A5169"/>
    <w:rsid w:val="002A54D1"/>
    <w:rsid w:val="002A6137"/>
    <w:rsid w:val="002A6528"/>
    <w:rsid w:val="002A6837"/>
    <w:rsid w:val="002A70A5"/>
    <w:rsid w:val="002A731C"/>
    <w:rsid w:val="002A786A"/>
    <w:rsid w:val="002A7A13"/>
    <w:rsid w:val="002A7AC5"/>
    <w:rsid w:val="002B0DCD"/>
    <w:rsid w:val="002B15F4"/>
    <w:rsid w:val="002B1BCA"/>
    <w:rsid w:val="002B1E99"/>
    <w:rsid w:val="002B2C7D"/>
    <w:rsid w:val="002B2CD2"/>
    <w:rsid w:val="002B2FDC"/>
    <w:rsid w:val="002B320C"/>
    <w:rsid w:val="002B3CAC"/>
    <w:rsid w:val="002B48E4"/>
    <w:rsid w:val="002B5C4D"/>
    <w:rsid w:val="002B64C0"/>
    <w:rsid w:val="002B716D"/>
    <w:rsid w:val="002B7759"/>
    <w:rsid w:val="002B7967"/>
    <w:rsid w:val="002B7F25"/>
    <w:rsid w:val="002C0A3E"/>
    <w:rsid w:val="002C0A99"/>
    <w:rsid w:val="002C0F49"/>
    <w:rsid w:val="002C1DDB"/>
    <w:rsid w:val="002C266B"/>
    <w:rsid w:val="002C27C1"/>
    <w:rsid w:val="002C2ACE"/>
    <w:rsid w:val="002C2BD4"/>
    <w:rsid w:val="002C2ED5"/>
    <w:rsid w:val="002C2FD9"/>
    <w:rsid w:val="002C3119"/>
    <w:rsid w:val="002C448D"/>
    <w:rsid w:val="002C4EBF"/>
    <w:rsid w:val="002C52DF"/>
    <w:rsid w:val="002C542A"/>
    <w:rsid w:val="002C6560"/>
    <w:rsid w:val="002C657A"/>
    <w:rsid w:val="002C6739"/>
    <w:rsid w:val="002C6AD9"/>
    <w:rsid w:val="002C7C9F"/>
    <w:rsid w:val="002C7E77"/>
    <w:rsid w:val="002C7F1C"/>
    <w:rsid w:val="002C7FEA"/>
    <w:rsid w:val="002D07AB"/>
    <w:rsid w:val="002D0BA1"/>
    <w:rsid w:val="002D0E97"/>
    <w:rsid w:val="002D132D"/>
    <w:rsid w:val="002D2B9D"/>
    <w:rsid w:val="002D3A54"/>
    <w:rsid w:val="002D3D52"/>
    <w:rsid w:val="002D3DB7"/>
    <w:rsid w:val="002D4BC8"/>
    <w:rsid w:val="002D5508"/>
    <w:rsid w:val="002D78E2"/>
    <w:rsid w:val="002D7B69"/>
    <w:rsid w:val="002E0B72"/>
    <w:rsid w:val="002E0CAC"/>
    <w:rsid w:val="002E13AB"/>
    <w:rsid w:val="002E1ACD"/>
    <w:rsid w:val="002E1C5A"/>
    <w:rsid w:val="002E20EB"/>
    <w:rsid w:val="002E356B"/>
    <w:rsid w:val="002E3968"/>
    <w:rsid w:val="002E4241"/>
    <w:rsid w:val="002E43DA"/>
    <w:rsid w:val="002E4BC5"/>
    <w:rsid w:val="002E4D62"/>
    <w:rsid w:val="002E639F"/>
    <w:rsid w:val="002E6440"/>
    <w:rsid w:val="002E64E6"/>
    <w:rsid w:val="002E6685"/>
    <w:rsid w:val="002E6AC4"/>
    <w:rsid w:val="002E6EA1"/>
    <w:rsid w:val="002E730C"/>
    <w:rsid w:val="002E79F8"/>
    <w:rsid w:val="002F0D0C"/>
    <w:rsid w:val="002F0E08"/>
    <w:rsid w:val="002F1482"/>
    <w:rsid w:val="002F1558"/>
    <w:rsid w:val="002F2174"/>
    <w:rsid w:val="002F24D9"/>
    <w:rsid w:val="002F24FF"/>
    <w:rsid w:val="002F3178"/>
    <w:rsid w:val="002F364E"/>
    <w:rsid w:val="002F3816"/>
    <w:rsid w:val="002F39AA"/>
    <w:rsid w:val="002F4F30"/>
    <w:rsid w:val="002F511E"/>
    <w:rsid w:val="002F5682"/>
    <w:rsid w:val="002F5777"/>
    <w:rsid w:val="002F587E"/>
    <w:rsid w:val="002F58EB"/>
    <w:rsid w:val="002F5B57"/>
    <w:rsid w:val="002F5E99"/>
    <w:rsid w:val="002F6D3F"/>
    <w:rsid w:val="002F6E56"/>
    <w:rsid w:val="002F70F7"/>
    <w:rsid w:val="002F7321"/>
    <w:rsid w:val="002F7933"/>
    <w:rsid w:val="002F799C"/>
    <w:rsid w:val="002F7A2F"/>
    <w:rsid w:val="002F7DDD"/>
    <w:rsid w:val="00300990"/>
    <w:rsid w:val="00300C6F"/>
    <w:rsid w:val="0030179B"/>
    <w:rsid w:val="00302688"/>
    <w:rsid w:val="00302B0C"/>
    <w:rsid w:val="00303469"/>
    <w:rsid w:val="0030361A"/>
    <w:rsid w:val="00303CED"/>
    <w:rsid w:val="003040CA"/>
    <w:rsid w:val="00304708"/>
    <w:rsid w:val="00304781"/>
    <w:rsid w:val="003050D4"/>
    <w:rsid w:val="00305C3B"/>
    <w:rsid w:val="00305DAE"/>
    <w:rsid w:val="00306EBC"/>
    <w:rsid w:val="00307723"/>
    <w:rsid w:val="0030784F"/>
    <w:rsid w:val="00307DED"/>
    <w:rsid w:val="00307E98"/>
    <w:rsid w:val="00310ED4"/>
    <w:rsid w:val="00310FC0"/>
    <w:rsid w:val="003115BA"/>
    <w:rsid w:val="00311D53"/>
    <w:rsid w:val="00312778"/>
    <w:rsid w:val="00312CBF"/>
    <w:rsid w:val="00313606"/>
    <w:rsid w:val="00313708"/>
    <w:rsid w:val="0031380B"/>
    <w:rsid w:val="00313985"/>
    <w:rsid w:val="00313FD8"/>
    <w:rsid w:val="00314091"/>
    <w:rsid w:val="00314488"/>
    <w:rsid w:val="0031492A"/>
    <w:rsid w:val="00314A56"/>
    <w:rsid w:val="0031536A"/>
    <w:rsid w:val="00316254"/>
    <w:rsid w:val="00316504"/>
    <w:rsid w:val="00316C1A"/>
    <w:rsid w:val="00316EC0"/>
    <w:rsid w:val="00317403"/>
    <w:rsid w:val="0031769D"/>
    <w:rsid w:val="00317AF2"/>
    <w:rsid w:val="00320222"/>
    <w:rsid w:val="003203E2"/>
    <w:rsid w:val="00320551"/>
    <w:rsid w:val="00320854"/>
    <w:rsid w:val="00320A68"/>
    <w:rsid w:val="003215DE"/>
    <w:rsid w:val="00321AF0"/>
    <w:rsid w:val="00321E81"/>
    <w:rsid w:val="00321F15"/>
    <w:rsid w:val="00322B0A"/>
    <w:rsid w:val="00322BC9"/>
    <w:rsid w:val="00322E52"/>
    <w:rsid w:val="003232E2"/>
    <w:rsid w:val="00324062"/>
    <w:rsid w:val="003242A8"/>
    <w:rsid w:val="003246EC"/>
    <w:rsid w:val="00324892"/>
    <w:rsid w:val="00326473"/>
    <w:rsid w:val="003266E8"/>
    <w:rsid w:val="003269EC"/>
    <w:rsid w:val="00326DE2"/>
    <w:rsid w:val="0032717D"/>
    <w:rsid w:val="0032787E"/>
    <w:rsid w:val="00327EC1"/>
    <w:rsid w:val="00327FF4"/>
    <w:rsid w:val="003300D4"/>
    <w:rsid w:val="00330581"/>
    <w:rsid w:val="003308F5"/>
    <w:rsid w:val="003310F8"/>
    <w:rsid w:val="00331970"/>
    <w:rsid w:val="00331CDA"/>
    <w:rsid w:val="00332661"/>
    <w:rsid w:val="00332964"/>
    <w:rsid w:val="00332B14"/>
    <w:rsid w:val="00332FEF"/>
    <w:rsid w:val="00333B85"/>
    <w:rsid w:val="00333BE0"/>
    <w:rsid w:val="00333D7E"/>
    <w:rsid w:val="00334703"/>
    <w:rsid w:val="00334AE3"/>
    <w:rsid w:val="003358DB"/>
    <w:rsid w:val="00335A96"/>
    <w:rsid w:val="00335C1F"/>
    <w:rsid w:val="003362AA"/>
    <w:rsid w:val="003363A5"/>
    <w:rsid w:val="00336D0F"/>
    <w:rsid w:val="0033750A"/>
    <w:rsid w:val="003400D0"/>
    <w:rsid w:val="003402EA"/>
    <w:rsid w:val="00340618"/>
    <w:rsid w:val="00340CA8"/>
    <w:rsid w:val="00341709"/>
    <w:rsid w:val="00341AC8"/>
    <w:rsid w:val="00341B40"/>
    <w:rsid w:val="00341CF5"/>
    <w:rsid w:val="003427FD"/>
    <w:rsid w:val="0034299A"/>
    <w:rsid w:val="00343C66"/>
    <w:rsid w:val="00343D09"/>
    <w:rsid w:val="0034476E"/>
    <w:rsid w:val="00344AAE"/>
    <w:rsid w:val="003459DA"/>
    <w:rsid w:val="00345AFE"/>
    <w:rsid w:val="00345FF4"/>
    <w:rsid w:val="00346394"/>
    <w:rsid w:val="0034726E"/>
    <w:rsid w:val="00347699"/>
    <w:rsid w:val="0034772A"/>
    <w:rsid w:val="003478BA"/>
    <w:rsid w:val="00347DFE"/>
    <w:rsid w:val="0035019D"/>
    <w:rsid w:val="003502DD"/>
    <w:rsid w:val="00350C13"/>
    <w:rsid w:val="0035137F"/>
    <w:rsid w:val="003515A3"/>
    <w:rsid w:val="0035190B"/>
    <w:rsid w:val="003519F7"/>
    <w:rsid w:val="00352412"/>
    <w:rsid w:val="003524E7"/>
    <w:rsid w:val="003527E7"/>
    <w:rsid w:val="0035281F"/>
    <w:rsid w:val="00352AC0"/>
    <w:rsid w:val="00353CE1"/>
    <w:rsid w:val="00353D45"/>
    <w:rsid w:val="00353D4E"/>
    <w:rsid w:val="00353F00"/>
    <w:rsid w:val="00354335"/>
    <w:rsid w:val="00354B3F"/>
    <w:rsid w:val="003554ED"/>
    <w:rsid w:val="00355B57"/>
    <w:rsid w:val="00355B86"/>
    <w:rsid w:val="003574AF"/>
    <w:rsid w:val="0035757C"/>
    <w:rsid w:val="00357B30"/>
    <w:rsid w:val="00357B70"/>
    <w:rsid w:val="00357E52"/>
    <w:rsid w:val="00360021"/>
    <w:rsid w:val="003602BF"/>
    <w:rsid w:val="003613D3"/>
    <w:rsid w:val="0036202C"/>
    <w:rsid w:val="0036253D"/>
    <w:rsid w:val="00362A3B"/>
    <w:rsid w:val="00362C9D"/>
    <w:rsid w:val="00362E0C"/>
    <w:rsid w:val="003631D0"/>
    <w:rsid w:val="00363352"/>
    <w:rsid w:val="0036415D"/>
    <w:rsid w:val="00364989"/>
    <w:rsid w:val="00364CE7"/>
    <w:rsid w:val="00365AF0"/>
    <w:rsid w:val="00365B19"/>
    <w:rsid w:val="00365DC6"/>
    <w:rsid w:val="0036606A"/>
    <w:rsid w:val="003663E3"/>
    <w:rsid w:val="00366402"/>
    <w:rsid w:val="0036678E"/>
    <w:rsid w:val="0036690B"/>
    <w:rsid w:val="00367089"/>
    <w:rsid w:val="00367C3A"/>
    <w:rsid w:val="00370895"/>
    <w:rsid w:val="00370B00"/>
    <w:rsid w:val="00370B95"/>
    <w:rsid w:val="00370CC1"/>
    <w:rsid w:val="00370F74"/>
    <w:rsid w:val="00371847"/>
    <w:rsid w:val="003728B3"/>
    <w:rsid w:val="00372DEF"/>
    <w:rsid w:val="00373C49"/>
    <w:rsid w:val="00373C77"/>
    <w:rsid w:val="00374633"/>
    <w:rsid w:val="0037473C"/>
    <w:rsid w:val="003753F6"/>
    <w:rsid w:val="00375FD5"/>
    <w:rsid w:val="003763C2"/>
    <w:rsid w:val="0037654D"/>
    <w:rsid w:val="0037735B"/>
    <w:rsid w:val="00377658"/>
    <w:rsid w:val="00377C8F"/>
    <w:rsid w:val="0038067B"/>
    <w:rsid w:val="00380715"/>
    <w:rsid w:val="00380CED"/>
    <w:rsid w:val="0038190F"/>
    <w:rsid w:val="00381B10"/>
    <w:rsid w:val="003827B7"/>
    <w:rsid w:val="0038327E"/>
    <w:rsid w:val="00383B3D"/>
    <w:rsid w:val="00383F0C"/>
    <w:rsid w:val="003842FB"/>
    <w:rsid w:val="003844CC"/>
    <w:rsid w:val="00384C81"/>
    <w:rsid w:val="003850F5"/>
    <w:rsid w:val="00385493"/>
    <w:rsid w:val="00385569"/>
    <w:rsid w:val="003856E1"/>
    <w:rsid w:val="00386023"/>
    <w:rsid w:val="003860A9"/>
    <w:rsid w:val="0038664F"/>
    <w:rsid w:val="003903B6"/>
    <w:rsid w:val="003904EC"/>
    <w:rsid w:val="00390690"/>
    <w:rsid w:val="00390777"/>
    <w:rsid w:val="0039091B"/>
    <w:rsid w:val="003914FC"/>
    <w:rsid w:val="00391A8B"/>
    <w:rsid w:val="00391AF4"/>
    <w:rsid w:val="003924F0"/>
    <w:rsid w:val="00392702"/>
    <w:rsid w:val="003927A5"/>
    <w:rsid w:val="00392BAE"/>
    <w:rsid w:val="003931C7"/>
    <w:rsid w:val="00393256"/>
    <w:rsid w:val="00393EE0"/>
    <w:rsid w:val="00393F7C"/>
    <w:rsid w:val="00394789"/>
    <w:rsid w:val="00394DC3"/>
    <w:rsid w:val="003955AE"/>
    <w:rsid w:val="00395B25"/>
    <w:rsid w:val="00395C83"/>
    <w:rsid w:val="00395F10"/>
    <w:rsid w:val="003963C2"/>
    <w:rsid w:val="003963CC"/>
    <w:rsid w:val="00396654"/>
    <w:rsid w:val="00396C97"/>
    <w:rsid w:val="003972AD"/>
    <w:rsid w:val="00397F67"/>
    <w:rsid w:val="003A04D7"/>
    <w:rsid w:val="003A15A9"/>
    <w:rsid w:val="003A36D2"/>
    <w:rsid w:val="003A3CD4"/>
    <w:rsid w:val="003A460B"/>
    <w:rsid w:val="003A4BDF"/>
    <w:rsid w:val="003A4C85"/>
    <w:rsid w:val="003A4EB0"/>
    <w:rsid w:val="003A533F"/>
    <w:rsid w:val="003A5BC4"/>
    <w:rsid w:val="003A5E8D"/>
    <w:rsid w:val="003A6056"/>
    <w:rsid w:val="003A6917"/>
    <w:rsid w:val="003A6B8A"/>
    <w:rsid w:val="003A78BB"/>
    <w:rsid w:val="003A7B08"/>
    <w:rsid w:val="003B08C0"/>
    <w:rsid w:val="003B08C9"/>
    <w:rsid w:val="003B11DF"/>
    <w:rsid w:val="003B18A7"/>
    <w:rsid w:val="003B1A0A"/>
    <w:rsid w:val="003B1B47"/>
    <w:rsid w:val="003B1B93"/>
    <w:rsid w:val="003B24C9"/>
    <w:rsid w:val="003B2CB3"/>
    <w:rsid w:val="003B3B69"/>
    <w:rsid w:val="003B4067"/>
    <w:rsid w:val="003B442C"/>
    <w:rsid w:val="003B4EAD"/>
    <w:rsid w:val="003B50D0"/>
    <w:rsid w:val="003B5DD3"/>
    <w:rsid w:val="003B5E03"/>
    <w:rsid w:val="003B6048"/>
    <w:rsid w:val="003B7173"/>
    <w:rsid w:val="003B7C97"/>
    <w:rsid w:val="003C03B1"/>
    <w:rsid w:val="003C0EE0"/>
    <w:rsid w:val="003C2882"/>
    <w:rsid w:val="003C33DD"/>
    <w:rsid w:val="003C34F1"/>
    <w:rsid w:val="003C3A07"/>
    <w:rsid w:val="003C3BB9"/>
    <w:rsid w:val="003C3F07"/>
    <w:rsid w:val="003C4008"/>
    <w:rsid w:val="003C5304"/>
    <w:rsid w:val="003C5551"/>
    <w:rsid w:val="003C561E"/>
    <w:rsid w:val="003C5676"/>
    <w:rsid w:val="003C5A29"/>
    <w:rsid w:val="003C6384"/>
    <w:rsid w:val="003C6938"/>
    <w:rsid w:val="003C6FF4"/>
    <w:rsid w:val="003C7741"/>
    <w:rsid w:val="003D0211"/>
    <w:rsid w:val="003D1544"/>
    <w:rsid w:val="003D1907"/>
    <w:rsid w:val="003D1E76"/>
    <w:rsid w:val="003D1F7C"/>
    <w:rsid w:val="003D1FB6"/>
    <w:rsid w:val="003D2F3C"/>
    <w:rsid w:val="003D30AE"/>
    <w:rsid w:val="003D375C"/>
    <w:rsid w:val="003D3D5B"/>
    <w:rsid w:val="003D4038"/>
    <w:rsid w:val="003D4A35"/>
    <w:rsid w:val="003D5B1C"/>
    <w:rsid w:val="003D5D7A"/>
    <w:rsid w:val="003D5E0D"/>
    <w:rsid w:val="003D5E82"/>
    <w:rsid w:val="003D65AD"/>
    <w:rsid w:val="003D667E"/>
    <w:rsid w:val="003D6783"/>
    <w:rsid w:val="003D6E60"/>
    <w:rsid w:val="003D6FF1"/>
    <w:rsid w:val="003D74A9"/>
    <w:rsid w:val="003D79D8"/>
    <w:rsid w:val="003D7E2C"/>
    <w:rsid w:val="003E0113"/>
    <w:rsid w:val="003E08BE"/>
    <w:rsid w:val="003E0AC5"/>
    <w:rsid w:val="003E0B96"/>
    <w:rsid w:val="003E0D36"/>
    <w:rsid w:val="003E2AE2"/>
    <w:rsid w:val="003E2C27"/>
    <w:rsid w:val="003E2D01"/>
    <w:rsid w:val="003E2F2F"/>
    <w:rsid w:val="003E32AF"/>
    <w:rsid w:val="003E3D80"/>
    <w:rsid w:val="003E40C7"/>
    <w:rsid w:val="003E463C"/>
    <w:rsid w:val="003E5279"/>
    <w:rsid w:val="003E5465"/>
    <w:rsid w:val="003E5EAB"/>
    <w:rsid w:val="003E5F28"/>
    <w:rsid w:val="003E6648"/>
    <w:rsid w:val="003E6808"/>
    <w:rsid w:val="003E6C4A"/>
    <w:rsid w:val="003E6E37"/>
    <w:rsid w:val="003E72A9"/>
    <w:rsid w:val="003E72B4"/>
    <w:rsid w:val="003E74FC"/>
    <w:rsid w:val="003E76C6"/>
    <w:rsid w:val="003F0044"/>
    <w:rsid w:val="003F0213"/>
    <w:rsid w:val="003F0296"/>
    <w:rsid w:val="003F041A"/>
    <w:rsid w:val="003F05FC"/>
    <w:rsid w:val="003F0CEE"/>
    <w:rsid w:val="003F0F0E"/>
    <w:rsid w:val="003F153B"/>
    <w:rsid w:val="003F16F8"/>
    <w:rsid w:val="003F1739"/>
    <w:rsid w:val="003F1ED1"/>
    <w:rsid w:val="003F362F"/>
    <w:rsid w:val="003F3D62"/>
    <w:rsid w:val="003F3D7B"/>
    <w:rsid w:val="003F3ECD"/>
    <w:rsid w:val="003F3FFB"/>
    <w:rsid w:val="003F43C4"/>
    <w:rsid w:val="003F465C"/>
    <w:rsid w:val="003F491A"/>
    <w:rsid w:val="003F51C1"/>
    <w:rsid w:val="003F526C"/>
    <w:rsid w:val="003F6136"/>
    <w:rsid w:val="003F64D8"/>
    <w:rsid w:val="003F65FA"/>
    <w:rsid w:val="003F6AFF"/>
    <w:rsid w:val="003F72C2"/>
    <w:rsid w:val="003F734E"/>
    <w:rsid w:val="0040002C"/>
    <w:rsid w:val="004003DD"/>
    <w:rsid w:val="00400426"/>
    <w:rsid w:val="00400C7E"/>
    <w:rsid w:val="00401BEB"/>
    <w:rsid w:val="004028DE"/>
    <w:rsid w:val="00402E08"/>
    <w:rsid w:val="004035E8"/>
    <w:rsid w:val="004037DF"/>
    <w:rsid w:val="00403BAB"/>
    <w:rsid w:val="00403BEA"/>
    <w:rsid w:val="00403FD3"/>
    <w:rsid w:val="004044F6"/>
    <w:rsid w:val="00404570"/>
    <w:rsid w:val="004047D1"/>
    <w:rsid w:val="004051E1"/>
    <w:rsid w:val="00406A38"/>
    <w:rsid w:val="004078EE"/>
    <w:rsid w:val="0041117C"/>
    <w:rsid w:val="00411278"/>
    <w:rsid w:val="00411A9E"/>
    <w:rsid w:val="00412149"/>
    <w:rsid w:val="00412F33"/>
    <w:rsid w:val="00412FE3"/>
    <w:rsid w:val="00413344"/>
    <w:rsid w:val="00414F9D"/>
    <w:rsid w:val="00415586"/>
    <w:rsid w:val="00415690"/>
    <w:rsid w:val="0041573B"/>
    <w:rsid w:val="00415E66"/>
    <w:rsid w:val="00415EB3"/>
    <w:rsid w:val="004162BC"/>
    <w:rsid w:val="00416930"/>
    <w:rsid w:val="00416EF6"/>
    <w:rsid w:val="00417638"/>
    <w:rsid w:val="004179FB"/>
    <w:rsid w:val="00417A7E"/>
    <w:rsid w:val="00420299"/>
    <w:rsid w:val="004208BA"/>
    <w:rsid w:val="004215B3"/>
    <w:rsid w:val="00421831"/>
    <w:rsid w:val="00421934"/>
    <w:rsid w:val="00421D3D"/>
    <w:rsid w:val="00421E16"/>
    <w:rsid w:val="00422FED"/>
    <w:rsid w:val="0042322A"/>
    <w:rsid w:val="00423559"/>
    <w:rsid w:val="004235C7"/>
    <w:rsid w:val="00423893"/>
    <w:rsid w:val="00424B40"/>
    <w:rsid w:val="004250D2"/>
    <w:rsid w:val="00425388"/>
    <w:rsid w:val="00425393"/>
    <w:rsid w:val="004255D7"/>
    <w:rsid w:val="00425726"/>
    <w:rsid w:val="00425A31"/>
    <w:rsid w:val="00425D58"/>
    <w:rsid w:val="00427EE2"/>
    <w:rsid w:val="00430201"/>
    <w:rsid w:val="00430AAD"/>
    <w:rsid w:val="00430D6B"/>
    <w:rsid w:val="00430F93"/>
    <w:rsid w:val="004327CC"/>
    <w:rsid w:val="00432961"/>
    <w:rsid w:val="00432E25"/>
    <w:rsid w:val="00433B14"/>
    <w:rsid w:val="00434584"/>
    <w:rsid w:val="00434CA6"/>
    <w:rsid w:val="00434E3D"/>
    <w:rsid w:val="00434EF2"/>
    <w:rsid w:val="00435274"/>
    <w:rsid w:val="00435767"/>
    <w:rsid w:val="00435985"/>
    <w:rsid w:val="00435BFA"/>
    <w:rsid w:val="00435D4F"/>
    <w:rsid w:val="00436177"/>
    <w:rsid w:val="0043672A"/>
    <w:rsid w:val="004371BD"/>
    <w:rsid w:val="00442663"/>
    <w:rsid w:val="00443D58"/>
    <w:rsid w:val="00444303"/>
    <w:rsid w:val="00445281"/>
    <w:rsid w:val="00446482"/>
    <w:rsid w:val="00446D54"/>
    <w:rsid w:val="00446E0C"/>
    <w:rsid w:val="00447ACE"/>
    <w:rsid w:val="00450458"/>
    <w:rsid w:val="00450505"/>
    <w:rsid w:val="004508EC"/>
    <w:rsid w:val="00450D03"/>
    <w:rsid w:val="00451AF8"/>
    <w:rsid w:val="00451B9C"/>
    <w:rsid w:val="00451E44"/>
    <w:rsid w:val="004529D6"/>
    <w:rsid w:val="0045445C"/>
    <w:rsid w:val="00455C7E"/>
    <w:rsid w:val="004561BE"/>
    <w:rsid w:val="0045630F"/>
    <w:rsid w:val="0045710E"/>
    <w:rsid w:val="0045731D"/>
    <w:rsid w:val="00457464"/>
    <w:rsid w:val="00457E52"/>
    <w:rsid w:val="004603F4"/>
    <w:rsid w:val="00460C17"/>
    <w:rsid w:val="00461E42"/>
    <w:rsid w:val="00462312"/>
    <w:rsid w:val="00462D4C"/>
    <w:rsid w:val="00463414"/>
    <w:rsid w:val="004634A8"/>
    <w:rsid w:val="0046360C"/>
    <w:rsid w:val="0046412F"/>
    <w:rsid w:val="004643E8"/>
    <w:rsid w:val="0046472A"/>
    <w:rsid w:val="00465183"/>
    <w:rsid w:val="004651DF"/>
    <w:rsid w:val="00465A3B"/>
    <w:rsid w:val="00465CA8"/>
    <w:rsid w:val="00465E7C"/>
    <w:rsid w:val="004664BA"/>
    <w:rsid w:val="004666CA"/>
    <w:rsid w:val="00466B54"/>
    <w:rsid w:val="004710D0"/>
    <w:rsid w:val="004712E9"/>
    <w:rsid w:val="00471CBB"/>
    <w:rsid w:val="0047213F"/>
    <w:rsid w:val="004723E3"/>
    <w:rsid w:val="0047242F"/>
    <w:rsid w:val="00472B66"/>
    <w:rsid w:val="00472EB0"/>
    <w:rsid w:val="00472F12"/>
    <w:rsid w:val="00473916"/>
    <w:rsid w:val="00473DB9"/>
    <w:rsid w:val="00474063"/>
    <w:rsid w:val="004745B6"/>
    <w:rsid w:val="004745D4"/>
    <w:rsid w:val="00474B97"/>
    <w:rsid w:val="00475028"/>
    <w:rsid w:val="00475E09"/>
    <w:rsid w:val="004769A5"/>
    <w:rsid w:val="00476EDA"/>
    <w:rsid w:val="00476EEA"/>
    <w:rsid w:val="00477990"/>
    <w:rsid w:val="004803C2"/>
    <w:rsid w:val="004807B0"/>
    <w:rsid w:val="0048161F"/>
    <w:rsid w:val="004817E7"/>
    <w:rsid w:val="00482283"/>
    <w:rsid w:val="00482D40"/>
    <w:rsid w:val="00483582"/>
    <w:rsid w:val="00484549"/>
    <w:rsid w:val="004848D1"/>
    <w:rsid w:val="004850FE"/>
    <w:rsid w:val="00485721"/>
    <w:rsid w:val="0048572E"/>
    <w:rsid w:val="00486643"/>
    <w:rsid w:val="004868CC"/>
    <w:rsid w:val="00486E44"/>
    <w:rsid w:val="00487975"/>
    <w:rsid w:val="00490476"/>
    <w:rsid w:val="004905B7"/>
    <w:rsid w:val="00490A85"/>
    <w:rsid w:val="00490EA9"/>
    <w:rsid w:val="0049134C"/>
    <w:rsid w:val="00491887"/>
    <w:rsid w:val="004918C7"/>
    <w:rsid w:val="00491DB0"/>
    <w:rsid w:val="00491EF8"/>
    <w:rsid w:val="004920F6"/>
    <w:rsid w:val="004921F4"/>
    <w:rsid w:val="00492DF6"/>
    <w:rsid w:val="0049367A"/>
    <w:rsid w:val="004938C9"/>
    <w:rsid w:val="004944F4"/>
    <w:rsid w:val="0049480E"/>
    <w:rsid w:val="004948B7"/>
    <w:rsid w:val="00494D4B"/>
    <w:rsid w:val="00494F1A"/>
    <w:rsid w:val="004959F9"/>
    <w:rsid w:val="00495BD3"/>
    <w:rsid w:val="00496A98"/>
    <w:rsid w:val="00496BCF"/>
    <w:rsid w:val="00496E4A"/>
    <w:rsid w:val="004977FD"/>
    <w:rsid w:val="00497B30"/>
    <w:rsid w:val="00497D05"/>
    <w:rsid w:val="004A088F"/>
    <w:rsid w:val="004A0AB1"/>
    <w:rsid w:val="004A0E5B"/>
    <w:rsid w:val="004A147F"/>
    <w:rsid w:val="004A1991"/>
    <w:rsid w:val="004A1AEF"/>
    <w:rsid w:val="004A22A3"/>
    <w:rsid w:val="004A22B0"/>
    <w:rsid w:val="004A24E4"/>
    <w:rsid w:val="004A42E3"/>
    <w:rsid w:val="004A4D4D"/>
    <w:rsid w:val="004A572C"/>
    <w:rsid w:val="004A722D"/>
    <w:rsid w:val="004B06FA"/>
    <w:rsid w:val="004B072F"/>
    <w:rsid w:val="004B0B94"/>
    <w:rsid w:val="004B2699"/>
    <w:rsid w:val="004B2B3D"/>
    <w:rsid w:val="004B2C13"/>
    <w:rsid w:val="004B2CF9"/>
    <w:rsid w:val="004B3053"/>
    <w:rsid w:val="004B3A67"/>
    <w:rsid w:val="004B44FC"/>
    <w:rsid w:val="004B458F"/>
    <w:rsid w:val="004B49E1"/>
    <w:rsid w:val="004B4E89"/>
    <w:rsid w:val="004B5354"/>
    <w:rsid w:val="004B5E02"/>
    <w:rsid w:val="004B5E6E"/>
    <w:rsid w:val="004B5FD8"/>
    <w:rsid w:val="004B612D"/>
    <w:rsid w:val="004B6453"/>
    <w:rsid w:val="004B6996"/>
    <w:rsid w:val="004B724D"/>
    <w:rsid w:val="004B72CD"/>
    <w:rsid w:val="004C038F"/>
    <w:rsid w:val="004C0434"/>
    <w:rsid w:val="004C0706"/>
    <w:rsid w:val="004C1262"/>
    <w:rsid w:val="004C1337"/>
    <w:rsid w:val="004C2E7E"/>
    <w:rsid w:val="004C2ECA"/>
    <w:rsid w:val="004C3264"/>
    <w:rsid w:val="004C3A99"/>
    <w:rsid w:val="004C3CCA"/>
    <w:rsid w:val="004C465F"/>
    <w:rsid w:val="004C4999"/>
    <w:rsid w:val="004C4BCB"/>
    <w:rsid w:val="004C599A"/>
    <w:rsid w:val="004C67D9"/>
    <w:rsid w:val="004C7624"/>
    <w:rsid w:val="004D0DA3"/>
    <w:rsid w:val="004D1139"/>
    <w:rsid w:val="004D1231"/>
    <w:rsid w:val="004D252C"/>
    <w:rsid w:val="004D25D5"/>
    <w:rsid w:val="004D2958"/>
    <w:rsid w:val="004D3561"/>
    <w:rsid w:val="004D3723"/>
    <w:rsid w:val="004D3FC7"/>
    <w:rsid w:val="004D4317"/>
    <w:rsid w:val="004D481A"/>
    <w:rsid w:val="004D5568"/>
    <w:rsid w:val="004D5C14"/>
    <w:rsid w:val="004D61EA"/>
    <w:rsid w:val="004D62BB"/>
    <w:rsid w:val="004D6506"/>
    <w:rsid w:val="004D6DC4"/>
    <w:rsid w:val="004D73A5"/>
    <w:rsid w:val="004D7A74"/>
    <w:rsid w:val="004E0341"/>
    <w:rsid w:val="004E0649"/>
    <w:rsid w:val="004E0D0C"/>
    <w:rsid w:val="004E1DBD"/>
    <w:rsid w:val="004E20E6"/>
    <w:rsid w:val="004E27CC"/>
    <w:rsid w:val="004E2891"/>
    <w:rsid w:val="004E2D17"/>
    <w:rsid w:val="004E37FB"/>
    <w:rsid w:val="004E3D12"/>
    <w:rsid w:val="004E4A62"/>
    <w:rsid w:val="004E4FA4"/>
    <w:rsid w:val="004E4FB2"/>
    <w:rsid w:val="004E5579"/>
    <w:rsid w:val="004E55AB"/>
    <w:rsid w:val="004E575F"/>
    <w:rsid w:val="004E5FB0"/>
    <w:rsid w:val="004E5FD1"/>
    <w:rsid w:val="004E641F"/>
    <w:rsid w:val="004E6F42"/>
    <w:rsid w:val="004E7670"/>
    <w:rsid w:val="004E7B6D"/>
    <w:rsid w:val="004E7D53"/>
    <w:rsid w:val="004E7E8F"/>
    <w:rsid w:val="004F0824"/>
    <w:rsid w:val="004F0845"/>
    <w:rsid w:val="004F0AD0"/>
    <w:rsid w:val="004F19D5"/>
    <w:rsid w:val="004F1E6D"/>
    <w:rsid w:val="004F1ED1"/>
    <w:rsid w:val="004F27C2"/>
    <w:rsid w:val="004F30AA"/>
    <w:rsid w:val="004F30D6"/>
    <w:rsid w:val="004F3994"/>
    <w:rsid w:val="004F43B1"/>
    <w:rsid w:val="004F4BE7"/>
    <w:rsid w:val="004F4F8D"/>
    <w:rsid w:val="004F534A"/>
    <w:rsid w:val="004F53EF"/>
    <w:rsid w:val="004F574A"/>
    <w:rsid w:val="004F5D84"/>
    <w:rsid w:val="004F5E7A"/>
    <w:rsid w:val="004F62D7"/>
    <w:rsid w:val="004F6B59"/>
    <w:rsid w:val="004F7649"/>
    <w:rsid w:val="004F7ADA"/>
    <w:rsid w:val="004F7B30"/>
    <w:rsid w:val="004F7DB6"/>
    <w:rsid w:val="004F7EE2"/>
    <w:rsid w:val="0050022F"/>
    <w:rsid w:val="00501BE6"/>
    <w:rsid w:val="00501F8D"/>
    <w:rsid w:val="00502781"/>
    <w:rsid w:val="00502844"/>
    <w:rsid w:val="005030E3"/>
    <w:rsid w:val="00503E04"/>
    <w:rsid w:val="0050450C"/>
    <w:rsid w:val="00504539"/>
    <w:rsid w:val="0050499B"/>
    <w:rsid w:val="00504B28"/>
    <w:rsid w:val="0050572F"/>
    <w:rsid w:val="0050680A"/>
    <w:rsid w:val="00506F93"/>
    <w:rsid w:val="00510190"/>
    <w:rsid w:val="00510A12"/>
    <w:rsid w:val="00511D0B"/>
    <w:rsid w:val="00511D4A"/>
    <w:rsid w:val="00511DE5"/>
    <w:rsid w:val="00512807"/>
    <w:rsid w:val="00512976"/>
    <w:rsid w:val="00513540"/>
    <w:rsid w:val="00514642"/>
    <w:rsid w:val="00514BCA"/>
    <w:rsid w:val="00514FF3"/>
    <w:rsid w:val="0051524B"/>
    <w:rsid w:val="00515329"/>
    <w:rsid w:val="00515A64"/>
    <w:rsid w:val="00516842"/>
    <w:rsid w:val="00517B33"/>
    <w:rsid w:val="00517E0E"/>
    <w:rsid w:val="00517ED0"/>
    <w:rsid w:val="005202ED"/>
    <w:rsid w:val="00520399"/>
    <w:rsid w:val="00521A7D"/>
    <w:rsid w:val="00521D31"/>
    <w:rsid w:val="00521D6E"/>
    <w:rsid w:val="00521E9E"/>
    <w:rsid w:val="00522CED"/>
    <w:rsid w:val="00523857"/>
    <w:rsid w:val="00523C43"/>
    <w:rsid w:val="005243A3"/>
    <w:rsid w:val="00524446"/>
    <w:rsid w:val="0052484B"/>
    <w:rsid w:val="005260A1"/>
    <w:rsid w:val="0052655E"/>
    <w:rsid w:val="005265C0"/>
    <w:rsid w:val="00526EDA"/>
    <w:rsid w:val="005275D5"/>
    <w:rsid w:val="00527AF2"/>
    <w:rsid w:val="00530E7B"/>
    <w:rsid w:val="005314DE"/>
    <w:rsid w:val="0053162E"/>
    <w:rsid w:val="00531F27"/>
    <w:rsid w:val="00532115"/>
    <w:rsid w:val="005323F0"/>
    <w:rsid w:val="005329C3"/>
    <w:rsid w:val="005329E2"/>
    <w:rsid w:val="00532DE4"/>
    <w:rsid w:val="005338D0"/>
    <w:rsid w:val="005345DD"/>
    <w:rsid w:val="00534B8C"/>
    <w:rsid w:val="00534C56"/>
    <w:rsid w:val="00534FD9"/>
    <w:rsid w:val="0053556E"/>
    <w:rsid w:val="00535BD2"/>
    <w:rsid w:val="00535FDB"/>
    <w:rsid w:val="00536D9A"/>
    <w:rsid w:val="00537571"/>
    <w:rsid w:val="005377C2"/>
    <w:rsid w:val="0054001D"/>
    <w:rsid w:val="0054074D"/>
    <w:rsid w:val="00540B00"/>
    <w:rsid w:val="00541257"/>
    <w:rsid w:val="00541617"/>
    <w:rsid w:val="00542582"/>
    <w:rsid w:val="00543024"/>
    <w:rsid w:val="005439AD"/>
    <w:rsid w:val="00543C47"/>
    <w:rsid w:val="00544447"/>
    <w:rsid w:val="00544D22"/>
    <w:rsid w:val="005458D2"/>
    <w:rsid w:val="00545D82"/>
    <w:rsid w:val="00546638"/>
    <w:rsid w:val="0054689E"/>
    <w:rsid w:val="0054693D"/>
    <w:rsid w:val="005472A8"/>
    <w:rsid w:val="00547CD8"/>
    <w:rsid w:val="0055073F"/>
    <w:rsid w:val="00550F36"/>
    <w:rsid w:val="005512AF"/>
    <w:rsid w:val="0055178A"/>
    <w:rsid w:val="00551DAE"/>
    <w:rsid w:val="00552767"/>
    <w:rsid w:val="005528F1"/>
    <w:rsid w:val="00552BE9"/>
    <w:rsid w:val="00552F25"/>
    <w:rsid w:val="005533B1"/>
    <w:rsid w:val="00553921"/>
    <w:rsid w:val="00553D10"/>
    <w:rsid w:val="00553FB8"/>
    <w:rsid w:val="00554C04"/>
    <w:rsid w:val="0055580B"/>
    <w:rsid w:val="00555C5F"/>
    <w:rsid w:val="00555DDA"/>
    <w:rsid w:val="0055607B"/>
    <w:rsid w:val="005565E0"/>
    <w:rsid w:val="00556B80"/>
    <w:rsid w:val="0055718C"/>
    <w:rsid w:val="005575F7"/>
    <w:rsid w:val="005576D1"/>
    <w:rsid w:val="005578FA"/>
    <w:rsid w:val="0056079D"/>
    <w:rsid w:val="005610C1"/>
    <w:rsid w:val="0056112C"/>
    <w:rsid w:val="0056259D"/>
    <w:rsid w:val="00562680"/>
    <w:rsid w:val="00562CFB"/>
    <w:rsid w:val="00562DF0"/>
    <w:rsid w:val="00563058"/>
    <w:rsid w:val="00563304"/>
    <w:rsid w:val="005634F6"/>
    <w:rsid w:val="0056351F"/>
    <w:rsid w:val="00563C61"/>
    <w:rsid w:val="00564036"/>
    <w:rsid w:val="005641C3"/>
    <w:rsid w:val="00564A7C"/>
    <w:rsid w:val="005652AB"/>
    <w:rsid w:val="00565D34"/>
    <w:rsid w:val="00566B7F"/>
    <w:rsid w:val="00567121"/>
    <w:rsid w:val="00567CFE"/>
    <w:rsid w:val="00570370"/>
    <w:rsid w:val="0057118E"/>
    <w:rsid w:val="00571A9C"/>
    <w:rsid w:val="00571AF4"/>
    <w:rsid w:val="005728D6"/>
    <w:rsid w:val="005735C9"/>
    <w:rsid w:val="005742EB"/>
    <w:rsid w:val="00574737"/>
    <w:rsid w:val="005761D9"/>
    <w:rsid w:val="00576386"/>
    <w:rsid w:val="005764B1"/>
    <w:rsid w:val="00576A44"/>
    <w:rsid w:val="00576FBC"/>
    <w:rsid w:val="00577536"/>
    <w:rsid w:val="005775AB"/>
    <w:rsid w:val="00577A0A"/>
    <w:rsid w:val="00577B53"/>
    <w:rsid w:val="00580F2A"/>
    <w:rsid w:val="00581392"/>
    <w:rsid w:val="0058151A"/>
    <w:rsid w:val="005815AF"/>
    <w:rsid w:val="00581E53"/>
    <w:rsid w:val="00582393"/>
    <w:rsid w:val="00583811"/>
    <w:rsid w:val="0058405D"/>
    <w:rsid w:val="00584316"/>
    <w:rsid w:val="005845BC"/>
    <w:rsid w:val="0058461F"/>
    <w:rsid w:val="005858D1"/>
    <w:rsid w:val="00585B64"/>
    <w:rsid w:val="00585CD8"/>
    <w:rsid w:val="005865D9"/>
    <w:rsid w:val="0058660A"/>
    <w:rsid w:val="00586B1A"/>
    <w:rsid w:val="005872FB"/>
    <w:rsid w:val="00587450"/>
    <w:rsid w:val="00587B42"/>
    <w:rsid w:val="00590196"/>
    <w:rsid w:val="00590246"/>
    <w:rsid w:val="005905FC"/>
    <w:rsid w:val="00591105"/>
    <w:rsid w:val="00591125"/>
    <w:rsid w:val="00591844"/>
    <w:rsid w:val="0059249F"/>
    <w:rsid w:val="005929EB"/>
    <w:rsid w:val="00593155"/>
    <w:rsid w:val="005934DC"/>
    <w:rsid w:val="00593BDB"/>
    <w:rsid w:val="00593E2B"/>
    <w:rsid w:val="00593E87"/>
    <w:rsid w:val="00594E7C"/>
    <w:rsid w:val="00596A80"/>
    <w:rsid w:val="00596AF6"/>
    <w:rsid w:val="00597D17"/>
    <w:rsid w:val="00597D69"/>
    <w:rsid w:val="00597E7C"/>
    <w:rsid w:val="005A01D4"/>
    <w:rsid w:val="005A08D9"/>
    <w:rsid w:val="005A0B5F"/>
    <w:rsid w:val="005A0C9C"/>
    <w:rsid w:val="005A119F"/>
    <w:rsid w:val="005A11E7"/>
    <w:rsid w:val="005A13F3"/>
    <w:rsid w:val="005A363E"/>
    <w:rsid w:val="005A39E1"/>
    <w:rsid w:val="005A40B5"/>
    <w:rsid w:val="005A40C3"/>
    <w:rsid w:val="005A6DFB"/>
    <w:rsid w:val="005A7674"/>
    <w:rsid w:val="005B03D8"/>
    <w:rsid w:val="005B0992"/>
    <w:rsid w:val="005B0EB3"/>
    <w:rsid w:val="005B1513"/>
    <w:rsid w:val="005B155C"/>
    <w:rsid w:val="005B18A3"/>
    <w:rsid w:val="005B1AC4"/>
    <w:rsid w:val="005B1BA7"/>
    <w:rsid w:val="005B1F75"/>
    <w:rsid w:val="005B1FAA"/>
    <w:rsid w:val="005B20C5"/>
    <w:rsid w:val="005B2B4F"/>
    <w:rsid w:val="005B31F0"/>
    <w:rsid w:val="005B46BE"/>
    <w:rsid w:val="005B48E1"/>
    <w:rsid w:val="005B4FDE"/>
    <w:rsid w:val="005B51E3"/>
    <w:rsid w:val="005B6128"/>
    <w:rsid w:val="005B612D"/>
    <w:rsid w:val="005B76A4"/>
    <w:rsid w:val="005B7E84"/>
    <w:rsid w:val="005C153E"/>
    <w:rsid w:val="005C1654"/>
    <w:rsid w:val="005C1863"/>
    <w:rsid w:val="005C1A8E"/>
    <w:rsid w:val="005C1ACD"/>
    <w:rsid w:val="005C25D9"/>
    <w:rsid w:val="005C31FF"/>
    <w:rsid w:val="005C3B6D"/>
    <w:rsid w:val="005C44C7"/>
    <w:rsid w:val="005C48D8"/>
    <w:rsid w:val="005C4A91"/>
    <w:rsid w:val="005C4BB3"/>
    <w:rsid w:val="005C4BDD"/>
    <w:rsid w:val="005C56F1"/>
    <w:rsid w:val="005C5868"/>
    <w:rsid w:val="005C5961"/>
    <w:rsid w:val="005C5B86"/>
    <w:rsid w:val="005C5EB6"/>
    <w:rsid w:val="005C6187"/>
    <w:rsid w:val="005C62FA"/>
    <w:rsid w:val="005C64BA"/>
    <w:rsid w:val="005C6955"/>
    <w:rsid w:val="005C6F6E"/>
    <w:rsid w:val="005C7280"/>
    <w:rsid w:val="005C72BA"/>
    <w:rsid w:val="005C7727"/>
    <w:rsid w:val="005D04F4"/>
    <w:rsid w:val="005D095B"/>
    <w:rsid w:val="005D0DBD"/>
    <w:rsid w:val="005D16A7"/>
    <w:rsid w:val="005D1926"/>
    <w:rsid w:val="005D1F34"/>
    <w:rsid w:val="005D241D"/>
    <w:rsid w:val="005D2634"/>
    <w:rsid w:val="005D26CE"/>
    <w:rsid w:val="005D2F21"/>
    <w:rsid w:val="005D307A"/>
    <w:rsid w:val="005D311B"/>
    <w:rsid w:val="005D312F"/>
    <w:rsid w:val="005D3370"/>
    <w:rsid w:val="005D3391"/>
    <w:rsid w:val="005D3610"/>
    <w:rsid w:val="005D3A86"/>
    <w:rsid w:val="005D3C80"/>
    <w:rsid w:val="005D4B87"/>
    <w:rsid w:val="005D4D08"/>
    <w:rsid w:val="005D52DC"/>
    <w:rsid w:val="005D58CD"/>
    <w:rsid w:val="005D5B77"/>
    <w:rsid w:val="005D6781"/>
    <w:rsid w:val="005D746E"/>
    <w:rsid w:val="005D74C5"/>
    <w:rsid w:val="005D7590"/>
    <w:rsid w:val="005D77CB"/>
    <w:rsid w:val="005D7F2F"/>
    <w:rsid w:val="005E122B"/>
    <w:rsid w:val="005E136C"/>
    <w:rsid w:val="005E1911"/>
    <w:rsid w:val="005E1A52"/>
    <w:rsid w:val="005E22A6"/>
    <w:rsid w:val="005E257A"/>
    <w:rsid w:val="005E2C35"/>
    <w:rsid w:val="005E414C"/>
    <w:rsid w:val="005E4198"/>
    <w:rsid w:val="005E4F76"/>
    <w:rsid w:val="005E505B"/>
    <w:rsid w:val="005E69F7"/>
    <w:rsid w:val="005E764E"/>
    <w:rsid w:val="005E79CB"/>
    <w:rsid w:val="005E7A63"/>
    <w:rsid w:val="005F0347"/>
    <w:rsid w:val="005F0DF5"/>
    <w:rsid w:val="005F1044"/>
    <w:rsid w:val="005F113B"/>
    <w:rsid w:val="005F1670"/>
    <w:rsid w:val="005F1F44"/>
    <w:rsid w:val="005F1F4F"/>
    <w:rsid w:val="005F2A99"/>
    <w:rsid w:val="005F2BFD"/>
    <w:rsid w:val="005F2E9C"/>
    <w:rsid w:val="005F31BA"/>
    <w:rsid w:val="005F39B4"/>
    <w:rsid w:val="005F3A45"/>
    <w:rsid w:val="005F3B47"/>
    <w:rsid w:val="005F3D32"/>
    <w:rsid w:val="005F457F"/>
    <w:rsid w:val="005F4EA3"/>
    <w:rsid w:val="005F5F45"/>
    <w:rsid w:val="005F6720"/>
    <w:rsid w:val="005F6D91"/>
    <w:rsid w:val="005F6D9F"/>
    <w:rsid w:val="005F6DFE"/>
    <w:rsid w:val="005F6FD9"/>
    <w:rsid w:val="005F71E2"/>
    <w:rsid w:val="005F737A"/>
    <w:rsid w:val="005F74B2"/>
    <w:rsid w:val="005F788B"/>
    <w:rsid w:val="005F78DA"/>
    <w:rsid w:val="006001FD"/>
    <w:rsid w:val="00601292"/>
    <w:rsid w:val="00601364"/>
    <w:rsid w:val="00601ACA"/>
    <w:rsid w:val="00602790"/>
    <w:rsid w:val="00602913"/>
    <w:rsid w:val="00602C33"/>
    <w:rsid w:val="00603CAC"/>
    <w:rsid w:val="00604003"/>
    <w:rsid w:val="00604349"/>
    <w:rsid w:val="006045F7"/>
    <w:rsid w:val="00606045"/>
    <w:rsid w:val="00606479"/>
    <w:rsid w:val="00606627"/>
    <w:rsid w:val="0060663F"/>
    <w:rsid w:val="0060683C"/>
    <w:rsid w:val="00607147"/>
    <w:rsid w:val="00607577"/>
    <w:rsid w:val="00607975"/>
    <w:rsid w:val="00607AB7"/>
    <w:rsid w:val="00607E3F"/>
    <w:rsid w:val="0061001F"/>
    <w:rsid w:val="0061051A"/>
    <w:rsid w:val="00611CF2"/>
    <w:rsid w:val="00611E48"/>
    <w:rsid w:val="00611EC6"/>
    <w:rsid w:val="0061216E"/>
    <w:rsid w:val="006121FA"/>
    <w:rsid w:val="006122CD"/>
    <w:rsid w:val="0061237F"/>
    <w:rsid w:val="006124C8"/>
    <w:rsid w:val="0061281A"/>
    <w:rsid w:val="00612F50"/>
    <w:rsid w:val="006132C7"/>
    <w:rsid w:val="00614619"/>
    <w:rsid w:val="00615597"/>
    <w:rsid w:val="00615744"/>
    <w:rsid w:val="006158EC"/>
    <w:rsid w:val="00616158"/>
    <w:rsid w:val="00616F8D"/>
    <w:rsid w:val="00617BDF"/>
    <w:rsid w:val="00620CEB"/>
    <w:rsid w:val="00621210"/>
    <w:rsid w:val="006219F2"/>
    <w:rsid w:val="00621BDF"/>
    <w:rsid w:val="00621CC5"/>
    <w:rsid w:val="00621E38"/>
    <w:rsid w:val="00622B78"/>
    <w:rsid w:val="00622F1C"/>
    <w:rsid w:val="00623131"/>
    <w:rsid w:val="00623159"/>
    <w:rsid w:val="00623480"/>
    <w:rsid w:val="00623E60"/>
    <w:rsid w:val="006250A3"/>
    <w:rsid w:val="0062564C"/>
    <w:rsid w:val="006266CB"/>
    <w:rsid w:val="00626E70"/>
    <w:rsid w:val="00627224"/>
    <w:rsid w:val="0062723A"/>
    <w:rsid w:val="00627AFA"/>
    <w:rsid w:val="00627CF9"/>
    <w:rsid w:val="00627E56"/>
    <w:rsid w:val="00627F87"/>
    <w:rsid w:val="006307C0"/>
    <w:rsid w:val="0063116B"/>
    <w:rsid w:val="00631FDA"/>
    <w:rsid w:val="0063201A"/>
    <w:rsid w:val="00632B5D"/>
    <w:rsid w:val="00632D7C"/>
    <w:rsid w:val="0063303E"/>
    <w:rsid w:val="00633516"/>
    <w:rsid w:val="006344EA"/>
    <w:rsid w:val="00634C9C"/>
    <w:rsid w:val="006352B4"/>
    <w:rsid w:val="00635993"/>
    <w:rsid w:val="006359C6"/>
    <w:rsid w:val="00635B62"/>
    <w:rsid w:val="006361F4"/>
    <w:rsid w:val="00636771"/>
    <w:rsid w:val="00636C0B"/>
    <w:rsid w:val="006371BD"/>
    <w:rsid w:val="00637377"/>
    <w:rsid w:val="00640244"/>
    <w:rsid w:val="00640492"/>
    <w:rsid w:val="006412D1"/>
    <w:rsid w:val="006415FD"/>
    <w:rsid w:val="00641715"/>
    <w:rsid w:val="00642A6D"/>
    <w:rsid w:val="00642C04"/>
    <w:rsid w:val="00642C94"/>
    <w:rsid w:val="00642DE3"/>
    <w:rsid w:val="0064366E"/>
    <w:rsid w:val="00644627"/>
    <w:rsid w:val="00644948"/>
    <w:rsid w:val="00644A6D"/>
    <w:rsid w:val="00644DF3"/>
    <w:rsid w:val="00645085"/>
    <w:rsid w:val="006454CB"/>
    <w:rsid w:val="00645B1A"/>
    <w:rsid w:val="00645F08"/>
    <w:rsid w:val="00645FAB"/>
    <w:rsid w:val="006461E4"/>
    <w:rsid w:val="00646595"/>
    <w:rsid w:val="00646775"/>
    <w:rsid w:val="00646B4D"/>
    <w:rsid w:val="006470EF"/>
    <w:rsid w:val="00647EEE"/>
    <w:rsid w:val="00650266"/>
    <w:rsid w:val="00650860"/>
    <w:rsid w:val="00650913"/>
    <w:rsid w:val="00650E3E"/>
    <w:rsid w:val="00650F1E"/>
    <w:rsid w:val="00651566"/>
    <w:rsid w:val="00651839"/>
    <w:rsid w:val="00653214"/>
    <w:rsid w:val="0065335B"/>
    <w:rsid w:val="006536D9"/>
    <w:rsid w:val="00653BB2"/>
    <w:rsid w:val="00654079"/>
    <w:rsid w:val="006542A4"/>
    <w:rsid w:val="006551D3"/>
    <w:rsid w:val="006552CD"/>
    <w:rsid w:val="006566B5"/>
    <w:rsid w:val="00656B77"/>
    <w:rsid w:val="00656DB1"/>
    <w:rsid w:val="00656FBC"/>
    <w:rsid w:val="00657261"/>
    <w:rsid w:val="00657B81"/>
    <w:rsid w:val="00657CE7"/>
    <w:rsid w:val="00657E36"/>
    <w:rsid w:val="006607A6"/>
    <w:rsid w:val="0066099A"/>
    <w:rsid w:val="006613D1"/>
    <w:rsid w:val="00661EB9"/>
    <w:rsid w:val="0066249F"/>
    <w:rsid w:val="0066394D"/>
    <w:rsid w:val="00664889"/>
    <w:rsid w:val="00664BD4"/>
    <w:rsid w:val="0066555D"/>
    <w:rsid w:val="00665AF7"/>
    <w:rsid w:val="00665D3E"/>
    <w:rsid w:val="00666292"/>
    <w:rsid w:val="006671BA"/>
    <w:rsid w:val="00667985"/>
    <w:rsid w:val="00667DB1"/>
    <w:rsid w:val="00667EB0"/>
    <w:rsid w:val="00667F0C"/>
    <w:rsid w:val="006702EF"/>
    <w:rsid w:val="006703C2"/>
    <w:rsid w:val="006706C8"/>
    <w:rsid w:val="00670E83"/>
    <w:rsid w:val="00670F05"/>
    <w:rsid w:val="00671359"/>
    <w:rsid w:val="0067179B"/>
    <w:rsid w:val="0067184C"/>
    <w:rsid w:val="00671B04"/>
    <w:rsid w:val="00671B8F"/>
    <w:rsid w:val="00671D46"/>
    <w:rsid w:val="0067274B"/>
    <w:rsid w:val="00672C1D"/>
    <w:rsid w:val="00672E09"/>
    <w:rsid w:val="006749BD"/>
    <w:rsid w:val="0067673D"/>
    <w:rsid w:val="00676973"/>
    <w:rsid w:val="006777E3"/>
    <w:rsid w:val="0067789C"/>
    <w:rsid w:val="00677B8D"/>
    <w:rsid w:val="00680005"/>
    <w:rsid w:val="00680B22"/>
    <w:rsid w:val="00680BB6"/>
    <w:rsid w:val="00680CF2"/>
    <w:rsid w:val="00680D93"/>
    <w:rsid w:val="00681490"/>
    <w:rsid w:val="006819D0"/>
    <w:rsid w:val="006819FD"/>
    <w:rsid w:val="00681DF8"/>
    <w:rsid w:val="006828AF"/>
    <w:rsid w:val="00682918"/>
    <w:rsid w:val="00683060"/>
    <w:rsid w:val="00683CEE"/>
    <w:rsid w:val="00684224"/>
    <w:rsid w:val="00684BAD"/>
    <w:rsid w:val="0068630E"/>
    <w:rsid w:val="00686682"/>
    <w:rsid w:val="00686CAC"/>
    <w:rsid w:val="00690056"/>
    <w:rsid w:val="00690313"/>
    <w:rsid w:val="00690EDF"/>
    <w:rsid w:val="00691293"/>
    <w:rsid w:val="006917DA"/>
    <w:rsid w:val="00691ABD"/>
    <w:rsid w:val="00692654"/>
    <w:rsid w:val="0069290A"/>
    <w:rsid w:val="00693191"/>
    <w:rsid w:val="006935F1"/>
    <w:rsid w:val="00693BCC"/>
    <w:rsid w:val="00693C8F"/>
    <w:rsid w:val="00694A54"/>
    <w:rsid w:val="00694B56"/>
    <w:rsid w:val="0069538A"/>
    <w:rsid w:val="006954C0"/>
    <w:rsid w:val="00695DF1"/>
    <w:rsid w:val="00696390"/>
    <w:rsid w:val="006967A5"/>
    <w:rsid w:val="00696D45"/>
    <w:rsid w:val="00697204"/>
    <w:rsid w:val="006972CE"/>
    <w:rsid w:val="00697795"/>
    <w:rsid w:val="006A09DE"/>
    <w:rsid w:val="006A110C"/>
    <w:rsid w:val="006A1547"/>
    <w:rsid w:val="006A1905"/>
    <w:rsid w:val="006A1B9E"/>
    <w:rsid w:val="006A2816"/>
    <w:rsid w:val="006A447D"/>
    <w:rsid w:val="006A4D04"/>
    <w:rsid w:val="006A4F38"/>
    <w:rsid w:val="006A514B"/>
    <w:rsid w:val="006A539A"/>
    <w:rsid w:val="006A5BE5"/>
    <w:rsid w:val="006A661D"/>
    <w:rsid w:val="006A67F8"/>
    <w:rsid w:val="006A6BB3"/>
    <w:rsid w:val="006A70FB"/>
    <w:rsid w:val="006A7D82"/>
    <w:rsid w:val="006B0192"/>
    <w:rsid w:val="006B13EC"/>
    <w:rsid w:val="006B1C69"/>
    <w:rsid w:val="006B2015"/>
    <w:rsid w:val="006B2110"/>
    <w:rsid w:val="006B2445"/>
    <w:rsid w:val="006B250C"/>
    <w:rsid w:val="006B30F0"/>
    <w:rsid w:val="006B3680"/>
    <w:rsid w:val="006B4C0D"/>
    <w:rsid w:val="006B6B65"/>
    <w:rsid w:val="006B7047"/>
    <w:rsid w:val="006B7482"/>
    <w:rsid w:val="006B7B85"/>
    <w:rsid w:val="006B7F37"/>
    <w:rsid w:val="006B7F98"/>
    <w:rsid w:val="006C021B"/>
    <w:rsid w:val="006C0CE4"/>
    <w:rsid w:val="006C0D44"/>
    <w:rsid w:val="006C0D88"/>
    <w:rsid w:val="006C14D9"/>
    <w:rsid w:val="006C1AF3"/>
    <w:rsid w:val="006C1B57"/>
    <w:rsid w:val="006C23E2"/>
    <w:rsid w:val="006C2ADC"/>
    <w:rsid w:val="006C362D"/>
    <w:rsid w:val="006C4649"/>
    <w:rsid w:val="006C4CCD"/>
    <w:rsid w:val="006C5883"/>
    <w:rsid w:val="006C588E"/>
    <w:rsid w:val="006C5F37"/>
    <w:rsid w:val="006C72A9"/>
    <w:rsid w:val="006C737C"/>
    <w:rsid w:val="006C741B"/>
    <w:rsid w:val="006C7718"/>
    <w:rsid w:val="006C799A"/>
    <w:rsid w:val="006C7BA0"/>
    <w:rsid w:val="006D0A57"/>
    <w:rsid w:val="006D0D50"/>
    <w:rsid w:val="006D1488"/>
    <w:rsid w:val="006D2202"/>
    <w:rsid w:val="006D2E44"/>
    <w:rsid w:val="006D2F42"/>
    <w:rsid w:val="006D438A"/>
    <w:rsid w:val="006D44E6"/>
    <w:rsid w:val="006D47B5"/>
    <w:rsid w:val="006D4D1C"/>
    <w:rsid w:val="006D5165"/>
    <w:rsid w:val="006D5EE5"/>
    <w:rsid w:val="006D6486"/>
    <w:rsid w:val="006D6F59"/>
    <w:rsid w:val="006D7090"/>
    <w:rsid w:val="006D7B5F"/>
    <w:rsid w:val="006E0678"/>
    <w:rsid w:val="006E06ED"/>
    <w:rsid w:val="006E06F5"/>
    <w:rsid w:val="006E08D7"/>
    <w:rsid w:val="006E111D"/>
    <w:rsid w:val="006E196B"/>
    <w:rsid w:val="006E2776"/>
    <w:rsid w:val="006E27FD"/>
    <w:rsid w:val="006E2F96"/>
    <w:rsid w:val="006E37D2"/>
    <w:rsid w:val="006E3808"/>
    <w:rsid w:val="006E39F5"/>
    <w:rsid w:val="006E4DEB"/>
    <w:rsid w:val="006E58B9"/>
    <w:rsid w:val="006E5A32"/>
    <w:rsid w:val="006E5B63"/>
    <w:rsid w:val="006E6702"/>
    <w:rsid w:val="006E745B"/>
    <w:rsid w:val="006E7C73"/>
    <w:rsid w:val="006E7EDB"/>
    <w:rsid w:val="006F0085"/>
    <w:rsid w:val="006F07AE"/>
    <w:rsid w:val="006F0946"/>
    <w:rsid w:val="006F0C77"/>
    <w:rsid w:val="006F0CBC"/>
    <w:rsid w:val="006F11BF"/>
    <w:rsid w:val="006F1356"/>
    <w:rsid w:val="006F1B24"/>
    <w:rsid w:val="006F1BD9"/>
    <w:rsid w:val="006F1C78"/>
    <w:rsid w:val="006F1EC6"/>
    <w:rsid w:val="006F2713"/>
    <w:rsid w:val="006F2C69"/>
    <w:rsid w:val="006F367E"/>
    <w:rsid w:val="006F3B2B"/>
    <w:rsid w:val="006F43AE"/>
    <w:rsid w:val="006F4402"/>
    <w:rsid w:val="006F4560"/>
    <w:rsid w:val="006F4AF1"/>
    <w:rsid w:val="006F5391"/>
    <w:rsid w:val="006F5B77"/>
    <w:rsid w:val="006F5DCB"/>
    <w:rsid w:val="006F60D2"/>
    <w:rsid w:val="006F63A2"/>
    <w:rsid w:val="006F670E"/>
    <w:rsid w:val="006F74D9"/>
    <w:rsid w:val="00700C30"/>
    <w:rsid w:val="0070368F"/>
    <w:rsid w:val="007039FC"/>
    <w:rsid w:val="00704A6B"/>
    <w:rsid w:val="00704B48"/>
    <w:rsid w:val="00704DAA"/>
    <w:rsid w:val="00706735"/>
    <w:rsid w:val="00706D54"/>
    <w:rsid w:val="00706FAB"/>
    <w:rsid w:val="00707793"/>
    <w:rsid w:val="007079D5"/>
    <w:rsid w:val="007104E3"/>
    <w:rsid w:val="00711127"/>
    <w:rsid w:val="00711711"/>
    <w:rsid w:val="0071236F"/>
    <w:rsid w:val="0071261A"/>
    <w:rsid w:val="00712989"/>
    <w:rsid w:val="00712C29"/>
    <w:rsid w:val="00713080"/>
    <w:rsid w:val="007132EA"/>
    <w:rsid w:val="007144BD"/>
    <w:rsid w:val="0071476B"/>
    <w:rsid w:val="0071497D"/>
    <w:rsid w:val="007149B1"/>
    <w:rsid w:val="00714A29"/>
    <w:rsid w:val="00715184"/>
    <w:rsid w:val="0071555E"/>
    <w:rsid w:val="00716579"/>
    <w:rsid w:val="007169BB"/>
    <w:rsid w:val="00716F43"/>
    <w:rsid w:val="007175D2"/>
    <w:rsid w:val="00720042"/>
    <w:rsid w:val="007200ED"/>
    <w:rsid w:val="007205C2"/>
    <w:rsid w:val="00721875"/>
    <w:rsid w:val="007220ED"/>
    <w:rsid w:val="00722111"/>
    <w:rsid w:val="007224DA"/>
    <w:rsid w:val="00722A71"/>
    <w:rsid w:val="00723233"/>
    <w:rsid w:val="00723F36"/>
    <w:rsid w:val="00725003"/>
    <w:rsid w:val="007253A1"/>
    <w:rsid w:val="0072547A"/>
    <w:rsid w:val="0072559A"/>
    <w:rsid w:val="00725765"/>
    <w:rsid w:val="00725D5E"/>
    <w:rsid w:val="00726BD1"/>
    <w:rsid w:val="00726F2F"/>
    <w:rsid w:val="0072720A"/>
    <w:rsid w:val="00730021"/>
    <w:rsid w:val="00730B9D"/>
    <w:rsid w:val="0073114B"/>
    <w:rsid w:val="00731DFF"/>
    <w:rsid w:val="0073231F"/>
    <w:rsid w:val="00732947"/>
    <w:rsid w:val="00732E3C"/>
    <w:rsid w:val="00733316"/>
    <w:rsid w:val="00733ED4"/>
    <w:rsid w:val="0073487C"/>
    <w:rsid w:val="00734A07"/>
    <w:rsid w:val="00735122"/>
    <w:rsid w:val="0073593B"/>
    <w:rsid w:val="00736CBF"/>
    <w:rsid w:val="007374B7"/>
    <w:rsid w:val="007400B8"/>
    <w:rsid w:val="0074048D"/>
    <w:rsid w:val="00740B7E"/>
    <w:rsid w:val="00740E4D"/>
    <w:rsid w:val="00741591"/>
    <w:rsid w:val="00741B12"/>
    <w:rsid w:val="00741F87"/>
    <w:rsid w:val="00742C16"/>
    <w:rsid w:val="00743187"/>
    <w:rsid w:val="007453BA"/>
    <w:rsid w:val="00745415"/>
    <w:rsid w:val="007456B2"/>
    <w:rsid w:val="00745E2F"/>
    <w:rsid w:val="007462BA"/>
    <w:rsid w:val="00746474"/>
    <w:rsid w:val="00746849"/>
    <w:rsid w:val="007470B3"/>
    <w:rsid w:val="00747549"/>
    <w:rsid w:val="007503C6"/>
    <w:rsid w:val="00750E30"/>
    <w:rsid w:val="00751A59"/>
    <w:rsid w:val="00751B0A"/>
    <w:rsid w:val="00751D09"/>
    <w:rsid w:val="00752072"/>
    <w:rsid w:val="0075275D"/>
    <w:rsid w:val="00752C79"/>
    <w:rsid w:val="007548CA"/>
    <w:rsid w:val="00754BDF"/>
    <w:rsid w:val="00754FB0"/>
    <w:rsid w:val="007554EB"/>
    <w:rsid w:val="00755A13"/>
    <w:rsid w:val="00755C9B"/>
    <w:rsid w:val="007563B4"/>
    <w:rsid w:val="00756F23"/>
    <w:rsid w:val="007572C7"/>
    <w:rsid w:val="007573A7"/>
    <w:rsid w:val="00757B41"/>
    <w:rsid w:val="00757B8D"/>
    <w:rsid w:val="00757ED8"/>
    <w:rsid w:val="007600C0"/>
    <w:rsid w:val="007609F0"/>
    <w:rsid w:val="00761FE4"/>
    <w:rsid w:val="00762115"/>
    <w:rsid w:val="0076229B"/>
    <w:rsid w:val="007622EB"/>
    <w:rsid w:val="0076240E"/>
    <w:rsid w:val="007627F7"/>
    <w:rsid w:val="00762E3D"/>
    <w:rsid w:val="00764AAA"/>
    <w:rsid w:val="007658F1"/>
    <w:rsid w:val="00766282"/>
    <w:rsid w:val="00766287"/>
    <w:rsid w:val="00766BDB"/>
    <w:rsid w:val="00767335"/>
    <w:rsid w:val="007707D8"/>
    <w:rsid w:val="0077087C"/>
    <w:rsid w:val="00770DCB"/>
    <w:rsid w:val="007712DA"/>
    <w:rsid w:val="00771E0F"/>
    <w:rsid w:val="0077401A"/>
    <w:rsid w:val="007748A0"/>
    <w:rsid w:val="00774E0F"/>
    <w:rsid w:val="00774F91"/>
    <w:rsid w:val="00775089"/>
    <w:rsid w:val="0077541E"/>
    <w:rsid w:val="00775485"/>
    <w:rsid w:val="007757F1"/>
    <w:rsid w:val="00775AC2"/>
    <w:rsid w:val="007765EE"/>
    <w:rsid w:val="00776CE1"/>
    <w:rsid w:val="00777137"/>
    <w:rsid w:val="0077745C"/>
    <w:rsid w:val="00780FD1"/>
    <w:rsid w:val="00781D37"/>
    <w:rsid w:val="007826FA"/>
    <w:rsid w:val="007832D3"/>
    <w:rsid w:val="007833CE"/>
    <w:rsid w:val="007838D9"/>
    <w:rsid w:val="007841E1"/>
    <w:rsid w:val="007843E5"/>
    <w:rsid w:val="00784549"/>
    <w:rsid w:val="007845AF"/>
    <w:rsid w:val="00785BD6"/>
    <w:rsid w:val="0078755C"/>
    <w:rsid w:val="007875DE"/>
    <w:rsid w:val="00790550"/>
    <w:rsid w:val="00790AAA"/>
    <w:rsid w:val="007916E9"/>
    <w:rsid w:val="00791A98"/>
    <w:rsid w:val="00791DD8"/>
    <w:rsid w:val="00791E70"/>
    <w:rsid w:val="00792491"/>
    <w:rsid w:val="007929F8"/>
    <w:rsid w:val="00792AD3"/>
    <w:rsid w:val="00792CF5"/>
    <w:rsid w:val="00793272"/>
    <w:rsid w:val="00793480"/>
    <w:rsid w:val="007936BE"/>
    <w:rsid w:val="00793921"/>
    <w:rsid w:val="00793F23"/>
    <w:rsid w:val="00793FB1"/>
    <w:rsid w:val="007947F3"/>
    <w:rsid w:val="00795192"/>
    <w:rsid w:val="00795215"/>
    <w:rsid w:val="007952D7"/>
    <w:rsid w:val="0079579A"/>
    <w:rsid w:val="00795A3F"/>
    <w:rsid w:val="00795E24"/>
    <w:rsid w:val="00795E2F"/>
    <w:rsid w:val="00796241"/>
    <w:rsid w:val="00796C41"/>
    <w:rsid w:val="00797740"/>
    <w:rsid w:val="007A0088"/>
    <w:rsid w:val="007A034D"/>
    <w:rsid w:val="007A0597"/>
    <w:rsid w:val="007A1105"/>
    <w:rsid w:val="007A1277"/>
    <w:rsid w:val="007A147A"/>
    <w:rsid w:val="007A193C"/>
    <w:rsid w:val="007A1D94"/>
    <w:rsid w:val="007A23D2"/>
    <w:rsid w:val="007A2DA2"/>
    <w:rsid w:val="007A2E94"/>
    <w:rsid w:val="007A2F47"/>
    <w:rsid w:val="007A4023"/>
    <w:rsid w:val="007A4B43"/>
    <w:rsid w:val="007A52A7"/>
    <w:rsid w:val="007A5667"/>
    <w:rsid w:val="007A5D9A"/>
    <w:rsid w:val="007A6272"/>
    <w:rsid w:val="007A6B01"/>
    <w:rsid w:val="007A7539"/>
    <w:rsid w:val="007A7C93"/>
    <w:rsid w:val="007B1259"/>
    <w:rsid w:val="007B14AA"/>
    <w:rsid w:val="007B1724"/>
    <w:rsid w:val="007B19D1"/>
    <w:rsid w:val="007B1C35"/>
    <w:rsid w:val="007B3D53"/>
    <w:rsid w:val="007B459C"/>
    <w:rsid w:val="007B48EB"/>
    <w:rsid w:val="007B51DD"/>
    <w:rsid w:val="007B5BEB"/>
    <w:rsid w:val="007B5C30"/>
    <w:rsid w:val="007B689D"/>
    <w:rsid w:val="007B6C8C"/>
    <w:rsid w:val="007B79FA"/>
    <w:rsid w:val="007B7B6B"/>
    <w:rsid w:val="007B7D41"/>
    <w:rsid w:val="007C0165"/>
    <w:rsid w:val="007C149D"/>
    <w:rsid w:val="007C1CD3"/>
    <w:rsid w:val="007C2317"/>
    <w:rsid w:val="007C2C5F"/>
    <w:rsid w:val="007C3807"/>
    <w:rsid w:val="007C494B"/>
    <w:rsid w:val="007C5179"/>
    <w:rsid w:val="007C51FF"/>
    <w:rsid w:val="007C5838"/>
    <w:rsid w:val="007C75F8"/>
    <w:rsid w:val="007C783A"/>
    <w:rsid w:val="007C7920"/>
    <w:rsid w:val="007D046B"/>
    <w:rsid w:val="007D0503"/>
    <w:rsid w:val="007D0867"/>
    <w:rsid w:val="007D29E5"/>
    <w:rsid w:val="007D403B"/>
    <w:rsid w:val="007D40BD"/>
    <w:rsid w:val="007D41FE"/>
    <w:rsid w:val="007D4230"/>
    <w:rsid w:val="007D50A6"/>
    <w:rsid w:val="007D6315"/>
    <w:rsid w:val="007D73C8"/>
    <w:rsid w:val="007D76F5"/>
    <w:rsid w:val="007D7734"/>
    <w:rsid w:val="007E0567"/>
    <w:rsid w:val="007E1681"/>
    <w:rsid w:val="007E1866"/>
    <w:rsid w:val="007E1A0A"/>
    <w:rsid w:val="007E226C"/>
    <w:rsid w:val="007E22DF"/>
    <w:rsid w:val="007E2340"/>
    <w:rsid w:val="007E28B5"/>
    <w:rsid w:val="007E2D4B"/>
    <w:rsid w:val="007E372A"/>
    <w:rsid w:val="007E3C23"/>
    <w:rsid w:val="007E3D27"/>
    <w:rsid w:val="007E3E39"/>
    <w:rsid w:val="007E4149"/>
    <w:rsid w:val="007E41AC"/>
    <w:rsid w:val="007E55A7"/>
    <w:rsid w:val="007E5A95"/>
    <w:rsid w:val="007E6147"/>
    <w:rsid w:val="007E6434"/>
    <w:rsid w:val="007E69CF"/>
    <w:rsid w:val="007E7002"/>
    <w:rsid w:val="007E7767"/>
    <w:rsid w:val="007E7F1C"/>
    <w:rsid w:val="007F0325"/>
    <w:rsid w:val="007F081B"/>
    <w:rsid w:val="007F0A8A"/>
    <w:rsid w:val="007F14A7"/>
    <w:rsid w:val="007F1DC3"/>
    <w:rsid w:val="007F3554"/>
    <w:rsid w:val="007F3A27"/>
    <w:rsid w:val="007F4F7A"/>
    <w:rsid w:val="007F5311"/>
    <w:rsid w:val="007F5380"/>
    <w:rsid w:val="007F59E7"/>
    <w:rsid w:val="007F5D05"/>
    <w:rsid w:val="007F62F3"/>
    <w:rsid w:val="007F6E98"/>
    <w:rsid w:val="007F7D75"/>
    <w:rsid w:val="007F7F86"/>
    <w:rsid w:val="008007D5"/>
    <w:rsid w:val="008008B8"/>
    <w:rsid w:val="0080124E"/>
    <w:rsid w:val="008024A2"/>
    <w:rsid w:val="008032A0"/>
    <w:rsid w:val="008037A0"/>
    <w:rsid w:val="00803A5D"/>
    <w:rsid w:val="00803C60"/>
    <w:rsid w:val="008040F3"/>
    <w:rsid w:val="00804130"/>
    <w:rsid w:val="0080470F"/>
    <w:rsid w:val="00804898"/>
    <w:rsid w:val="00804F5D"/>
    <w:rsid w:val="00805594"/>
    <w:rsid w:val="00805FA6"/>
    <w:rsid w:val="00806BF9"/>
    <w:rsid w:val="00806CDB"/>
    <w:rsid w:val="008077E1"/>
    <w:rsid w:val="00807E4B"/>
    <w:rsid w:val="00810141"/>
    <w:rsid w:val="00810ABF"/>
    <w:rsid w:val="00810C4D"/>
    <w:rsid w:val="00810F24"/>
    <w:rsid w:val="0081101C"/>
    <w:rsid w:val="0081169C"/>
    <w:rsid w:val="00811820"/>
    <w:rsid w:val="00811B52"/>
    <w:rsid w:val="008125EE"/>
    <w:rsid w:val="00812B77"/>
    <w:rsid w:val="00812BC8"/>
    <w:rsid w:val="0081338D"/>
    <w:rsid w:val="00813750"/>
    <w:rsid w:val="00813D6D"/>
    <w:rsid w:val="0081428D"/>
    <w:rsid w:val="0081470C"/>
    <w:rsid w:val="00814890"/>
    <w:rsid w:val="00815873"/>
    <w:rsid w:val="0081601E"/>
    <w:rsid w:val="008166C3"/>
    <w:rsid w:val="00816C80"/>
    <w:rsid w:val="00816D0A"/>
    <w:rsid w:val="0081789F"/>
    <w:rsid w:val="008179B9"/>
    <w:rsid w:val="00817F75"/>
    <w:rsid w:val="00820835"/>
    <w:rsid w:val="00820880"/>
    <w:rsid w:val="008213DB"/>
    <w:rsid w:val="00821BD9"/>
    <w:rsid w:val="00822E46"/>
    <w:rsid w:val="00823637"/>
    <w:rsid w:val="00823DE5"/>
    <w:rsid w:val="0082542F"/>
    <w:rsid w:val="0082586D"/>
    <w:rsid w:val="00825CEE"/>
    <w:rsid w:val="008261FC"/>
    <w:rsid w:val="008268A8"/>
    <w:rsid w:val="00826999"/>
    <w:rsid w:val="00827852"/>
    <w:rsid w:val="00827EA3"/>
    <w:rsid w:val="00827EB5"/>
    <w:rsid w:val="00830D8A"/>
    <w:rsid w:val="00831128"/>
    <w:rsid w:val="0083162F"/>
    <w:rsid w:val="0083209A"/>
    <w:rsid w:val="00832120"/>
    <w:rsid w:val="0083279D"/>
    <w:rsid w:val="0083366C"/>
    <w:rsid w:val="00834142"/>
    <w:rsid w:val="0083594F"/>
    <w:rsid w:val="00835B1F"/>
    <w:rsid w:val="00835DDB"/>
    <w:rsid w:val="008364BB"/>
    <w:rsid w:val="008364C4"/>
    <w:rsid w:val="00836A9F"/>
    <w:rsid w:val="00840839"/>
    <w:rsid w:val="008408C3"/>
    <w:rsid w:val="00840EDD"/>
    <w:rsid w:val="00840EF8"/>
    <w:rsid w:val="00841809"/>
    <w:rsid w:val="00842394"/>
    <w:rsid w:val="00842697"/>
    <w:rsid w:val="0084298C"/>
    <w:rsid w:val="00842B8F"/>
    <w:rsid w:val="0084337D"/>
    <w:rsid w:val="008433C0"/>
    <w:rsid w:val="0084459F"/>
    <w:rsid w:val="008449CA"/>
    <w:rsid w:val="00845134"/>
    <w:rsid w:val="0084521F"/>
    <w:rsid w:val="0084547B"/>
    <w:rsid w:val="00845C3E"/>
    <w:rsid w:val="00845F38"/>
    <w:rsid w:val="00847321"/>
    <w:rsid w:val="008474D7"/>
    <w:rsid w:val="008475E9"/>
    <w:rsid w:val="00850248"/>
    <w:rsid w:val="00850510"/>
    <w:rsid w:val="008505E5"/>
    <w:rsid w:val="00850756"/>
    <w:rsid w:val="00850BF6"/>
    <w:rsid w:val="00851414"/>
    <w:rsid w:val="00851967"/>
    <w:rsid w:val="00851D26"/>
    <w:rsid w:val="00852B96"/>
    <w:rsid w:val="0085365A"/>
    <w:rsid w:val="0085374D"/>
    <w:rsid w:val="00854244"/>
    <w:rsid w:val="0085458C"/>
    <w:rsid w:val="008549D6"/>
    <w:rsid w:val="00854D0A"/>
    <w:rsid w:val="00855C39"/>
    <w:rsid w:val="0085618B"/>
    <w:rsid w:val="008563A3"/>
    <w:rsid w:val="008567A4"/>
    <w:rsid w:val="00856B91"/>
    <w:rsid w:val="00857079"/>
    <w:rsid w:val="00857906"/>
    <w:rsid w:val="008579B1"/>
    <w:rsid w:val="00857B37"/>
    <w:rsid w:val="00857C69"/>
    <w:rsid w:val="0086027A"/>
    <w:rsid w:val="00860634"/>
    <w:rsid w:val="00860EA8"/>
    <w:rsid w:val="008612D6"/>
    <w:rsid w:val="0086146C"/>
    <w:rsid w:val="00861567"/>
    <w:rsid w:val="00861751"/>
    <w:rsid w:val="00861B44"/>
    <w:rsid w:val="00861FC2"/>
    <w:rsid w:val="0086208D"/>
    <w:rsid w:val="008622EA"/>
    <w:rsid w:val="00862678"/>
    <w:rsid w:val="008627F6"/>
    <w:rsid w:val="00863856"/>
    <w:rsid w:val="00863BD7"/>
    <w:rsid w:val="00863FBC"/>
    <w:rsid w:val="00864499"/>
    <w:rsid w:val="008646D4"/>
    <w:rsid w:val="00865365"/>
    <w:rsid w:val="008678A6"/>
    <w:rsid w:val="00870D1A"/>
    <w:rsid w:val="00871194"/>
    <w:rsid w:val="0087199D"/>
    <w:rsid w:val="00871A02"/>
    <w:rsid w:val="00871F98"/>
    <w:rsid w:val="00872492"/>
    <w:rsid w:val="008724DE"/>
    <w:rsid w:val="008726E4"/>
    <w:rsid w:val="00872B2D"/>
    <w:rsid w:val="00872C31"/>
    <w:rsid w:val="008735D0"/>
    <w:rsid w:val="008735DB"/>
    <w:rsid w:val="00874EAC"/>
    <w:rsid w:val="008751D6"/>
    <w:rsid w:val="008752FC"/>
    <w:rsid w:val="00875DF6"/>
    <w:rsid w:val="00877266"/>
    <w:rsid w:val="0087726B"/>
    <w:rsid w:val="008776A1"/>
    <w:rsid w:val="00877E9D"/>
    <w:rsid w:val="00880A5B"/>
    <w:rsid w:val="00880F5C"/>
    <w:rsid w:val="0088120F"/>
    <w:rsid w:val="00881403"/>
    <w:rsid w:val="008814A5"/>
    <w:rsid w:val="0088165D"/>
    <w:rsid w:val="008820A2"/>
    <w:rsid w:val="00883221"/>
    <w:rsid w:val="0088420D"/>
    <w:rsid w:val="00884716"/>
    <w:rsid w:val="00886128"/>
    <w:rsid w:val="00886AEF"/>
    <w:rsid w:val="00887ACE"/>
    <w:rsid w:val="00887ADB"/>
    <w:rsid w:val="00887B0A"/>
    <w:rsid w:val="008900AB"/>
    <w:rsid w:val="00890AC2"/>
    <w:rsid w:val="00890CF9"/>
    <w:rsid w:val="00891372"/>
    <w:rsid w:val="00891770"/>
    <w:rsid w:val="00891980"/>
    <w:rsid w:val="00891BCE"/>
    <w:rsid w:val="0089225B"/>
    <w:rsid w:val="008924AE"/>
    <w:rsid w:val="008929F9"/>
    <w:rsid w:val="00892DF8"/>
    <w:rsid w:val="00892FD2"/>
    <w:rsid w:val="0089315C"/>
    <w:rsid w:val="008935BF"/>
    <w:rsid w:val="00893A77"/>
    <w:rsid w:val="00893B3B"/>
    <w:rsid w:val="008944E9"/>
    <w:rsid w:val="00894596"/>
    <w:rsid w:val="00894611"/>
    <w:rsid w:val="008946DE"/>
    <w:rsid w:val="00894F97"/>
    <w:rsid w:val="008950D0"/>
    <w:rsid w:val="00896165"/>
    <w:rsid w:val="0089621D"/>
    <w:rsid w:val="00896663"/>
    <w:rsid w:val="008966D5"/>
    <w:rsid w:val="008969E0"/>
    <w:rsid w:val="00896A7C"/>
    <w:rsid w:val="00896DB2"/>
    <w:rsid w:val="00896FBB"/>
    <w:rsid w:val="0089711B"/>
    <w:rsid w:val="00897B54"/>
    <w:rsid w:val="008A04C3"/>
    <w:rsid w:val="008A08CD"/>
    <w:rsid w:val="008A09D4"/>
    <w:rsid w:val="008A0A34"/>
    <w:rsid w:val="008A11D7"/>
    <w:rsid w:val="008A1717"/>
    <w:rsid w:val="008A1931"/>
    <w:rsid w:val="008A1D75"/>
    <w:rsid w:val="008A2AF7"/>
    <w:rsid w:val="008A3D57"/>
    <w:rsid w:val="008A3E2E"/>
    <w:rsid w:val="008A4095"/>
    <w:rsid w:val="008A431A"/>
    <w:rsid w:val="008A4CEB"/>
    <w:rsid w:val="008A4F58"/>
    <w:rsid w:val="008A576C"/>
    <w:rsid w:val="008A6535"/>
    <w:rsid w:val="008A68C7"/>
    <w:rsid w:val="008A6918"/>
    <w:rsid w:val="008A767B"/>
    <w:rsid w:val="008A79A2"/>
    <w:rsid w:val="008A7AC3"/>
    <w:rsid w:val="008B0792"/>
    <w:rsid w:val="008B11E4"/>
    <w:rsid w:val="008B1A30"/>
    <w:rsid w:val="008B1D8B"/>
    <w:rsid w:val="008B1DAF"/>
    <w:rsid w:val="008B1EF3"/>
    <w:rsid w:val="008B281D"/>
    <w:rsid w:val="008B2EA4"/>
    <w:rsid w:val="008B314C"/>
    <w:rsid w:val="008B320D"/>
    <w:rsid w:val="008B3852"/>
    <w:rsid w:val="008B3A98"/>
    <w:rsid w:val="008B4338"/>
    <w:rsid w:val="008B490B"/>
    <w:rsid w:val="008B51E3"/>
    <w:rsid w:val="008B5E75"/>
    <w:rsid w:val="008B5ED5"/>
    <w:rsid w:val="008B5F82"/>
    <w:rsid w:val="008B63ED"/>
    <w:rsid w:val="008B6464"/>
    <w:rsid w:val="008B6825"/>
    <w:rsid w:val="008B6FE8"/>
    <w:rsid w:val="008B7AF6"/>
    <w:rsid w:val="008C02CD"/>
    <w:rsid w:val="008C03A1"/>
    <w:rsid w:val="008C0664"/>
    <w:rsid w:val="008C13C8"/>
    <w:rsid w:val="008C17A9"/>
    <w:rsid w:val="008C26B1"/>
    <w:rsid w:val="008C26EE"/>
    <w:rsid w:val="008C3658"/>
    <w:rsid w:val="008C3BF7"/>
    <w:rsid w:val="008C40EF"/>
    <w:rsid w:val="008C4EEC"/>
    <w:rsid w:val="008C4FE3"/>
    <w:rsid w:val="008C542A"/>
    <w:rsid w:val="008C57E7"/>
    <w:rsid w:val="008C5DAA"/>
    <w:rsid w:val="008C635A"/>
    <w:rsid w:val="008C6407"/>
    <w:rsid w:val="008C7CF4"/>
    <w:rsid w:val="008D1495"/>
    <w:rsid w:val="008D2263"/>
    <w:rsid w:val="008D22A3"/>
    <w:rsid w:val="008D2874"/>
    <w:rsid w:val="008D2B2D"/>
    <w:rsid w:val="008D2F0E"/>
    <w:rsid w:val="008D3020"/>
    <w:rsid w:val="008D3094"/>
    <w:rsid w:val="008D3E2B"/>
    <w:rsid w:val="008D3FC4"/>
    <w:rsid w:val="008D50C5"/>
    <w:rsid w:val="008D5EBC"/>
    <w:rsid w:val="008D5F38"/>
    <w:rsid w:val="008D6D0E"/>
    <w:rsid w:val="008D725A"/>
    <w:rsid w:val="008D788A"/>
    <w:rsid w:val="008D7B76"/>
    <w:rsid w:val="008D7CAC"/>
    <w:rsid w:val="008E0050"/>
    <w:rsid w:val="008E0486"/>
    <w:rsid w:val="008E0D60"/>
    <w:rsid w:val="008E1B94"/>
    <w:rsid w:val="008E2084"/>
    <w:rsid w:val="008E21C4"/>
    <w:rsid w:val="008E2F05"/>
    <w:rsid w:val="008E3469"/>
    <w:rsid w:val="008E3D60"/>
    <w:rsid w:val="008E4194"/>
    <w:rsid w:val="008E450C"/>
    <w:rsid w:val="008E5089"/>
    <w:rsid w:val="008E5DF6"/>
    <w:rsid w:val="008E6E26"/>
    <w:rsid w:val="008E773D"/>
    <w:rsid w:val="008E7DCA"/>
    <w:rsid w:val="008F0149"/>
    <w:rsid w:val="008F0C48"/>
    <w:rsid w:val="008F0D2B"/>
    <w:rsid w:val="008F22B3"/>
    <w:rsid w:val="008F268D"/>
    <w:rsid w:val="008F283B"/>
    <w:rsid w:val="008F2B75"/>
    <w:rsid w:val="008F2D95"/>
    <w:rsid w:val="008F3441"/>
    <w:rsid w:val="008F3C6B"/>
    <w:rsid w:val="008F3EE0"/>
    <w:rsid w:val="008F3F50"/>
    <w:rsid w:val="008F418C"/>
    <w:rsid w:val="008F440D"/>
    <w:rsid w:val="008F496E"/>
    <w:rsid w:val="008F4E20"/>
    <w:rsid w:val="008F5016"/>
    <w:rsid w:val="008F5CC9"/>
    <w:rsid w:val="008F5D4C"/>
    <w:rsid w:val="008F6423"/>
    <w:rsid w:val="008F75E6"/>
    <w:rsid w:val="008F7704"/>
    <w:rsid w:val="008F775D"/>
    <w:rsid w:val="008F786C"/>
    <w:rsid w:val="008F7B8F"/>
    <w:rsid w:val="008F7D34"/>
    <w:rsid w:val="008F7D3B"/>
    <w:rsid w:val="00900A05"/>
    <w:rsid w:val="0090165F"/>
    <w:rsid w:val="00901BE0"/>
    <w:rsid w:val="00901F5A"/>
    <w:rsid w:val="009021F8"/>
    <w:rsid w:val="009024F8"/>
    <w:rsid w:val="0090251F"/>
    <w:rsid w:val="00903D4B"/>
    <w:rsid w:val="0090470E"/>
    <w:rsid w:val="00904A12"/>
    <w:rsid w:val="00905555"/>
    <w:rsid w:val="00905F4D"/>
    <w:rsid w:val="00906631"/>
    <w:rsid w:val="00906A82"/>
    <w:rsid w:val="009070D9"/>
    <w:rsid w:val="009076CA"/>
    <w:rsid w:val="00907999"/>
    <w:rsid w:val="00907F82"/>
    <w:rsid w:val="0091177D"/>
    <w:rsid w:val="0091185F"/>
    <w:rsid w:val="00911EE2"/>
    <w:rsid w:val="00912504"/>
    <w:rsid w:val="0091261D"/>
    <w:rsid w:val="00912E30"/>
    <w:rsid w:val="0091336D"/>
    <w:rsid w:val="00913801"/>
    <w:rsid w:val="0091383C"/>
    <w:rsid w:val="00913958"/>
    <w:rsid w:val="00913EBA"/>
    <w:rsid w:val="00913FE3"/>
    <w:rsid w:val="00915171"/>
    <w:rsid w:val="0091554B"/>
    <w:rsid w:val="00915DD1"/>
    <w:rsid w:val="009162CF"/>
    <w:rsid w:val="00916887"/>
    <w:rsid w:val="00916CED"/>
    <w:rsid w:val="00917162"/>
    <w:rsid w:val="0091722E"/>
    <w:rsid w:val="00917A94"/>
    <w:rsid w:val="0092119F"/>
    <w:rsid w:val="00921406"/>
    <w:rsid w:val="00921465"/>
    <w:rsid w:val="009216B5"/>
    <w:rsid w:val="00921CB7"/>
    <w:rsid w:val="00921D1D"/>
    <w:rsid w:val="0092203A"/>
    <w:rsid w:val="009221DB"/>
    <w:rsid w:val="009222BE"/>
    <w:rsid w:val="009224FF"/>
    <w:rsid w:val="00922B45"/>
    <w:rsid w:val="00922F9D"/>
    <w:rsid w:val="0092320A"/>
    <w:rsid w:val="00923988"/>
    <w:rsid w:val="00923BC5"/>
    <w:rsid w:val="00923C4F"/>
    <w:rsid w:val="00923D4E"/>
    <w:rsid w:val="00925158"/>
    <w:rsid w:val="00925B6B"/>
    <w:rsid w:val="00925C00"/>
    <w:rsid w:val="009266FD"/>
    <w:rsid w:val="009276BE"/>
    <w:rsid w:val="009278EB"/>
    <w:rsid w:val="00927A66"/>
    <w:rsid w:val="00927B50"/>
    <w:rsid w:val="00927C83"/>
    <w:rsid w:val="00927CC7"/>
    <w:rsid w:val="00930A6D"/>
    <w:rsid w:val="00930C74"/>
    <w:rsid w:val="00930D3D"/>
    <w:rsid w:val="009311FF"/>
    <w:rsid w:val="00931CEF"/>
    <w:rsid w:val="009323E5"/>
    <w:rsid w:val="00933434"/>
    <w:rsid w:val="009335A2"/>
    <w:rsid w:val="00933C22"/>
    <w:rsid w:val="00933C46"/>
    <w:rsid w:val="00933F1A"/>
    <w:rsid w:val="00935415"/>
    <w:rsid w:val="00935A73"/>
    <w:rsid w:val="00935C46"/>
    <w:rsid w:val="00935DC0"/>
    <w:rsid w:val="00941CA5"/>
    <w:rsid w:val="00941CD9"/>
    <w:rsid w:val="00941E86"/>
    <w:rsid w:val="00941EE2"/>
    <w:rsid w:val="009429A6"/>
    <w:rsid w:val="00942BB1"/>
    <w:rsid w:val="009438BD"/>
    <w:rsid w:val="00943C0D"/>
    <w:rsid w:val="00943DD2"/>
    <w:rsid w:val="009442BC"/>
    <w:rsid w:val="00944329"/>
    <w:rsid w:val="00944773"/>
    <w:rsid w:val="00944DDA"/>
    <w:rsid w:val="00944E13"/>
    <w:rsid w:val="0094546B"/>
    <w:rsid w:val="00945673"/>
    <w:rsid w:val="00945CDA"/>
    <w:rsid w:val="009462EC"/>
    <w:rsid w:val="00946378"/>
    <w:rsid w:val="009472C4"/>
    <w:rsid w:val="009477F2"/>
    <w:rsid w:val="00947932"/>
    <w:rsid w:val="00950068"/>
    <w:rsid w:val="009501B4"/>
    <w:rsid w:val="0095093B"/>
    <w:rsid w:val="00950E88"/>
    <w:rsid w:val="009517DB"/>
    <w:rsid w:val="00951989"/>
    <w:rsid w:val="00951A9A"/>
    <w:rsid w:val="009521FA"/>
    <w:rsid w:val="00952A30"/>
    <w:rsid w:val="0095320D"/>
    <w:rsid w:val="00954026"/>
    <w:rsid w:val="00954287"/>
    <w:rsid w:val="009549E9"/>
    <w:rsid w:val="00954C3C"/>
    <w:rsid w:val="009554E2"/>
    <w:rsid w:val="009556E2"/>
    <w:rsid w:val="009556EE"/>
    <w:rsid w:val="00956F36"/>
    <w:rsid w:val="0095710D"/>
    <w:rsid w:val="00957C59"/>
    <w:rsid w:val="009600DA"/>
    <w:rsid w:val="009602DB"/>
    <w:rsid w:val="00960B54"/>
    <w:rsid w:val="00961430"/>
    <w:rsid w:val="00961FEC"/>
    <w:rsid w:val="00962A18"/>
    <w:rsid w:val="00962D00"/>
    <w:rsid w:val="00962EF3"/>
    <w:rsid w:val="009633A1"/>
    <w:rsid w:val="00963CCA"/>
    <w:rsid w:val="00963E83"/>
    <w:rsid w:val="0096488D"/>
    <w:rsid w:val="00964C16"/>
    <w:rsid w:val="00964C71"/>
    <w:rsid w:val="00965EDE"/>
    <w:rsid w:val="00965F16"/>
    <w:rsid w:val="0096620F"/>
    <w:rsid w:val="00966324"/>
    <w:rsid w:val="009664B1"/>
    <w:rsid w:val="00966C2F"/>
    <w:rsid w:val="0096771D"/>
    <w:rsid w:val="0096793F"/>
    <w:rsid w:val="00967BE3"/>
    <w:rsid w:val="00967ED0"/>
    <w:rsid w:val="009705E6"/>
    <w:rsid w:val="00970B57"/>
    <w:rsid w:val="00971250"/>
    <w:rsid w:val="00971D18"/>
    <w:rsid w:val="00971EE6"/>
    <w:rsid w:val="00972093"/>
    <w:rsid w:val="00972891"/>
    <w:rsid w:val="009732AA"/>
    <w:rsid w:val="009734C5"/>
    <w:rsid w:val="00973607"/>
    <w:rsid w:val="00973A82"/>
    <w:rsid w:val="00974AE1"/>
    <w:rsid w:val="009755BE"/>
    <w:rsid w:val="00976780"/>
    <w:rsid w:val="0097685F"/>
    <w:rsid w:val="009769A7"/>
    <w:rsid w:val="009802F3"/>
    <w:rsid w:val="00980411"/>
    <w:rsid w:val="0098072E"/>
    <w:rsid w:val="00981266"/>
    <w:rsid w:val="00981CFE"/>
    <w:rsid w:val="00981DC1"/>
    <w:rsid w:val="0098227D"/>
    <w:rsid w:val="009826DE"/>
    <w:rsid w:val="009829E7"/>
    <w:rsid w:val="00983C60"/>
    <w:rsid w:val="00984074"/>
    <w:rsid w:val="009844F1"/>
    <w:rsid w:val="0098473A"/>
    <w:rsid w:val="009847A2"/>
    <w:rsid w:val="00985C88"/>
    <w:rsid w:val="00986226"/>
    <w:rsid w:val="00986304"/>
    <w:rsid w:val="00986373"/>
    <w:rsid w:val="00986E65"/>
    <w:rsid w:val="00986E7D"/>
    <w:rsid w:val="0098714E"/>
    <w:rsid w:val="009906D5"/>
    <w:rsid w:val="00990E8B"/>
    <w:rsid w:val="00991538"/>
    <w:rsid w:val="009916ED"/>
    <w:rsid w:val="00991840"/>
    <w:rsid w:val="00991842"/>
    <w:rsid w:val="00991BFB"/>
    <w:rsid w:val="0099214D"/>
    <w:rsid w:val="00992263"/>
    <w:rsid w:val="009923B7"/>
    <w:rsid w:val="00992BC3"/>
    <w:rsid w:val="009942CD"/>
    <w:rsid w:val="0099460A"/>
    <w:rsid w:val="00994E30"/>
    <w:rsid w:val="009958DA"/>
    <w:rsid w:val="0099606E"/>
    <w:rsid w:val="009960CF"/>
    <w:rsid w:val="009961CF"/>
    <w:rsid w:val="00996453"/>
    <w:rsid w:val="009A0021"/>
    <w:rsid w:val="009A1674"/>
    <w:rsid w:val="009A1A35"/>
    <w:rsid w:val="009A1B0E"/>
    <w:rsid w:val="009A1C90"/>
    <w:rsid w:val="009A1FE7"/>
    <w:rsid w:val="009A2075"/>
    <w:rsid w:val="009A238B"/>
    <w:rsid w:val="009A2596"/>
    <w:rsid w:val="009A2B22"/>
    <w:rsid w:val="009A31D9"/>
    <w:rsid w:val="009A3D07"/>
    <w:rsid w:val="009A3DD8"/>
    <w:rsid w:val="009A40F1"/>
    <w:rsid w:val="009A54F2"/>
    <w:rsid w:val="009A552C"/>
    <w:rsid w:val="009A55D3"/>
    <w:rsid w:val="009A55D4"/>
    <w:rsid w:val="009A5753"/>
    <w:rsid w:val="009A5B9C"/>
    <w:rsid w:val="009A5E87"/>
    <w:rsid w:val="009A6247"/>
    <w:rsid w:val="009A6D53"/>
    <w:rsid w:val="009A7060"/>
    <w:rsid w:val="009A717A"/>
    <w:rsid w:val="009A72CC"/>
    <w:rsid w:val="009A75B5"/>
    <w:rsid w:val="009A7988"/>
    <w:rsid w:val="009B0E53"/>
    <w:rsid w:val="009B1010"/>
    <w:rsid w:val="009B2B7E"/>
    <w:rsid w:val="009B2C22"/>
    <w:rsid w:val="009B3416"/>
    <w:rsid w:val="009B344A"/>
    <w:rsid w:val="009B39AE"/>
    <w:rsid w:val="009B3BD3"/>
    <w:rsid w:val="009B3D1D"/>
    <w:rsid w:val="009B3E64"/>
    <w:rsid w:val="009B3F58"/>
    <w:rsid w:val="009B5466"/>
    <w:rsid w:val="009B564C"/>
    <w:rsid w:val="009B5A1A"/>
    <w:rsid w:val="009B5E82"/>
    <w:rsid w:val="009B6B27"/>
    <w:rsid w:val="009B6F8E"/>
    <w:rsid w:val="009B789F"/>
    <w:rsid w:val="009B7B42"/>
    <w:rsid w:val="009C17E7"/>
    <w:rsid w:val="009C17F5"/>
    <w:rsid w:val="009C18D3"/>
    <w:rsid w:val="009C1DC5"/>
    <w:rsid w:val="009C1FD0"/>
    <w:rsid w:val="009C2182"/>
    <w:rsid w:val="009C2C3B"/>
    <w:rsid w:val="009C2EEB"/>
    <w:rsid w:val="009C3403"/>
    <w:rsid w:val="009C3635"/>
    <w:rsid w:val="009C3953"/>
    <w:rsid w:val="009C3AB2"/>
    <w:rsid w:val="009C3ADC"/>
    <w:rsid w:val="009C4E9C"/>
    <w:rsid w:val="009C5349"/>
    <w:rsid w:val="009C586F"/>
    <w:rsid w:val="009C5CE7"/>
    <w:rsid w:val="009C5FB8"/>
    <w:rsid w:val="009C61DE"/>
    <w:rsid w:val="009C66AF"/>
    <w:rsid w:val="009C67F2"/>
    <w:rsid w:val="009C76BA"/>
    <w:rsid w:val="009C7A2E"/>
    <w:rsid w:val="009D02AD"/>
    <w:rsid w:val="009D0E98"/>
    <w:rsid w:val="009D1974"/>
    <w:rsid w:val="009D1E6E"/>
    <w:rsid w:val="009D2543"/>
    <w:rsid w:val="009D25EA"/>
    <w:rsid w:val="009D268C"/>
    <w:rsid w:val="009D27C5"/>
    <w:rsid w:val="009D2BCD"/>
    <w:rsid w:val="009D2E68"/>
    <w:rsid w:val="009D3214"/>
    <w:rsid w:val="009D3822"/>
    <w:rsid w:val="009D44C2"/>
    <w:rsid w:val="009D4BC5"/>
    <w:rsid w:val="009D5731"/>
    <w:rsid w:val="009D6063"/>
    <w:rsid w:val="009D7871"/>
    <w:rsid w:val="009D7E1D"/>
    <w:rsid w:val="009E00C2"/>
    <w:rsid w:val="009E0362"/>
    <w:rsid w:val="009E06FF"/>
    <w:rsid w:val="009E2378"/>
    <w:rsid w:val="009E2EA2"/>
    <w:rsid w:val="009E324B"/>
    <w:rsid w:val="009E335E"/>
    <w:rsid w:val="009E3C55"/>
    <w:rsid w:val="009E445A"/>
    <w:rsid w:val="009E4464"/>
    <w:rsid w:val="009E468A"/>
    <w:rsid w:val="009E4BFF"/>
    <w:rsid w:val="009E516F"/>
    <w:rsid w:val="009E537B"/>
    <w:rsid w:val="009E6243"/>
    <w:rsid w:val="009E64FE"/>
    <w:rsid w:val="009E66D0"/>
    <w:rsid w:val="009E67F6"/>
    <w:rsid w:val="009E786D"/>
    <w:rsid w:val="009E7C5F"/>
    <w:rsid w:val="009E7E25"/>
    <w:rsid w:val="009E7FC4"/>
    <w:rsid w:val="009F0915"/>
    <w:rsid w:val="009F1326"/>
    <w:rsid w:val="009F16D7"/>
    <w:rsid w:val="009F24F9"/>
    <w:rsid w:val="009F259D"/>
    <w:rsid w:val="009F27FF"/>
    <w:rsid w:val="009F355D"/>
    <w:rsid w:val="009F39A8"/>
    <w:rsid w:val="009F42E2"/>
    <w:rsid w:val="009F43B2"/>
    <w:rsid w:val="009F45C0"/>
    <w:rsid w:val="009F4FF8"/>
    <w:rsid w:val="009F51D9"/>
    <w:rsid w:val="009F568B"/>
    <w:rsid w:val="009F5775"/>
    <w:rsid w:val="009F60C3"/>
    <w:rsid w:val="009F64C6"/>
    <w:rsid w:val="009F74EE"/>
    <w:rsid w:val="009F7AAC"/>
    <w:rsid w:val="009F7C91"/>
    <w:rsid w:val="009F7EA2"/>
    <w:rsid w:val="00A00B02"/>
    <w:rsid w:val="00A00C92"/>
    <w:rsid w:val="00A00E24"/>
    <w:rsid w:val="00A01E1D"/>
    <w:rsid w:val="00A02094"/>
    <w:rsid w:val="00A0224A"/>
    <w:rsid w:val="00A025F5"/>
    <w:rsid w:val="00A02BEF"/>
    <w:rsid w:val="00A02C0D"/>
    <w:rsid w:val="00A02F56"/>
    <w:rsid w:val="00A02F7D"/>
    <w:rsid w:val="00A02FAC"/>
    <w:rsid w:val="00A030DC"/>
    <w:rsid w:val="00A03B0B"/>
    <w:rsid w:val="00A03D2A"/>
    <w:rsid w:val="00A0406E"/>
    <w:rsid w:val="00A043C2"/>
    <w:rsid w:val="00A046B5"/>
    <w:rsid w:val="00A04E8E"/>
    <w:rsid w:val="00A05214"/>
    <w:rsid w:val="00A053B5"/>
    <w:rsid w:val="00A05510"/>
    <w:rsid w:val="00A05B0E"/>
    <w:rsid w:val="00A061F1"/>
    <w:rsid w:val="00A074DE"/>
    <w:rsid w:val="00A07E55"/>
    <w:rsid w:val="00A07FCA"/>
    <w:rsid w:val="00A1012C"/>
    <w:rsid w:val="00A10424"/>
    <w:rsid w:val="00A10586"/>
    <w:rsid w:val="00A10B09"/>
    <w:rsid w:val="00A11463"/>
    <w:rsid w:val="00A1150B"/>
    <w:rsid w:val="00A11660"/>
    <w:rsid w:val="00A12C64"/>
    <w:rsid w:val="00A12CDC"/>
    <w:rsid w:val="00A13573"/>
    <w:rsid w:val="00A13CF4"/>
    <w:rsid w:val="00A14652"/>
    <w:rsid w:val="00A14BDA"/>
    <w:rsid w:val="00A15DC2"/>
    <w:rsid w:val="00A17B9C"/>
    <w:rsid w:val="00A20477"/>
    <w:rsid w:val="00A20542"/>
    <w:rsid w:val="00A20589"/>
    <w:rsid w:val="00A2070B"/>
    <w:rsid w:val="00A20C1F"/>
    <w:rsid w:val="00A21135"/>
    <w:rsid w:val="00A218B5"/>
    <w:rsid w:val="00A22119"/>
    <w:rsid w:val="00A2233A"/>
    <w:rsid w:val="00A22603"/>
    <w:rsid w:val="00A22D6D"/>
    <w:rsid w:val="00A22E7D"/>
    <w:rsid w:val="00A23129"/>
    <w:rsid w:val="00A2344C"/>
    <w:rsid w:val="00A23A94"/>
    <w:rsid w:val="00A247AA"/>
    <w:rsid w:val="00A24F22"/>
    <w:rsid w:val="00A25044"/>
    <w:rsid w:val="00A25056"/>
    <w:rsid w:val="00A254E6"/>
    <w:rsid w:val="00A257BF"/>
    <w:rsid w:val="00A259F6"/>
    <w:rsid w:val="00A26A62"/>
    <w:rsid w:val="00A26CDA"/>
    <w:rsid w:val="00A26D60"/>
    <w:rsid w:val="00A27AC2"/>
    <w:rsid w:val="00A27DD0"/>
    <w:rsid w:val="00A27E63"/>
    <w:rsid w:val="00A30B90"/>
    <w:rsid w:val="00A31A3B"/>
    <w:rsid w:val="00A31D00"/>
    <w:rsid w:val="00A31EE8"/>
    <w:rsid w:val="00A32672"/>
    <w:rsid w:val="00A32DC7"/>
    <w:rsid w:val="00A32E11"/>
    <w:rsid w:val="00A33321"/>
    <w:rsid w:val="00A335F3"/>
    <w:rsid w:val="00A34719"/>
    <w:rsid w:val="00A34AA6"/>
    <w:rsid w:val="00A34DC2"/>
    <w:rsid w:val="00A34E35"/>
    <w:rsid w:val="00A354ED"/>
    <w:rsid w:val="00A357B1"/>
    <w:rsid w:val="00A35C5B"/>
    <w:rsid w:val="00A35CB4"/>
    <w:rsid w:val="00A36563"/>
    <w:rsid w:val="00A36946"/>
    <w:rsid w:val="00A36A23"/>
    <w:rsid w:val="00A37480"/>
    <w:rsid w:val="00A409FA"/>
    <w:rsid w:val="00A41107"/>
    <w:rsid w:val="00A41163"/>
    <w:rsid w:val="00A412E8"/>
    <w:rsid w:val="00A41355"/>
    <w:rsid w:val="00A4173C"/>
    <w:rsid w:val="00A421A8"/>
    <w:rsid w:val="00A4261A"/>
    <w:rsid w:val="00A43241"/>
    <w:rsid w:val="00A43544"/>
    <w:rsid w:val="00A435C9"/>
    <w:rsid w:val="00A436C1"/>
    <w:rsid w:val="00A43B92"/>
    <w:rsid w:val="00A43F14"/>
    <w:rsid w:val="00A44720"/>
    <w:rsid w:val="00A4490B"/>
    <w:rsid w:val="00A44F2A"/>
    <w:rsid w:val="00A45769"/>
    <w:rsid w:val="00A46FEA"/>
    <w:rsid w:val="00A47015"/>
    <w:rsid w:val="00A472FE"/>
    <w:rsid w:val="00A4757E"/>
    <w:rsid w:val="00A475BB"/>
    <w:rsid w:val="00A47CB3"/>
    <w:rsid w:val="00A502FA"/>
    <w:rsid w:val="00A50805"/>
    <w:rsid w:val="00A509C5"/>
    <w:rsid w:val="00A51F59"/>
    <w:rsid w:val="00A5202F"/>
    <w:rsid w:val="00A52812"/>
    <w:rsid w:val="00A52E3B"/>
    <w:rsid w:val="00A53BF9"/>
    <w:rsid w:val="00A5460E"/>
    <w:rsid w:val="00A54C96"/>
    <w:rsid w:val="00A55741"/>
    <w:rsid w:val="00A55C7E"/>
    <w:rsid w:val="00A55EB5"/>
    <w:rsid w:val="00A56167"/>
    <w:rsid w:val="00A569BE"/>
    <w:rsid w:val="00A56C9A"/>
    <w:rsid w:val="00A56D84"/>
    <w:rsid w:val="00A6014D"/>
    <w:rsid w:val="00A610CB"/>
    <w:rsid w:val="00A615CE"/>
    <w:rsid w:val="00A6179E"/>
    <w:rsid w:val="00A61982"/>
    <w:rsid w:val="00A61B9E"/>
    <w:rsid w:val="00A61DAC"/>
    <w:rsid w:val="00A61DCB"/>
    <w:rsid w:val="00A62E9A"/>
    <w:rsid w:val="00A63698"/>
    <w:rsid w:val="00A63835"/>
    <w:rsid w:val="00A638E1"/>
    <w:rsid w:val="00A64198"/>
    <w:rsid w:val="00A64B54"/>
    <w:rsid w:val="00A65425"/>
    <w:rsid w:val="00A65445"/>
    <w:rsid w:val="00A65625"/>
    <w:rsid w:val="00A658AC"/>
    <w:rsid w:val="00A65912"/>
    <w:rsid w:val="00A669EE"/>
    <w:rsid w:val="00A66F67"/>
    <w:rsid w:val="00A67055"/>
    <w:rsid w:val="00A675A7"/>
    <w:rsid w:val="00A675FA"/>
    <w:rsid w:val="00A67A8B"/>
    <w:rsid w:val="00A70631"/>
    <w:rsid w:val="00A70C88"/>
    <w:rsid w:val="00A70FB5"/>
    <w:rsid w:val="00A710A5"/>
    <w:rsid w:val="00A717D1"/>
    <w:rsid w:val="00A72F79"/>
    <w:rsid w:val="00A73FB0"/>
    <w:rsid w:val="00A7419D"/>
    <w:rsid w:val="00A74404"/>
    <w:rsid w:val="00A74607"/>
    <w:rsid w:val="00A7490A"/>
    <w:rsid w:val="00A74B5A"/>
    <w:rsid w:val="00A74D5C"/>
    <w:rsid w:val="00A74D5D"/>
    <w:rsid w:val="00A75252"/>
    <w:rsid w:val="00A75595"/>
    <w:rsid w:val="00A75B10"/>
    <w:rsid w:val="00A76CA0"/>
    <w:rsid w:val="00A77930"/>
    <w:rsid w:val="00A8174C"/>
    <w:rsid w:val="00A8182D"/>
    <w:rsid w:val="00A828FB"/>
    <w:rsid w:val="00A830A0"/>
    <w:rsid w:val="00A83258"/>
    <w:rsid w:val="00A83A50"/>
    <w:rsid w:val="00A8408C"/>
    <w:rsid w:val="00A84617"/>
    <w:rsid w:val="00A84A83"/>
    <w:rsid w:val="00A84C81"/>
    <w:rsid w:val="00A84DAC"/>
    <w:rsid w:val="00A85313"/>
    <w:rsid w:val="00A857C0"/>
    <w:rsid w:val="00A86A34"/>
    <w:rsid w:val="00A86C32"/>
    <w:rsid w:val="00A86F2D"/>
    <w:rsid w:val="00A8712C"/>
    <w:rsid w:val="00A876EB"/>
    <w:rsid w:val="00A87B1C"/>
    <w:rsid w:val="00A903D9"/>
    <w:rsid w:val="00A903E1"/>
    <w:rsid w:val="00A904F5"/>
    <w:rsid w:val="00A90709"/>
    <w:rsid w:val="00A911FC"/>
    <w:rsid w:val="00A9134A"/>
    <w:rsid w:val="00A91614"/>
    <w:rsid w:val="00A9174F"/>
    <w:rsid w:val="00A91D0B"/>
    <w:rsid w:val="00A91E47"/>
    <w:rsid w:val="00A930CB"/>
    <w:rsid w:val="00A94531"/>
    <w:rsid w:val="00A94A37"/>
    <w:rsid w:val="00A951D9"/>
    <w:rsid w:val="00A95A85"/>
    <w:rsid w:val="00A95FE9"/>
    <w:rsid w:val="00A9608D"/>
    <w:rsid w:val="00A960C1"/>
    <w:rsid w:val="00A962FC"/>
    <w:rsid w:val="00A96536"/>
    <w:rsid w:val="00A96A66"/>
    <w:rsid w:val="00A96F94"/>
    <w:rsid w:val="00A96F9C"/>
    <w:rsid w:val="00A97369"/>
    <w:rsid w:val="00A976ED"/>
    <w:rsid w:val="00A977E6"/>
    <w:rsid w:val="00AA015D"/>
    <w:rsid w:val="00AA0179"/>
    <w:rsid w:val="00AA02A2"/>
    <w:rsid w:val="00AA056E"/>
    <w:rsid w:val="00AA0FAA"/>
    <w:rsid w:val="00AA1531"/>
    <w:rsid w:val="00AA22F3"/>
    <w:rsid w:val="00AA2392"/>
    <w:rsid w:val="00AA2A26"/>
    <w:rsid w:val="00AA2C29"/>
    <w:rsid w:val="00AA31E2"/>
    <w:rsid w:val="00AA32B3"/>
    <w:rsid w:val="00AA3B94"/>
    <w:rsid w:val="00AA45C6"/>
    <w:rsid w:val="00AA46FD"/>
    <w:rsid w:val="00AA4A1D"/>
    <w:rsid w:val="00AA52F1"/>
    <w:rsid w:val="00AA55B1"/>
    <w:rsid w:val="00AA6458"/>
    <w:rsid w:val="00AA64A9"/>
    <w:rsid w:val="00AA6AEB"/>
    <w:rsid w:val="00AA6D46"/>
    <w:rsid w:val="00AA7BEF"/>
    <w:rsid w:val="00AA7CA2"/>
    <w:rsid w:val="00AA7FA4"/>
    <w:rsid w:val="00AB0B7E"/>
    <w:rsid w:val="00AB10AC"/>
    <w:rsid w:val="00AB1283"/>
    <w:rsid w:val="00AB1A73"/>
    <w:rsid w:val="00AB218C"/>
    <w:rsid w:val="00AB2491"/>
    <w:rsid w:val="00AB2498"/>
    <w:rsid w:val="00AB2BF2"/>
    <w:rsid w:val="00AB3070"/>
    <w:rsid w:val="00AB4931"/>
    <w:rsid w:val="00AB4AED"/>
    <w:rsid w:val="00AB4BF0"/>
    <w:rsid w:val="00AB5583"/>
    <w:rsid w:val="00AB57AE"/>
    <w:rsid w:val="00AB5CB8"/>
    <w:rsid w:val="00AB5FC6"/>
    <w:rsid w:val="00AB604A"/>
    <w:rsid w:val="00AB6B72"/>
    <w:rsid w:val="00AB6EFC"/>
    <w:rsid w:val="00AB79C3"/>
    <w:rsid w:val="00AB7B33"/>
    <w:rsid w:val="00AB7E67"/>
    <w:rsid w:val="00AC0E30"/>
    <w:rsid w:val="00AC2466"/>
    <w:rsid w:val="00AC265F"/>
    <w:rsid w:val="00AC27AB"/>
    <w:rsid w:val="00AC2CF0"/>
    <w:rsid w:val="00AC4043"/>
    <w:rsid w:val="00AC49B1"/>
    <w:rsid w:val="00AC4E72"/>
    <w:rsid w:val="00AC51B0"/>
    <w:rsid w:val="00AC5522"/>
    <w:rsid w:val="00AC582C"/>
    <w:rsid w:val="00AC588A"/>
    <w:rsid w:val="00AC5964"/>
    <w:rsid w:val="00AC59A7"/>
    <w:rsid w:val="00AC6167"/>
    <w:rsid w:val="00AC6A34"/>
    <w:rsid w:val="00AC6E25"/>
    <w:rsid w:val="00AD215E"/>
    <w:rsid w:val="00AD2E14"/>
    <w:rsid w:val="00AD31DE"/>
    <w:rsid w:val="00AD3A3B"/>
    <w:rsid w:val="00AD3CE9"/>
    <w:rsid w:val="00AD41E3"/>
    <w:rsid w:val="00AD42D7"/>
    <w:rsid w:val="00AD4576"/>
    <w:rsid w:val="00AD459C"/>
    <w:rsid w:val="00AD4F9C"/>
    <w:rsid w:val="00AD503C"/>
    <w:rsid w:val="00AD53B7"/>
    <w:rsid w:val="00AD550F"/>
    <w:rsid w:val="00AD5AF2"/>
    <w:rsid w:val="00AD5FC2"/>
    <w:rsid w:val="00AD61D3"/>
    <w:rsid w:val="00AD66A4"/>
    <w:rsid w:val="00AD70AD"/>
    <w:rsid w:val="00AD7483"/>
    <w:rsid w:val="00AD7812"/>
    <w:rsid w:val="00AD7FE0"/>
    <w:rsid w:val="00AE078E"/>
    <w:rsid w:val="00AE0DDD"/>
    <w:rsid w:val="00AE1010"/>
    <w:rsid w:val="00AE1162"/>
    <w:rsid w:val="00AE16CE"/>
    <w:rsid w:val="00AE1E1A"/>
    <w:rsid w:val="00AE214B"/>
    <w:rsid w:val="00AE2249"/>
    <w:rsid w:val="00AE2573"/>
    <w:rsid w:val="00AE281C"/>
    <w:rsid w:val="00AE2F70"/>
    <w:rsid w:val="00AE402D"/>
    <w:rsid w:val="00AE44C8"/>
    <w:rsid w:val="00AE4D83"/>
    <w:rsid w:val="00AE5595"/>
    <w:rsid w:val="00AE55B8"/>
    <w:rsid w:val="00AE57B8"/>
    <w:rsid w:val="00AE76EB"/>
    <w:rsid w:val="00AF0056"/>
    <w:rsid w:val="00AF00AC"/>
    <w:rsid w:val="00AF0AB4"/>
    <w:rsid w:val="00AF12C9"/>
    <w:rsid w:val="00AF157E"/>
    <w:rsid w:val="00AF16E1"/>
    <w:rsid w:val="00AF27D6"/>
    <w:rsid w:val="00AF2E2E"/>
    <w:rsid w:val="00AF2E3A"/>
    <w:rsid w:val="00AF30BA"/>
    <w:rsid w:val="00AF3172"/>
    <w:rsid w:val="00AF3DE7"/>
    <w:rsid w:val="00AF499D"/>
    <w:rsid w:val="00AF51DE"/>
    <w:rsid w:val="00AF55DD"/>
    <w:rsid w:val="00AF56D1"/>
    <w:rsid w:val="00AF5B14"/>
    <w:rsid w:val="00AF5CC3"/>
    <w:rsid w:val="00AF7A42"/>
    <w:rsid w:val="00AF7D16"/>
    <w:rsid w:val="00AF7D96"/>
    <w:rsid w:val="00AF7EA1"/>
    <w:rsid w:val="00AF7F1B"/>
    <w:rsid w:val="00B0011F"/>
    <w:rsid w:val="00B0063E"/>
    <w:rsid w:val="00B00B10"/>
    <w:rsid w:val="00B00F2C"/>
    <w:rsid w:val="00B01DA9"/>
    <w:rsid w:val="00B0261F"/>
    <w:rsid w:val="00B03472"/>
    <w:rsid w:val="00B03735"/>
    <w:rsid w:val="00B04E89"/>
    <w:rsid w:val="00B04F1E"/>
    <w:rsid w:val="00B05119"/>
    <w:rsid w:val="00B051DC"/>
    <w:rsid w:val="00B06168"/>
    <w:rsid w:val="00B064D0"/>
    <w:rsid w:val="00B0686C"/>
    <w:rsid w:val="00B06C93"/>
    <w:rsid w:val="00B06D5F"/>
    <w:rsid w:val="00B0721A"/>
    <w:rsid w:val="00B074A5"/>
    <w:rsid w:val="00B07811"/>
    <w:rsid w:val="00B104D5"/>
    <w:rsid w:val="00B10610"/>
    <w:rsid w:val="00B109A9"/>
    <w:rsid w:val="00B10D03"/>
    <w:rsid w:val="00B10F73"/>
    <w:rsid w:val="00B1149F"/>
    <w:rsid w:val="00B1154A"/>
    <w:rsid w:val="00B12367"/>
    <w:rsid w:val="00B1280C"/>
    <w:rsid w:val="00B128A0"/>
    <w:rsid w:val="00B12D10"/>
    <w:rsid w:val="00B12E2F"/>
    <w:rsid w:val="00B13067"/>
    <w:rsid w:val="00B138CD"/>
    <w:rsid w:val="00B13C38"/>
    <w:rsid w:val="00B13CF0"/>
    <w:rsid w:val="00B140E1"/>
    <w:rsid w:val="00B14431"/>
    <w:rsid w:val="00B16BB9"/>
    <w:rsid w:val="00B17EF4"/>
    <w:rsid w:val="00B207E5"/>
    <w:rsid w:val="00B20FD8"/>
    <w:rsid w:val="00B22697"/>
    <w:rsid w:val="00B22EDF"/>
    <w:rsid w:val="00B235CF"/>
    <w:rsid w:val="00B235D4"/>
    <w:rsid w:val="00B23BDB"/>
    <w:rsid w:val="00B23F05"/>
    <w:rsid w:val="00B240A6"/>
    <w:rsid w:val="00B24235"/>
    <w:rsid w:val="00B246D2"/>
    <w:rsid w:val="00B24816"/>
    <w:rsid w:val="00B24BF3"/>
    <w:rsid w:val="00B25695"/>
    <w:rsid w:val="00B2581A"/>
    <w:rsid w:val="00B2581B"/>
    <w:rsid w:val="00B25D0D"/>
    <w:rsid w:val="00B25E2A"/>
    <w:rsid w:val="00B260C2"/>
    <w:rsid w:val="00B26683"/>
    <w:rsid w:val="00B26868"/>
    <w:rsid w:val="00B26B4A"/>
    <w:rsid w:val="00B277E0"/>
    <w:rsid w:val="00B30514"/>
    <w:rsid w:val="00B30E88"/>
    <w:rsid w:val="00B31099"/>
    <w:rsid w:val="00B3111D"/>
    <w:rsid w:val="00B31BD6"/>
    <w:rsid w:val="00B31D2F"/>
    <w:rsid w:val="00B31FCB"/>
    <w:rsid w:val="00B323E1"/>
    <w:rsid w:val="00B326BC"/>
    <w:rsid w:val="00B34311"/>
    <w:rsid w:val="00B3492C"/>
    <w:rsid w:val="00B34D5C"/>
    <w:rsid w:val="00B35207"/>
    <w:rsid w:val="00B35395"/>
    <w:rsid w:val="00B358E5"/>
    <w:rsid w:val="00B36D72"/>
    <w:rsid w:val="00B37088"/>
    <w:rsid w:val="00B40392"/>
    <w:rsid w:val="00B40AE4"/>
    <w:rsid w:val="00B41335"/>
    <w:rsid w:val="00B41FB2"/>
    <w:rsid w:val="00B42290"/>
    <w:rsid w:val="00B4248B"/>
    <w:rsid w:val="00B42A77"/>
    <w:rsid w:val="00B42BB7"/>
    <w:rsid w:val="00B43012"/>
    <w:rsid w:val="00B44BF7"/>
    <w:rsid w:val="00B452A6"/>
    <w:rsid w:val="00B45695"/>
    <w:rsid w:val="00B45EB1"/>
    <w:rsid w:val="00B45F1E"/>
    <w:rsid w:val="00B46173"/>
    <w:rsid w:val="00B468E4"/>
    <w:rsid w:val="00B46FAC"/>
    <w:rsid w:val="00B474D4"/>
    <w:rsid w:val="00B474F4"/>
    <w:rsid w:val="00B50947"/>
    <w:rsid w:val="00B50ECD"/>
    <w:rsid w:val="00B51A44"/>
    <w:rsid w:val="00B5211C"/>
    <w:rsid w:val="00B52640"/>
    <w:rsid w:val="00B52701"/>
    <w:rsid w:val="00B529A6"/>
    <w:rsid w:val="00B52E2D"/>
    <w:rsid w:val="00B539B2"/>
    <w:rsid w:val="00B53CBF"/>
    <w:rsid w:val="00B53E2D"/>
    <w:rsid w:val="00B54231"/>
    <w:rsid w:val="00B54974"/>
    <w:rsid w:val="00B54C20"/>
    <w:rsid w:val="00B54CD8"/>
    <w:rsid w:val="00B56ADC"/>
    <w:rsid w:val="00B5787A"/>
    <w:rsid w:val="00B60B61"/>
    <w:rsid w:val="00B6177A"/>
    <w:rsid w:val="00B61A48"/>
    <w:rsid w:val="00B61F88"/>
    <w:rsid w:val="00B62076"/>
    <w:rsid w:val="00B62F90"/>
    <w:rsid w:val="00B64526"/>
    <w:rsid w:val="00B64770"/>
    <w:rsid w:val="00B64B17"/>
    <w:rsid w:val="00B64CC3"/>
    <w:rsid w:val="00B653C9"/>
    <w:rsid w:val="00B656CB"/>
    <w:rsid w:val="00B65B86"/>
    <w:rsid w:val="00B65C02"/>
    <w:rsid w:val="00B66463"/>
    <w:rsid w:val="00B6688E"/>
    <w:rsid w:val="00B66A5C"/>
    <w:rsid w:val="00B672C7"/>
    <w:rsid w:val="00B7014D"/>
    <w:rsid w:val="00B70484"/>
    <w:rsid w:val="00B70F8C"/>
    <w:rsid w:val="00B7118A"/>
    <w:rsid w:val="00B713F0"/>
    <w:rsid w:val="00B719E0"/>
    <w:rsid w:val="00B719EE"/>
    <w:rsid w:val="00B71CF7"/>
    <w:rsid w:val="00B72302"/>
    <w:rsid w:val="00B72938"/>
    <w:rsid w:val="00B72ED0"/>
    <w:rsid w:val="00B7340C"/>
    <w:rsid w:val="00B73E46"/>
    <w:rsid w:val="00B7403A"/>
    <w:rsid w:val="00B74975"/>
    <w:rsid w:val="00B74CE0"/>
    <w:rsid w:val="00B7516E"/>
    <w:rsid w:val="00B75196"/>
    <w:rsid w:val="00B7588A"/>
    <w:rsid w:val="00B75B50"/>
    <w:rsid w:val="00B76653"/>
    <w:rsid w:val="00B77278"/>
    <w:rsid w:val="00B77359"/>
    <w:rsid w:val="00B7773B"/>
    <w:rsid w:val="00B8122B"/>
    <w:rsid w:val="00B81244"/>
    <w:rsid w:val="00B8160B"/>
    <w:rsid w:val="00B81FB2"/>
    <w:rsid w:val="00B82155"/>
    <w:rsid w:val="00B8277D"/>
    <w:rsid w:val="00B84918"/>
    <w:rsid w:val="00B85871"/>
    <w:rsid w:val="00B85BA7"/>
    <w:rsid w:val="00B86027"/>
    <w:rsid w:val="00B8614A"/>
    <w:rsid w:val="00B86626"/>
    <w:rsid w:val="00B866A1"/>
    <w:rsid w:val="00B8698D"/>
    <w:rsid w:val="00B86C8E"/>
    <w:rsid w:val="00B86E18"/>
    <w:rsid w:val="00B87404"/>
    <w:rsid w:val="00B900C8"/>
    <w:rsid w:val="00B9075B"/>
    <w:rsid w:val="00B90DA9"/>
    <w:rsid w:val="00B91216"/>
    <w:rsid w:val="00B91222"/>
    <w:rsid w:val="00B91438"/>
    <w:rsid w:val="00B922B6"/>
    <w:rsid w:val="00B92554"/>
    <w:rsid w:val="00B927B3"/>
    <w:rsid w:val="00B92A14"/>
    <w:rsid w:val="00B92A3B"/>
    <w:rsid w:val="00B92BC5"/>
    <w:rsid w:val="00B93429"/>
    <w:rsid w:val="00B93A00"/>
    <w:rsid w:val="00B9414D"/>
    <w:rsid w:val="00B9422D"/>
    <w:rsid w:val="00B9479D"/>
    <w:rsid w:val="00B94D1E"/>
    <w:rsid w:val="00B94E93"/>
    <w:rsid w:val="00B94EE5"/>
    <w:rsid w:val="00B96589"/>
    <w:rsid w:val="00B965CC"/>
    <w:rsid w:val="00B967DD"/>
    <w:rsid w:val="00B96B9F"/>
    <w:rsid w:val="00B96F3C"/>
    <w:rsid w:val="00B96F40"/>
    <w:rsid w:val="00BA0906"/>
    <w:rsid w:val="00BA0F8A"/>
    <w:rsid w:val="00BA2030"/>
    <w:rsid w:val="00BA262D"/>
    <w:rsid w:val="00BA26C4"/>
    <w:rsid w:val="00BA2AF2"/>
    <w:rsid w:val="00BA41DF"/>
    <w:rsid w:val="00BA456C"/>
    <w:rsid w:val="00BA480C"/>
    <w:rsid w:val="00BA6B63"/>
    <w:rsid w:val="00BA6CC6"/>
    <w:rsid w:val="00BA7799"/>
    <w:rsid w:val="00BA7826"/>
    <w:rsid w:val="00BA7910"/>
    <w:rsid w:val="00BA79A9"/>
    <w:rsid w:val="00BB00E9"/>
    <w:rsid w:val="00BB026D"/>
    <w:rsid w:val="00BB0546"/>
    <w:rsid w:val="00BB0720"/>
    <w:rsid w:val="00BB07D5"/>
    <w:rsid w:val="00BB0DE8"/>
    <w:rsid w:val="00BB1A51"/>
    <w:rsid w:val="00BB1BAB"/>
    <w:rsid w:val="00BB1F80"/>
    <w:rsid w:val="00BB276F"/>
    <w:rsid w:val="00BB35EE"/>
    <w:rsid w:val="00BB40D7"/>
    <w:rsid w:val="00BB4F04"/>
    <w:rsid w:val="00BB51D7"/>
    <w:rsid w:val="00BB5E81"/>
    <w:rsid w:val="00BB61BC"/>
    <w:rsid w:val="00BB74FC"/>
    <w:rsid w:val="00BB76DE"/>
    <w:rsid w:val="00BB792C"/>
    <w:rsid w:val="00BC0147"/>
    <w:rsid w:val="00BC038C"/>
    <w:rsid w:val="00BC1531"/>
    <w:rsid w:val="00BC16F1"/>
    <w:rsid w:val="00BC2378"/>
    <w:rsid w:val="00BC2A01"/>
    <w:rsid w:val="00BC313B"/>
    <w:rsid w:val="00BC4197"/>
    <w:rsid w:val="00BC4ADE"/>
    <w:rsid w:val="00BC4F20"/>
    <w:rsid w:val="00BC4F9B"/>
    <w:rsid w:val="00BC5C49"/>
    <w:rsid w:val="00BC69EF"/>
    <w:rsid w:val="00BC7291"/>
    <w:rsid w:val="00BC79EB"/>
    <w:rsid w:val="00BD051F"/>
    <w:rsid w:val="00BD0DC4"/>
    <w:rsid w:val="00BD0E85"/>
    <w:rsid w:val="00BD10D1"/>
    <w:rsid w:val="00BD1370"/>
    <w:rsid w:val="00BD14E4"/>
    <w:rsid w:val="00BD28FD"/>
    <w:rsid w:val="00BD2B86"/>
    <w:rsid w:val="00BD33F7"/>
    <w:rsid w:val="00BD342E"/>
    <w:rsid w:val="00BD38E0"/>
    <w:rsid w:val="00BD3B2B"/>
    <w:rsid w:val="00BD44BF"/>
    <w:rsid w:val="00BD469A"/>
    <w:rsid w:val="00BD4D32"/>
    <w:rsid w:val="00BD53A8"/>
    <w:rsid w:val="00BD5A79"/>
    <w:rsid w:val="00BD5AA3"/>
    <w:rsid w:val="00BD68CB"/>
    <w:rsid w:val="00BD78E6"/>
    <w:rsid w:val="00BE0BB3"/>
    <w:rsid w:val="00BE0CA4"/>
    <w:rsid w:val="00BE0E5F"/>
    <w:rsid w:val="00BE18DA"/>
    <w:rsid w:val="00BE1D8B"/>
    <w:rsid w:val="00BE2007"/>
    <w:rsid w:val="00BE2A12"/>
    <w:rsid w:val="00BE2B90"/>
    <w:rsid w:val="00BE2BC6"/>
    <w:rsid w:val="00BE364D"/>
    <w:rsid w:val="00BE36C1"/>
    <w:rsid w:val="00BE3E83"/>
    <w:rsid w:val="00BE53F0"/>
    <w:rsid w:val="00BE6D63"/>
    <w:rsid w:val="00BE6ED5"/>
    <w:rsid w:val="00BE7106"/>
    <w:rsid w:val="00BE75AC"/>
    <w:rsid w:val="00BE775B"/>
    <w:rsid w:val="00BF0807"/>
    <w:rsid w:val="00BF0D80"/>
    <w:rsid w:val="00BF18AA"/>
    <w:rsid w:val="00BF1D6B"/>
    <w:rsid w:val="00BF1EDE"/>
    <w:rsid w:val="00BF3A3F"/>
    <w:rsid w:val="00BF3CDC"/>
    <w:rsid w:val="00BF3E64"/>
    <w:rsid w:val="00BF46D5"/>
    <w:rsid w:val="00BF48D9"/>
    <w:rsid w:val="00BF4916"/>
    <w:rsid w:val="00BF4BF1"/>
    <w:rsid w:val="00BF5D90"/>
    <w:rsid w:val="00BF6E80"/>
    <w:rsid w:val="00C0166F"/>
    <w:rsid w:val="00C01679"/>
    <w:rsid w:val="00C01A36"/>
    <w:rsid w:val="00C01DE0"/>
    <w:rsid w:val="00C01E8E"/>
    <w:rsid w:val="00C02604"/>
    <w:rsid w:val="00C029F9"/>
    <w:rsid w:val="00C02E0B"/>
    <w:rsid w:val="00C02F54"/>
    <w:rsid w:val="00C03448"/>
    <w:rsid w:val="00C03EC5"/>
    <w:rsid w:val="00C04171"/>
    <w:rsid w:val="00C04507"/>
    <w:rsid w:val="00C046E3"/>
    <w:rsid w:val="00C04B29"/>
    <w:rsid w:val="00C04BE9"/>
    <w:rsid w:val="00C053F2"/>
    <w:rsid w:val="00C05A2A"/>
    <w:rsid w:val="00C05EE2"/>
    <w:rsid w:val="00C062FF"/>
    <w:rsid w:val="00C06325"/>
    <w:rsid w:val="00C06A17"/>
    <w:rsid w:val="00C06E35"/>
    <w:rsid w:val="00C076F2"/>
    <w:rsid w:val="00C078F4"/>
    <w:rsid w:val="00C07A5B"/>
    <w:rsid w:val="00C07BB8"/>
    <w:rsid w:val="00C10858"/>
    <w:rsid w:val="00C108AD"/>
    <w:rsid w:val="00C10B4E"/>
    <w:rsid w:val="00C1130D"/>
    <w:rsid w:val="00C1218D"/>
    <w:rsid w:val="00C1294F"/>
    <w:rsid w:val="00C13085"/>
    <w:rsid w:val="00C13951"/>
    <w:rsid w:val="00C1439D"/>
    <w:rsid w:val="00C148CC"/>
    <w:rsid w:val="00C14B46"/>
    <w:rsid w:val="00C14C9A"/>
    <w:rsid w:val="00C15E94"/>
    <w:rsid w:val="00C16386"/>
    <w:rsid w:val="00C16A20"/>
    <w:rsid w:val="00C172A5"/>
    <w:rsid w:val="00C17B78"/>
    <w:rsid w:val="00C2002F"/>
    <w:rsid w:val="00C204E5"/>
    <w:rsid w:val="00C20794"/>
    <w:rsid w:val="00C20A65"/>
    <w:rsid w:val="00C2130D"/>
    <w:rsid w:val="00C21315"/>
    <w:rsid w:val="00C220C8"/>
    <w:rsid w:val="00C221CE"/>
    <w:rsid w:val="00C22214"/>
    <w:rsid w:val="00C2224C"/>
    <w:rsid w:val="00C23410"/>
    <w:rsid w:val="00C23601"/>
    <w:rsid w:val="00C236BA"/>
    <w:rsid w:val="00C23B52"/>
    <w:rsid w:val="00C23EDC"/>
    <w:rsid w:val="00C247EB"/>
    <w:rsid w:val="00C2529C"/>
    <w:rsid w:val="00C2556D"/>
    <w:rsid w:val="00C25B45"/>
    <w:rsid w:val="00C25B59"/>
    <w:rsid w:val="00C25BDA"/>
    <w:rsid w:val="00C266B7"/>
    <w:rsid w:val="00C26A60"/>
    <w:rsid w:val="00C27C28"/>
    <w:rsid w:val="00C303DE"/>
    <w:rsid w:val="00C30CE1"/>
    <w:rsid w:val="00C3141F"/>
    <w:rsid w:val="00C31EC4"/>
    <w:rsid w:val="00C31ED9"/>
    <w:rsid w:val="00C32400"/>
    <w:rsid w:val="00C3295C"/>
    <w:rsid w:val="00C32CE0"/>
    <w:rsid w:val="00C33064"/>
    <w:rsid w:val="00C33466"/>
    <w:rsid w:val="00C34224"/>
    <w:rsid w:val="00C34698"/>
    <w:rsid w:val="00C34B93"/>
    <w:rsid w:val="00C34CBA"/>
    <w:rsid w:val="00C34FB7"/>
    <w:rsid w:val="00C35094"/>
    <w:rsid w:val="00C35A54"/>
    <w:rsid w:val="00C35A56"/>
    <w:rsid w:val="00C367B8"/>
    <w:rsid w:val="00C376CF"/>
    <w:rsid w:val="00C379F4"/>
    <w:rsid w:val="00C40091"/>
    <w:rsid w:val="00C40230"/>
    <w:rsid w:val="00C40383"/>
    <w:rsid w:val="00C40492"/>
    <w:rsid w:val="00C40685"/>
    <w:rsid w:val="00C40796"/>
    <w:rsid w:val="00C41039"/>
    <w:rsid w:val="00C410AB"/>
    <w:rsid w:val="00C413FC"/>
    <w:rsid w:val="00C4151C"/>
    <w:rsid w:val="00C4219C"/>
    <w:rsid w:val="00C428D3"/>
    <w:rsid w:val="00C43171"/>
    <w:rsid w:val="00C442EC"/>
    <w:rsid w:val="00C44407"/>
    <w:rsid w:val="00C444E2"/>
    <w:rsid w:val="00C4482C"/>
    <w:rsid w:val="00C45AB5"/>
    <w:rsid w:val="00C45B45"/>
    <w:rsid w:val="00C46728"/>
    <w:rsid w:val="00C46B70"/>
    <w:rsid w:val="00C46F2D"/>
    <w:rsid w:val="00C47034"/>
    <w:rsid w:val="00C47A0A"/>
    <w:rsid w:val="00C47A0E"/>
    <w:rsid w:val="00C512E1"/>
    <w:rsid w:val="00C514E1"/>
    <w:rsid w:val="00C515FC"/>
    <w:rsid w:val="00C5204F"/>
    <w:rsid w:val="00C5209F"/>
    <w:rsid w:val="00C525F3"/>
    <w:rsid w:val="00C52624"/>
    <w:rsid w:val="00C52FC4"/>
    <w:rsid w:val="00C53103"/>
    <w:rsid w:val="00C5343C"/>
    <w:rsid w:val="00C53971"/>
    <w:rsid w:val="00C53B7A"/>
    <w:rsid w:val="00C53C2A"/>
    <w:rsid w:val="00C541C6"/>
    <w:rsid w:val="00C542A9"/>
    <w:rsid w:val="00C54B13"/>
    <w:rsid w:val="00C54C4B"/>
    <w:rsid w:val="00C54FB1"/>
    <w:rsid w:val="00C557AC"/>
    <w:rsid w:val="00C55B2E"/>
    <w:rsid w:val="00C56785"/>
    <w:rsid w:val="00C56F53"/>
    <w:rsid w:val="00C57777"/>
    <w:rsid w:val="00C60005"/>
    <w:rsid w:val="00C600BE"/>
    <w:rsid w:val="00C6021C"/>
    <w:rsid w:val="00C606F9"/>
    <w:rsid w:val="00C60F6D"/>
    <w:rsid w:val="00C6286F"/>
    <w:rsid w:val="00C6329C"/>
    <w:rsid w:val="00C637A4"/>
    <w:rsid w:val="00C63ADE"/>
    <w:rsid w:val="00C63B80"/>
    <w:rsid w:val="00C64124"/>
    <w:rsid w:val="00C645FC"/>
    <w:rsid w:val="00C64BB2"/>
    <w:rsid w:val="00C64E8E"/>
    <w:rsid w:val="00C656B5"/>
    <w:rsid w:val="00C65D1D"/>
    <w:rsid w:val="00C66045"/>
    <w:rsid w:val="00C661A0"/>
    <w:rsid w:val="00C667AF"/>
    <w:rsid w:val="00C67994"/>
    <w:rsid w:val="00C70221"/>
    <w:rsid w:val="00C713BF"/>
    <w:rsid w:val="00C71DB5"/>
    <w:rsid w:val="00C72302"/>
    <w:rsid w:val="00C72413"/>
    <w:rsid w:val="00C725F5"/>
    <w:rsid w:val="00C7471F"/>
    <w:rsid w:val="00C74A42"/>
    <w:rsid w:val="00C7517B"/>
    <w:rsid w:val="00C7518E"/>
    <w:rsid w:val="00C751C9"/>
    <w:rsid w:val="00C7524E"/>
    <w:rsid w:val="00C761D2"/>
    <w:rsid w:val="00C76689"/>
    <w:rsid w:val="00C767E8"/>
    <w:rsid w:val="00C76D01"/>
    <w:rsid w:val="00C76E24"/>
    <w:rsid w:val="00C77202"/>
    <w:rsid w:val="00C77DAC"/>
    <w:rsid w:val="00C80A5F"/>
    <w:rsid w:val="00C80F9F"/>
    <w:rsid w:val="00C81180"/>
    <w:rsid w:val="00C81A7A"/>
    <w:rsid w:val="00C82601"/>
    <w:rsid w:val="00C82B18"/>
    <w:rsid w:val="00C836D5"/>
    <w:rsid w:val="00C837DB"/>
    <w:rsid w:val="00C84754"/>
    <w:rsid w:val="00C86195"/>
    <w:rsid w:val="00C8661A"/>
    <w:rsid w:val="00C86707"/>
    <w:rsid w:val="00C86FF0"/>
    <w:rsid w:val="00C87449"/>
    <w:rsid w:val="00C87FAA"/>
    <w:rsid w:val="00C90439"/>
    <w:rsid w:val="00C909B6"/>
    <w:rsid w:val="00C90DD1"/>
    <w:rsid w:val="00C90F62"/>
    <w:rsid w:val="00C9120F"/>
    <w:rsid w:val="00C916DD"/>
    <w:rsid w:val="00C91911"/>
    <w:rsid w:val="00C92A87"/>
    <w:rsid w:val="00C9359D"/>
    <w:rsid w:val="00C95301"/>
    <w:rsid w:val="00C95A3C"/>
    <w:rsid w:val="00C95B1C"/>
    <w:rsid w:val="00C95D20"/>
    <w:rsid w:val="00C95EF0"/>
    <w:rsid w:val="00C96590"/>
    <w:rsid w:val="00C969FC"/>
    <w:rsid w:val="00C96F93"/>
    <w:rsid w:val="00C972B4"/>
    <w:rsid w:val="00C97409"/>
    <w:rsid w:val="00C97787"/>
    <w:rsid w:val="00C9786D"/>
    <w:rsid w:val="00CA08D3"/>
    <w:rsid w:val="00CA0AE2"/>
    <w:rsid w:val="00CA0D78"/>
    <w:rsid w:val="00CA15F2"/>
    <w:rsid w:val="00CA20CE"/>
    <w:rsid w:val="00CA289B"/>
    <w:rsid w:val="00CA2B51"/>
    <w:rsid w:val="00CA3890"/>
    <w:rsid w:val="00CA3CDF"/>
    <w:rsid w:val="00CA40FC"/>
    <w:rsid w:val="00CA4434"/>
    <w:rsid w:val="00CA4841"/>
    <w:rsid w:val="00CA532B"/>
    <w:rsid w:val="00CA5366"/>
    <w:rsid w:val="00CA5D38"/>
    <w:rsid w:val="00CA63BC"/>
    <w:rsid w:val="00CA6571"/>
    <w:rsid w:val="00CA7B9C"/>
    <w:rsid w:val="00CB0744"/>
    <w:rsid w:val="00CB0C81"/>
    <w:rsid w:val="00CB19D2"/>
    <w:rsid w:val="00CB1E3D"/>
    <w:rsid w:val="00CB2497"/>
    <w:rsid w:val="00CB2570"/>
    <w:rsid w:val="00CB27A8"/>
    <w:rsid w:val="00CB2B88"/>
    <w:rsid w:val="00CB3FBB"/>
    <w:rsid w:val="00CB4B4C"/>
    <w:rsid w:val="00CB4C61"/>
    <w:rsid w:val="00CB4EF3"/>
    <w:rsid w:val="00CB4F0D"/>
    <w:rsid w:val="00CB5C0D"/>
    <w:rsid w:val="00CB5DA4"/>
    <w:rsid w:val="00CB694E"/>
    <w:rsid w:val="00CB6CBD"/>
    <w:rsid w:val="00CB78E1"/>
    <w:rsid w:val="00CB7A5C"/>
    <w:rsid w:val="00CB7F5B"/>
    <w:rsid w:val="00CC02E4"/>
    <w:rsid w:val="00CC03EA"/>
    <w:rsid w:val="00CC0D2B"/>
    <w:rsid w:val="00CC0D74"/>
    <w:rsid w:val="00CC195C"/>
    <w:rsid w:val="00CC1A85"/>
    <w:rsid w:val="00CC1E8C"/>
    <w:rsid w:val="00CC2049"/>
    <w:rsid w:val="00CC2286"/>
    <w:rsid w:val="00CC2654"/>
    <w:rsid w:val="00CC5324"/>
    <w:rsid w:val="00CC5410"/>
    <w:rsid w:val="00CC5E39"/>
    <w:rsid w:val="00CC6657"/>
    <w:rsid w:val="00CC69A9"/>
    <w:rsid w:val="00CC6C01"/>
    <w:rsid w:val="00CC70CC"/>
    <w:rsid w:val="00CC728C"/>
    <w:rsid w:val="00CC7717"/>
    <w:rsid w:val="00CC7D03"/>
    <w:rsid w:val="00CD1040"/>
    <w:rsid w:val="00CD1CD4"/>
    <w:rsid w:val="00CD206F"/>
    <w:rsid w:val="00CD291B"/>
    <w:rsid w:val="00CD30C5"/>
    <w:rsid w:val="00CD332F"/>
    <w:rsid w:val="00CD3810"/>
    <w:rsid w:val="00CD4291"/>
    <w:rsid w:val="00CD4510"/>
    <w:rsid w:val="00CD465F"/>
    <w:rsid w:val="00CD79FC"/>
    <w:rsid w:val="00CD7EA9"/>
    <w:rsid w:val="00CD7F80"/>
    <w:rsid w:val="00CE010B"/>
    <w:rsid w:val="00CE013B"/>
    <w:rsid w:val="00CE086B"/>
    <w:rsid w:val="00CE1074"/>
    <w:rsid w:val="00CE15EE"/>
    <w:rsid w:val="00CE169E"/>
    <w:rsid w:val="00CE196C"/>
    <w:rsid w:val="00CE1C25"/>
    <w:rsid w:val="00CE2365"/>
    <w:rsid w:val="00CE25DF"/>
    <w:rsid w:val="00CE2A94"/>
    <w:rsid w:val="00CE3268"/>
    <w:rsid w:val="00CE3A76"/>
    <w:rsid w:val="00CE3E83"/>
    <w:rsid w:val="00CE411F"/>
    <w:rsid w:val="00CE47D2"/>
    <w:rsid w:val="00CE5269"/>
    <w:rsid w:val="00CE6005"/>
    <w:rsid w:val="00CE668C"/>
    <w:rsid w:val="00CE689A"/>
    <w:rsid w:val="00CE7133"/>
    <w:rsid w:val="00CE7182"/>
    <w:rsid w:val="00CE786D"/>
    <w:rsid w:val="00CE7EA4"/>
    <w:rsid w:val="00CF008F"/>
    <w:rsid w:val="00CF0BCA"/>
    <w:rsid w:val="00CF0D34"/>
    <w:rsid w:val="00CF0D35"/>
    <w:rsid w:val="00CF14A5"/>
    <w:rsid w:val="00CF1D06"/>
    <w:rsid w:val="00CF27D9"/>
    <w:rsid w:val="00CF29C8"/>
    <w:rsid w:val="00CF2C1B"/>
    <w:rsid w:val="00CF34FC"/>
    <w:rsid w:val="00CF3CF0"/>
    <w:rsid w:val="00CF3DE8"/>
    <w:rsid w:val="00CF6C50"/>
    <w:rsid w:val="00CF7352"/>
    <w:rsid w:val="00CF74FC"/>
    <w:rsid w:val="00CF755F"/>
    <w:rsid w:val="00CF76E3"/>
    <w:rsid w:val="00CF7D02"/>
    <w:rsid w:val="00D00541"/>
    <w:rsid w:val="00D00856"/>
    <w:rsid w:val="00D00A3B"/>
    <w:rsid w:val="00D01E34"/>
    <w:rsid w:val="00D02026"/>
    <w:rsid w:val="00D02458"/>
    <w:rsid w:val="00D024E7"/>
    <w:rsid w:val="00D02751"/>
    <w:rsid w:val="00D02B9F"/>
    <w:rsid w:val="00D0321B"/>
    <w:rsid w:val="00D033E3"/>
    <w:rsid w:val="00D039B0"/>
    <w:rsid w:val="00D040E9"/>
    <w:rsid w:val="00D04337"/>
    <w:rsid w:val="00D04961"/>
    <w:rsid w:val="00D04BE1"/>
    <w:rsid w:val="00D05625"/>
    <w:rsid w:val="00D06CDB"/>
    <w:rsid w:val="00D0702E"/>
    <w:rsid w:val="00D07BAC"/>
    <w:rsid w:val="00D101AD"/>
    <w:rsid w:val="00D10549"/>
    <w:rsid w:val="00D10A16"/>
    <w:rsid w:val="00D10EE5"/>
    <w:rsid w:val="00D10F84"/>
    <w:rsid w:val="00D11A78"/>
    <w:rsid w:val="00D11EA8"/>
    <w:rsid w:val="00D12F92"/>
    <w:rsid w:val="00D1345F"/>
    <w:rsid w:val="00D13C85"/>
    <w:rsid w:val="00D13CC1"/>
    <w:rsid w:val="00D143F9"/>
    <w:rsid w:val="00D14747"/>
    <w:rsid w:val="00D14ACD"/>
    <w:rsid w:val="00D15286"/>
    <w:rsid w:val="00D16BA2"/>
    <w:rsid w:val="00D179AF"/>
    <w:rsid w:val="00D20582"/>
    <w:rsid w:val="00D21CDA"/>
    <w:rsid w:val="00D22937"/>
    <w:rsid w:val="00D229F5"/>
    <w:rsid w:val="00D22B2A"/>
    <w:rsid w:val="00D24131"/>
    <w:rsid w:val="00D2422F"/>
    <w:rsid w:val="00D24DDB"/>
    <w:rsid w:val="00D25670"/>
    <w:rsid w:val="00D25C25"/>
    <w:rsid w:val="00D27073"/>
    <w:rsid w:val="00D27AE0"/>
    <w:rsid w:val="00D27DD6"/>
    <w:rsid w:val="00D27F76"/>
    <w:rsid w:val="00D309F6"/>
    <w:rsid w:val="00D30CD7"/>
    <w:rsid w:val="00D315BA"/>
    <w:rsid w:val="00D31BB3"/>
    <w:rsid w:val="00D32205"/>
    <w:rsid w:val="00D3220E"/>
    <w:rsid w:val="00D32DFA"/>
    <w:rsid w:val="00D3312E"/>
    <w:rsid w:val="00D3364E"/>
    <w:rsid w:val="00D34820"/>
    <w:rsid w:val="00D34DFE"/>
    <w:rsid w:val="00D3536A"/>
    <w:rsid w:val="00D35380"/>
    <w:rsid w:val="00D353E1"/>
    <w:rsid w:val="00D360AD"/>
    <w:rsid w:val="00D366F9"/>
    <w:rsid w:val="00D36D90"/>
    <w:rsid w:val="00D372AF"/>
    <w:rsid w:val="00D373E1"/>
    <w:rsid w:val="00D3750B"/>
    <w:rsid w:val="00D3796A"/>
    <w:rsid w:val="00D37EFA"/>
    <w:rsid w:val="00D4025B"/>
    <w:rsid w:val="00D408E2"/>
    <w:rsid w:val="00D409DF"/>
    <w:rsid w:val="00D41C55"/>
    <w:rsid w:val="00D4228E"/>
    <w:rsid w:val="00D42376"/>
    <w:rsid w:val="00D42F53"/>
    <w:rsid w:val="00D445D8"/>
    <w:rsid w:val="00D447E5"/>
    <w:rsid w:val="00D44D32"/>
    <w:rsid w:val="00D4638C"/>
    <w:rsid w:val="00D46B44"/>
    <w:rsid w:val="00D46DE7"/>
    <w:rsid w:val="00D475F5"/>
    <w:rsid w:val="00D479A2"/>
    <w:rsid w:val="00D47DB7"/>
    <w:rsid w:val="00D50792"/>
    <w:rsid w:val="00D515AA"/>
    <w:rsid w:val="00D51744"/>
    <w:rsid w:val="00D51A0F"/>
    <w:rsid w:val="00D51C98"/>
    <w:rsid w:val="00D51D60"/>
    <w:rsid w:val="00D523F1"/>
    <w:rsid w:val="00D52A0B"/>
    <w:rsid w:val="00D52A36"/>
    <w:rsid w:val="00D53B52"/>
    <w:rsid w:val="00D53D2D"/>
    <w:rsid w:val="00D54154"/>
    <w:rsid w:val="00D545D0"/>
    <w:rsid w:val="00D548F8"/>
    <w:rsid w:val="00D54AB4"/>
    <w:rsid w:val="00D5588C"/>
    <w:rsid w:val="00D569DA"/>
    <w:rsid w:val="00D56CFF"/>
    <w:rsid w:val="00D60394"/>
    <w:rsid w:val="00D607F2"/>
    <w:rsid w:val="00D60A68"/>
    <w:rsid w:val="00D6168F"/>
    <w:rsid w:val="00D61815"/>
    <w:rsid w:val="00D6269F"/>
    <w:rsid w:val="00D62C64"/>
    <w:rsid w:val="00D63074"/>
    <w:rsid w:val="00D631E1"/>
    <w:rsid w:val="00D64A67"/>
    <w:rsid w:val="00D64F4D"/>
    <w:rsid w:val="00D64F86"/>
    <w:rsid w:val="00D652A5"/>
    <w:rsid w:val="00D65404"/>
    <w:rsid w:val="00D655B3"/>
    <w:rsid w:val="00D65C76"/>
    <w:rsid w:val="00D67200"/>
    <w:rsid w:val="00D6741E"/>
    <w:rsid w:val="00D701CD"/>
    <w:rsid w:val="00D701FC"/>
    <w:rsid w:val="00D70915"/>
    <w:rsid w:val="00D70EE3"/>
    <w:rsid w:val="00D70F7E"/>
    <w:rsid w:val="00D71428"/>
    <w:rsid w:val="00D716F7"/>
    <w:rsid w:val="00D72259"/>
    <w:rsid w:val="00D7315F"/>
    <w:rsid w:val="00D733D1"/>
    <w:rsid w:val="00D73590"/>
    <w:rsid w:val="00D73A99"/>
    <w:rsid w:val="00D73E35"/>
    <w:rsid w:val="00D74382"/>
    <w:rsid w:val="00D74606"/>
    <w:rsid w:val="00D74A4D"/>
    <w:rsid w:val="00D74C4D"/>
    <w:rsid w:val="00D75B0C"/>
    <w:rsid w:val="00D762B4"/>
    <w:rsid w:val="00D765E6"/>
    <w:rsid w:val="00D7693B"/>
    <w:rsid w:val="00D776A1"/>
    <w:rsid w:val="00D77B24"/>
    <w:rsid w:val="00D77E56"/>
    <w:rsid w:val="00D802B2"/>
    <w:rsid w:val="00D80831"/>
    <w:rsid w:val="00D813C1"/>
    <w:rsid w:val="00D81BD3"/>
    <w:rsid w:val="00D81C8A"/>
    <w:rsid w:val="00D81CEA"/>
    <w:rsid w:val="00D8205C"/>
    <w:rsid w:val="00D8249C"/>
    <w:rsid w:val="00D84350"/>
    <w:rsid w:val="00D84395"/>
    <w:rsid w:val="00D844EF"/>
    <w:rsid w:val="00D84965"/>
    <w:rsid w:val="00D84E26"/>
    <w:rsid w:val="00D84EA0"/>
    <w:rsid w:val="00D84F3E"/>
    <w:rsid w:val="00D851A7"/>
    <w:rsid w:val="00D855B3"/>
    <w:rsid w:val="00D85BB6"/>
    <w:rsid w:val="00D86671"/>
    <w:rsid w:val="00D871A8"/>
    <w:rsid w:val="00D87946"/>
    <w:rsid w:val="00D87BC0"/>
    <w:rsid w:val="00D90C30"/>
    <w:rsid w:val="00D91271"/>
    <w:rsid w:val="00D9240E"/>
    <w:rsid w:val="00D924A5"/>
    <w:rsid w:val="00D92A1A"/>
    <w:rsid w:val="00D92CA9"/>
    <w:rsid w:val="00D93059"/>
    <w:rsid w:val="00D932F6"/>
    <w:rsid w:val="00D93531"/>
    <w:rsid w:val="00D938FD"/>
    <w:rsid w:val="00D93CBE"/>
    <w:rsid w:val="00D95039"/>
    <w:rsid w:val="00D9596F"/>
    <w:rsid w:val="00D95B34"/>
    <w:rsid w:val="00D96AA7"/>
    <w:rsid w:val="00D96F87"/>
    <w:rsid w:val="00D97793"/>
    <w:rsid w:val="00DA0340"/>
    <w:rsid w:val="00DA0571"/>
    <w:rsid w:val="00DA063D"/>
    <w:rsid w:val="00DA0F0C"/>
    <w:rsid w:val="00DA1476"/>
    <w:rsid w:val="00DA15C4"/>
    <w:rsid w:val="00DA1849"/>
    <w:rsid w:val="00DA1864"/>
    <w:rsid w:val="00DA1C5A"/>
    <w:rsid w:val="00DA2169"/>
    <w:rsid w:val="00DA2B9C"/>
    <w:rsid w:val="00DA2EB4"/>
    <w:rsid w:val="00DA2F73"/>
    <w:rsid w:val="00DA3C1B"/>
    <w:rsid w:val="00DA42E8"/>
    <w:rsid w:val="00DA469D"/>
    <w:rsid w:val="00DA4A53"/>
    <w:rsid w:val="00DA5031"/>
    <w:rsid w:val="00DA5ADC"/>
    <w:rsid w:val="00DA5D46"/>
    <w:rsid w:val="00DA781A"/>
    <w:rsid w:val="00DA7BEB"/>
    <w:rsid w:val="00DB09DA"/>
    <w:rsid w:val="00DB0C19"/>
    <w:rsid w:val="00DB0DE2"/>
    <w:rsid w:val="00DB114A"/>
    <w:rsid w:val="00DB1392"/>
    <w:rsid w:val="00DB17B7"/>
    <w:rsid w:val="00DB17C5"/>
    <w:rsid w:val="00DB1D00"/>
    <w:rsid w:val="00DB1D26"/>
    <w:rsid w:val="00DB2C2B"/>
    <w:rsid w:val="00DB2CEA"/>
    <w:rsid w:val="00DB3458"/>
    <w:rsid w:val="00DB37A0"/>
    <w:rsid w:val="00DB3BD9"/>
    <w:rsid w:val="00DB4A10"/>
    <w:rsid w:val="00DB4CD9"/>
    <w:rsid w:val="00DB50EB"/>
    <w:rsid w:val="00DB54B1"/>
    <w:rsid w:val="00DB581C"/>
    <w:rsid w:val="00DB5848"/>
    <w:rsid w:val="00DB5A53"/>
    <w:rsid w:val="00DB6030"/>
    <w:rsid w:val="00DB660D"/>
    <w:rsid w:val="00DB6E42"/>
    <w:rsid w:val="00DB71BC"/>
    <w:rsid w:val="00DB72CC"/>
    <w:rsid w:val="00DB748D"/>
    <w:rsid w:val="00DB7801"/>
    <w:rsid w:val="00DC0019"/>
    <w:rsid w:val="00DC05B9"/>
    <w:rsid w:val="00DC08FA"/>
    <w:rsid w:val="00DC193F"/>
    <w:rsid w:val="00DC1A83"/>
    <w:rsid w:val="00DC1CE6"/>
    <w:rsid w:val="00DC21D9"/>
    <w:rsid w:val="00DC2321"/>
    <w:rsid w:val="00DC23F0"/>
    <w:rsid w:val="00DC2617"/>
    <w:rsid w:val="00DC2893"/>
    <w:rsid w:val="00DC2AEA"/>
    <w:rsid w:val="00DC36D5"/>
    <w:rsid w:val="00DC3990"/>
    <w:rsid w:val="00DC3C4F"/>
    <w:rsid w:val="00DC41CF"/>
    <w:rsid w:val="00DC41D9"/>
    <w:rsid w:val="00DC462F"/>
    <w:rsid w:val="00DC4DBE"/>
    <w:rsid w:val="00DC577F"/>
    <w:rsid w:val="00DC6583"/>
    <w:rsid w:val="00DC675F"/>
    <w:rsid w:val="00DC7486"/>
    <w:rsid w:val="00DC782F"/>
    <w:rsid w:val="00DC796E"/>
    <w:rsid w:val="00DC7AD1"/>
    <w:rsid w:val="00DD02F3"/>
    <w:rsid w:val="00DD0453"/>
    <w:rsid w:val="00DD071D"/>
    <w:rsid w:val="00DD156F"/>
    <w:rsid w:val="00DD1805"/>
    <w:rsid w:val="00DD1D64"/>
    <w:rsid w:val="00DD225D"/>
    <w:rsid w:val="00DD27B1"/>
    <w:rsid w:val="00DD2B4E"/>
    <w:rsid w:val="00DD37FF"/>
    <w:rsid w:val="00DD4C87"/>
    <w:rsid w:val="00DD577A"/>
    <w:rsid w:val="00DD5D07"/>
    <w:rsid w:val="00DD5EF3"/>
    <w:rsid w:val="00DD6016"/>
    <w:rsid w:val="00DD6D4E"/>
    <w:rsid w:val="00DD6FB8"/>
    <w:rsid w:val="00DD752D"/>
    <w:rsid w:val="00DD7BAA"/>
    <w:rsid w:val="00DD7DF4"/>
    <w:rsid w:val="00DE01BB"/>
    <w:rsid w:val="00DE074C"/>
    <w:rsid w:val="00DE1776"/>
    <w:rsid w:val="00DE1A27"/>
    <w:rsid w:val="00DE1E17"/>
    <w:rsid w:val="00DE2556"/>
    <w:rsid w:val="00DE2677"/>
    <w:rsid w:val="00DE27C4"/>
    <w:rsid w:val="00DE2F25"/>
    <w:rsid w:val="00DE2FC0"/>
    <w:rsid w:val="00DE346F"/>
    <w:rsid w:val="00DE3605"/>
    <w:rsid w:val="00DE3D9A"/>
    <w:rsid w:val="00DE5F24"/>
    <w:rsid w:val="00DE6AD5"/>
    <w:rsid w:val="00DE6FCC"/>
    <w:rsid w:val="00DE74E9"/>
    <w:rsid w:val="00DE7BBE"/>
    <w:rsid w:val="00DF09AD"/>
    <w:rsid w:val="00DF164A"/>
    <w:rsid w:val="00DF264B"/>
    <w:rsid w:val="00DF2AD6"/>
    <w:rsid w:val="00DF2FF6"/>
    <w:rsid w:val="00DF3654"/>
    <w:rsid w:val="00DF36CD"/>
    <w:rsid w:val="00DF376F"/>
    <w:rsid w:val="00DF4318"/>
    <w:rsid w:val="00DF4ABF"/>
    <w:rsid w:val="00DF53B7"/>
    <w:rsid w:val="00DF54AF"/>
    <w:rsid w:val="00DF597A"/>
    <w:rsid w:val="00DF5DA7"/>
    <w:rsid w:val="00DF5FA4"/>
    <w:rsid w:val="00DF6150"/>
    <w:rsid w:val="00DF632A"/>
    <w:rsid w:val="00DF63F3"/>
    <w:rsid w:val="00DF6731"/>
    <w:rsid w:val="00DF6971"/>
    <w:rsid w:val="00DF7111"/>
    <w:rsid w:val="00DF74D7"/>
    <w:rsid w:val="00DF767C"/>
    <w:rsid w:val="00DF7A5D"/>
    <w:rsid w:val="00E00015"/>
    <w:rsid w:val="00E000CC"/>
    <w:rsid w:val="00E00279"/>
    <w:rsid w:val="00E003E7"/>
    <w:rsid w:val="00E0047C"/>
    <w:rsid w:val="00E006C0"/>
    <w:rsid w:val="00E00C93"/>
    <w:rsid w:val="00E02B6B"/>
    <w:rsid w:val="00E045A5"/>
    <w:rsid w:val="00E0473E"/>
    <w:rsid w:val="00E04EE4"/>
    <w:rsid w:val="00E0525D"/>
    <w:rsid w:val="00E0568D"/>
    <w:rsid w:val="00E05ACF"/>
    <w:rsid w:val="00E0640C"/>
    <w:rsid w:val="00E06668"/>
    <w:rsid w:val="00E06709"/>
    <w:rsid w:val="00E06C35"/>
    <w:rsid w:val="00E07810"/>
    <w:rsid w:val="00E07FDF"/>
    <w:rsid w:val="00E107E9"/>
    <w:rsid w:val="00E11A74"/>
    <w:rsid w:val="00E127C5"/>
    <w:rsid w:val="00E133B3"/>
    <w:rsid w:val="00E139AF"/>
    <w:rsid w:val="00E13DCC"/>
    <w:rsid w:val="00E14C4C"/>
    <w:rsid w:val="00E14CA2"/>
    <w:rsid w:val="00E15676"/>
    <w:rsid w:val="00E169C5"/>
    <w:rsid w:val="00E173F3"/>
    <w:rsid w:val="00E17598"/>
    <w:rsid w:val="00E201C7"/>
    <w:rsid w:val="00E206EA"/>
    <w:rsid w:val="00E20759"/>
    <w:rsid w:val="00E20A1F"/>
    <w:rsid w:val="00E20CCC"/>
    <w:rsid w:val="00E212D3"/>
    <w:rsid w:val="00E21724"/>
    <w:rsid w:val="00E222E7"/>
    <w:rsid w:val="00E234D8"/>
    <w:rsid w:val="00E236A2"/>
    <w:rsid w:val="00E23C31"/>
    <w:rsid w:val="00E243E8"/>
    <w:rsid w:val="00E24FA3"/>
    <w:rsid w:val="00E25165"/>
    <w:rsid w:val="00E258C3"/>
    <w:rsid w:val="00E258D3"/>
    <w:rsid w:val="00E25E67"/>
    <w:rsid w:val="00E25EF1"/>
    <w:rsid w:val="00E2691F"/>
    <w:rsid w:val="00E26A92"/>
    <w:rsid w:val="00E279E1"/>
    <w:rsid w:val="00E27DB9"/>
    <w:rsid w:val="00E27F1D"/>
    <w:rsid w:val="00E301BB"/>
    <w:rsid w:val="00E3020A"/>
    <w:rsid w:val="00E30F1C"/>
    <w:rsid w:val="00E31F8C"/>
    <w:rsid w:val="00E3225E"/>
    <w:rsid w:val="00E322E6"/>
    <w:rsid w:val="00E323D1"/>
    <w:rsid w:val="00E325D6"/>
    <w:rsid w:val="00E326B1"/>
    <w:rsid w:val="00E32825"/>
    <w:rsid w:val="00E328CD"/>
    <w:rsid w:val="00E32ADC"/>
    <w:rsid w:val="00E32F57"/>
    <w:rsid w:val="00E33123"/>
    <w:rsid w:val="00E33333"/>
    <w:rsid w:val="00E33622"/>
    <w:rsid w:val="00E33F03"/>
    <w:rsid w:val="00E3415A"/>
    <w:rsid w:val="00E353CC"/>
    <w:rsid w:val="00E357A5"/>
    <w:rsid w:val="00E36171"/>
    <w:rsid w:val="00E36185"/>
    <w:rsid w:val="00E361D2"/>
    <w:rsid w:val="00E36468"/>
    <w:rsid w:val="00E37469"/>
    <w:rsid w:val="00E376E0"/>
    <w:rsid w:val="00E37E4A"/>
    <w:rsid w:val="00E404B5"/>
    <w:rsid w:val="00E40AA7"/>
    <w:rsid w:val="00E40F94"/>
    <w:rsid w:val="00E41051"/>
    <w:rsid w:val="00E413F7"/>
    <w:rsid w:val="00E4198F"/>
    <w:rsid w:val="00E41A1B"/>
    <w:rsid w:val="00E422C1"/>
    <w:rsid w:val="00E42351"/>
    <w:rsid w:val="00E42705"/>
    <w:rsid w:val="00E4343A"/>
    <w:rsid w:val="00E43813"/>
    <w:rsid w:val="00E43F4A"/>
    <w:rsid w:val="00E43F92"/>
    <w:rsid w:val="00E44223"/>
    <w:rsid w:val="00E4579C"/>
    <w:rsid w:val="00E45948"/>
    <w:rsid w:val="00E45954"/>
    <w:rsid w:val="00E45B41"/>
    <w:rsid w:val="00E45D6D"/>
    <w:rsid w:val="00E46B34"/>
    <w:rsid w:val="00E46F4B"/>
    <w:rsid w:val="00E46F92"/>
    <w:rsid w:val="00E500E0"/>
    <w:rsid w:val="00E508FF"/>
    <w:rsid w:val="00E518B6"/>
    <w:rsid w:val="00E51F75"/>
    <w:rsid w:val="00E51F76"/>
    <w:rsid w:val="00E522C4"/>
    <w:rsid w:val="00E5235F"/>
    <w:rsid w:val="00E52CE1"/>
    <w:rsid w:val="00E52DD7"/>
    <w:rsid w:val="00E52E57"/>
    <w:rsid w:val="00E53177"/>
    <w:rsid w:val="00E532C4"/>
    <w:rsid w:val="00E535AD"/>
    <w:rsid w:val="00E54439"/>
    <w:rsid w:val="00E55664"/>
    <w:rsid w:val="00E568A2"/>
    <w:rsid w:val="00E570BE"/>
    <w:rsid w:val="00E57131"/>
    <w:rsid w:val="00E57705"/>
    <w:rsid w:val="00E601B8"/>
    <w:rsid w:val="00E60916"/>
    <w:rsid w:val="00E6099E"/>
    <w:rsid w:val="00E609BC"/>
    <w:rsid w:val="00E60D57"/>
    <w:rsid w:val="00E60F20"/>
    <w:rsid w:val="00E61CA3"/>
    <w:rsid w:val="00E620C3"/>
    <w:rsid w:val="00E623C4"/>
    <w:rsid w:val="00E629B0"/>
    <w:rsid w:val="00E62AB8"/>
    <w:rsid w:val="00E62C81"/>
    <w:rsid w:val="00E63802"/>
    <w:rsid w:val="00E63A23"/>
    <w:rsid w:val="00E6418C"/>
    <w:rsid w:val="00E64688"/>
    <w:rsid w:val="00E647AB"/>
    <w:rsid w:val="00E653B0"/>
    <w:rsid w:val="00E65BD2"/>
    <w:rsid w:val="00E6689A"/>
    <w:rsid w:val="00E6737B"/>
    <w:rsid w:val="00E6752F"/>
    <w:rsid w:val="00E676F5"/>
    <w:rsid w:val="00E67AE7"/>
    <w:rsid w:val="00E70015"/>
    <w:rsid w:val="00E701E8"/>
    <w:rsid w:val="00E70DAB"/>
    <w:rsid w:val="00E70FEF"/>
    <w:rsid w:val="00E713A1"/>
    <w:rsid w:val="00E719AB"/>
    <w:rsid w:val="00E719DD"/>
    <w:rsid w:val="00E71C65"/>
    <w:rsid w:val="00E725B2"/>
    <w:rsid w:val="00E72695"/>
    <w:rsid w:val="00E728FA"/>
    <w:rsid w:val="00E72EB2"/>
    <w:rsid w:val="00E730EA"/>
    <w:rsid w:val="00E740A5"/>
    <w:rsid w:val="00E740D1"/>
    <w:rsid w:val="00E745CA"/>
    <w:rsid w:val="00E7464B"/>
    <w:rsid w:val="00E75070"/>
    <w:rsid w:val="00E752FE"/>
    <w:rsid w:val="00E754B6"/>
    <w:rsid w:val="00E75B5F"/>
    <w:rsid w:val="00E75D90"/>
    <w:rsid w:val="00E75FF5"/>
    <w:rsid w:val="00E80418"/>
    <w:rsid w:val="00E80A0C"/>
    <w:rsid w:val="00E81170"/>
    <w:rsid w:val="00E811BD"/>
    <w:rsid w:val="00E814D5"/>
    <w:rsid w:val="00E8197C"/>
    <w:rsid w:val="00E81983"/>
    <w:rsid w:val="00E81CB0"/>
    <w:rsid w:val="00E82557"/>
    <w:rsid w:val="00E826AD"/>
    <w:rsid w:val="00E830A8"/>
    <w:rsid w:val="00E835AF"/>
    <w:rsid w:val="00E83609"/>
    <w:rsid w:val="00E84964"/>
    <w:rsid w:val="00E84C91"/>
    <w:rsid w:val="00E84DA8"/>
    <w:rsid w:val="00E856CC"/>
    <w:rsid w:val="00E8574C"/>
    <w:rsid w:val="00E85775"/>
    <w:rsid w:val="00E859E5"/>
    <w:rsid w:val="00E8614C"/>
    <w:rsid w:val="00E862F3"/>
    <w:rsid w:val="00E86B81"/>
    <w:rsid w:val="00E877F6"/>
    <w:rsid w:val="00E87AE8"/>
    <w:rsid w:val="00E908FF"/>
    <w:rsid w:val="00E90EBF"/>
    <w:rsid w:val="00E9228E"/>
    <w:rsid w:val="00E9252B"/>
    <w:rsid w:val="00E92ED4"/>
    <w:rsid w:val="00E940D7"/>
    <w:rsid w:val="00E941DE"/>
    <w:rsid w:val="00E94305"/>
    <w:rsid w:val="00E9431E"/>
    <w:rsid w:val="00E951E3"/>
    <w:rsid w:val="00E95409"/>
    <w:rsid w:val="00E955A8"/>
    <w:rsid w:val="00E95D00"/>
    <w:rsid w:val="00E95D79"/>
    <w:rsid w:val="00E9622E"/>
    <w:rsid w:val="00E965FA"/>
    <w:rsid w:val="00E96623"/>
    <w:rsid w:val="00E967A9"/>
    <w:rsid w:val="00E96EB3"/>
    <w:rsid w:val="00E9726B"/>
    <w:rsid w:val="00E972C2"/>
    <w:rsid w:val="00E9774D"/>
    <w:rsid w:val="00E97B41"/>
    <w:rsid w:val="00E97EF8"/>
    <w:rsid w:val="00EA0241"/>
    <w:rsid w:val="00EA0B26"/>
    <w:rsid w:val="00EA0ED6"/>
    <w:rsid w:val="00EA1228"/>
    <w:rsid w:val="00EA15C5"/>
    <w:rsid w:val="00EA244E"/>
    <w:rsid w:val="00EA2C48"/>
    <w:rsid w:val="00EA2ED7"/>
    <w:rsid w:val="00EA2FC7"/>
    <w:rsid w:val="00EA3757"/>
    <w:rsid w:val="00EA3D37"/>
    <w:rsid w:val="00EA4489"/>
    <w:rsid w:val="00EA4560"/>
    <w:rsid w:val="00EA47E6"/>
    <w:rsid w:val="00EA4EC8"/>
    <w:rsid w:val="00EA55D8"/>
    <w:rsid w:val="00EA6BEF"/>
    <w:rsid w:val="00EA7010"/>
    <w:rsid w:val="00EA75C2"/>
    <w:rsid w:val="00EB1020"/>
    <w:rsid w:val="00EB1396"/>
    <w:rsid w:val="00EB1684"/>
    <w:rsid w:val="00EB1FE9"/>
    <w:rsid w:val="00EB265A"/>
    <w:rsid w:val="00EB27C5"/>
    <w:rsid w:val="00EB33F1"/>
    <w:rsid w:val="00EB34D8"/>
    <w:rsid w:val="00EB3AF9"/>
    <w:rsid w:val="00EB3FA1"/>
    <w:rsid w:val="00EB48B8"/>
    <w:rsid w:val="00EB4F8E"/>
    <w:rsid w:val="00EB4FE5"/>
    <w:rsid w:val="00EB5140"/>
    <w:rsid w:val="00EB5289"/>
    <w:rsid w:val="00EB539F"/>
    <w:rsid w:val="00EB5880"/>
    <w:rsid w:val="00EB5BC8"/>
    <w:rsid w:val="00EB5DF3"/>
    <w:rsid w:val="00EB61D0"/>
    <w:rsid w:val="00EB6261"/>
    <w:rsid w:val="00EB63DE"/>
    <w:rsid w:val="00EB63EA"/>
    <w:rsid w:val="00EB64EB"/>
    <w:rsid w:val="00EB68E2"/>
    <w:rsid w:val="00EB6D8C"/>
    <w:rsid w:val="00EB7EA3"/>
    <w:rsid w:val="00EC030A"/>
    <w:rsid w:val="00EC0340"/>
    <w:rsid w:val="00EC0424"/>
    <w:rsid w:val="00EC04CC"/>
    <w:rsid w:val="00EC09FE"/>
    <w:rsid w:val="00EC0B42"/>
    <w:rsid w:val="00EC10F8"/>
    <w:rsid w:val="00EC2BDB"/>
    <w:rsid w:val="00EC33FC"/>
    <w:rsid w:val="00EC351A"/>
    <w:rsid w:val="00EC353B"/>
    <w:rsid w:val="00EC3582"/>
    <w:rsid w:val="00EC4A06"/>
    <w:rsid w:val="00EC4E7C"/>
    <w:rsid w:val="00EC53DA"/>
    <w:rsid w:val="00EC54D5"/>
    <w:rsid w:val="00EC55C3"/>
    <w:rsid w:val="00EC575B"/>
    <w:rsid w:val="00EC5761"/>
    <w:rsid w:val="00EC585C"/>
    <w:rsid w:val="00EC5D42"/>
    <w:rsid w:val="00EC7B44"/>
    <w:rsid w:val="00ED0C1C"/>
    <w:rsid w:val="00ED168A"/>
    <w:rsid w:val="00ED1760"/>
    <w:rsid w:val="00ED2184"/>
    <w:rsid w:val="00ED2819"/>
    <w:rsid w:val="00ED29F9"/>
    <w:rsid w:val="00ED40BB"/>
    <w:rsid w:val="00ED4187"/>
    <w:rsid w:val="00ED5399"/>
    <w:rsid w:val="00ED567D"/>
    <w:rsid w:val="00ED58C9"/>
    <w:rsid w:val="00ED6838"/>
    <w:rsid w:val="00ED6A82"/>
    <w:rsid w:val="00ED6C4F"/>
    <w:rsid w:val="00ED6F91"/>
    <w:rsid w:val="00ED70CF"/>
    <w:rsid w:val="00ED758E"/>
    <w:rsid w:val="00ED77EF"/>
    <w:rsid w:val="00ED7B01"/>
    <w:rsid w:val="00ED7E1C"/>
    <w:rsid w:val="00EE02EA"/>
    <w:rsid w:val="00EE0442"/>
    <w:rsid w:val="00EE09B7"/>
    <w:rsid w:val="00EE0DA3"/>
    <w:rsid w:val="00EE0F7B"/>
    <w:rsid w:val="00EE1513"/>
    <w:rsid w:val="00EE174E"/>
    <w:rsid w:val="00EE1EFF"/>
    <w:rsid w:val="00EE21DC"/>
    <w:rsid w:val="00EE2941"/>
    <w:rsid w:val="00EE29E7"/>
    <w:rsid w:val="00EE3437"/>
    <w:rsid w:val="00EE3C5D"/>
    <w:rsid w:val="00EE3F24"/>
    <w:rsid w:val="00EE44D7"/>
    <w:rsid w:val="00EE44F9"/>
    <w:rsid w:val="00EE4575"/>
    <w:rsid w:val="00EE53D3"/>
    <w:rsid w:val="00EE5F30"/>
    <w:rsid w:val="00EE664F"/>
    <w:rsid w:val="00EE6DE7"/>
    <w:rsid w:val="00EE7223"/>
    <w:rsid w:val="00EE75CB"/>
    <w:rsid w:val="00EE7AB3"/>
    <w:rsid w:val="00EE7D13"/>
    <w:rsid w:val="00EE7EFD"/>
    <w:rsid w:val="00EF0604"/>
    <w:rsid w:val="00EF174C"/>
    <w:rsid w:val="00EF2187"/>
    <w:rsid w:val="00EF21C9"/>
    <w:rsid w:val="00EF27B0"/>
    <w:rsid w:val="00EF360E"/>
    <w:rsid w:val="00EF3ECA"/>
    <w:rsid w:val="00EF42F3"/>
    <w:rsid w:val="00EF47A2"/>
    <w:rsid w:val="00EF5B21"/>
    <w:rsid w:val="00EF6B22"/>
    <w:rsid w:val="00EF72DE"/>
    <w:rsid w:val="00EF75D5"/>
    <w:rsid w:val="00EF76AC"/>
    <w:rsid w:val="00EF7FA2"/>
    <w:rsid w:val="00F004C2"/>
    <w:rsid w:val="00F00535"/>
    <w:rsid w:val="00F00C24"/>
    <w:rsid w:val="00F00CFF"/>
    <w:rsid w:val="00F012AB"/>
    <w:rsid w:val="00F01382"/>
    <w:rsid w:val="00F01EA2"/>
    <w:rsid w:val="00F02BE1"/>
    <w:rsid w:val="00F02C16"/>
    <w:rsid w:val="00F03ACD"/>
    <w:rsid w:val="00F047DD"/>
    <w:rsid w:val="00F0484A"/>
    <w:rsid w:val="00F053AF"/>
    <w:rsid w:val="00F05C6A"/>
    <w:rsid w:val="00F05E87"/>
    <w:rsid w:val="00F06069"/>
    <w:rsid w:val="00F06E66"/>
    <w:rsid w:val="00F06F08"/>
    <w:rsid w:val="00F06F3C"/>
    <w:rsid w:val="00F10490"/>
    <w:rsid w:val="00F11F8C"/>
    <w:rsid w:val="00F12309"/>
    <w:rsid w:val="00F1232E"/>
    <w:rsid w:val="00F12831"/>
    <w:rsid w:val="00F1289B"/>
    <w:rsid w:val="00F12AF0"/>
    <w:rsid w:val="00F12B33"/>
    <w:rsid w:val="00F135A8"/>
    <w:rsid w:val="00F135BC"/>
    <w:rsid w:val="00F13EE1"/>
    <w:rsid w:val="00F14173"/>
    <w:rsid w:val="00F14188"/>
    <w:rsid w:val="00F14C6D"/>
    <w:rsid w:val="00F14D4C"/>
    <w:rsid w:val="00F14F86"/>
    <w:rsid w:val="00F158F7"/>
    <w:rsid w:val="00F15910"/>
    <w:rsid w:val="00F15AB3"/>
    <w:rsid w:val="00F1664B"/>
    <w:rsid w:val="00F1666A"/>
    <w:rsid w:val="00F167C5"/>
    <w:rsid w:val="00F17365"/>
    <w:rsid w:val="00F17380"/>
    <w:rsid w:val="00F17C0C"/>
    <w:rsid w:val="00F17E4F"/>
    <w:rsid w:val="00F17EFE"/>
    <w:rsid w:val="00F2009D"/>
    <w:rsid w:val="00F205D5"/>
    <w:rsid w:val="00F20D3D"/>
    <w:rsid w:val="00F21C83"/>
    <w:rsid w:val="00F21F90"/>
    <w:rsid w:val="00F22335"/>
    <w:rsid w:val="00F23025"/>
    <w:rsid w:val="00F2349C"/>
    <w:rsid w:val="00F238DA"/>
    <w:rsid w:val="00F2395D"/>
    <w:rsid w:val="00F23E11"/>
    <w:rsid w:val="00F23ED9"/>
    <w:rsid w:val="00F2423B"/>
    <w:rsid w:val="00F24317"/>
    <w:rsid w:val="00F24829"/>
    <w:rsid w:val="00F24BC7"/>
    <w:rsid w:val="00F25878"/>
    <w:rsid w:val="00F25908"/>
    <w:rsid w:val="00F26F3E"/>
    <w:rsid w:val="00F27C55"/>
    <w:rsid w:val="00F303E8"/>
    <w:rsid w:val="00F3073F"/>
    <w:rsid w:val="00F3100E"/>
    <w:rsid w:val="00F31150"/>
    <w:rsid w:val="00F3207A"/>
    <w:rsid w:val="00F32318"/>
    <w:rsid w:val="00F323DE"/>
    <w:rsid w:val="00F33285"/>
    <w:rsid w:val="00F338F0"/>
    <w:rsid w:val="00F34112"/>
    <w:rsid w:val="00F348B2"/>
    <w:rsid w:val="00F35048"/>
    <w:rsid w:val="00F35990"/>
    <w:rsid w:val="00F359F6"/>
    <w:rsid w:val="00F35EFE"/>
    <w:rsid w:val="00F36193"/>
    <w:rsid w:val="00F36888"/>
    <w:rsid w:val="00F36B18"/>
    <w:rsid w:val="00F3726C"/>
    <w:rsid w:val="00F373B0"/>
    <w:rsid w:val="00F40B4D"/>
    <w:rsid w:val="00F41182"/>
    <w:rsid w:val="00F411D2"/>
    <w:rsid w:val="00F41388"/>
    <w:rsid w:val="00F413C0"/>
    <w:rsid w:val="00F4147B"/>
    <w:rsid w:val="00F41752"/>
    <w:rsid w:val="00F41AEC"/>
    <w:rsid w:val="00F41E67"/>
    <w:rsid w:val="00F4258E"/>
    <w:rsid w:val="00F425E3"/>
    <w:rsid w:val="00F42F27"/>
    <w:rsid w:val="00F4420C"/>
    <w:rsid w:val="00F44F6F"/>
    <w:rsid w:val="00F456C7"/>
    <w:rsid w:val="00F465BA"/>
    <w:rsid w:val="00F471E7"/>
    <w:rsid w:val="00F47F7D"/>
    <w:rsid w:val="00F47FA4"/>
    <w:rsid w:val="00F506AF"/>
    <w:rsid w:val="00F51A04"/>
    <w:rsid w:val="00F52642"/>
    <w:rsid w:val="00F52A37"/>
    <w:rsid w:val="00F52A8B"/>
    <w:rsid w:val="00F54158"/>
    <w:rsid w:val="00F54E9F"/>
    <w:rsid w:val="00F54FA6"/>
    <w:rsid w:val="00F5578B"/>
    <w:rsid w:val="00F5599D"/>
    <w:rsid w:val="00F55BDD"/>
    <w:rsid w:val="00F55C63"/>
    <w:rsid w:val="00F5624A"/>
    <w:rsid w:val="00F565AB"/>
    <w:rsid w:val="00F57A0D"/>
    <w:rsid w:val="00F57EED"/>
    <w:rsid w:val="00F60FA1"/>
    <w:rsid w:val="00F61DFA"/>
    <w:rsid w:val="00F62903"/>
    <w:rsid w:val="00F62961"/>
    <w:rsid w:val="00F62BC2"/>
    <w:rsid w:val="00F62E15"/>
    <w:rsid w:val="00F62FA2"/>
    <w:rsid w:val="00F6322C"/>
    <w:rsid w:val="00F632F8"/>
    <w:rsid w:val="00F636BE"/>
    <w:rsid w:val="00F636DC"/>
    <w:rsid w:val="00F65149"/>
    <w:rsid w:val="00F652B0"/>
    <w:rsid w:val="00F65462"/>
    <w:rsid w:val="00F65793"/>
    <w:rsid w:val="00F66A80"/>
    <w:rsid w:val="00F66AF8"/>
    <w:rsid w:val="00F677D5"/>
    <w:rsid w:val="00F67BD0"/>
    <w:rsid w:val="00F704C5"/>
    <w:rsid w:val="00F70DB9"/>
    <w:rsid w:val="00F71259"/>
    <w:rsid w:val="00F71A6E"/>
    <w:rsid w:val="00F71B05"/>
    <w:rsid w:val="00F727DF"/>
    <w:rsid w:val="00F72D79"/>
    <w:rsid w:val="00F730AA"/>
    <w:rsid w:val="00F7311E"/>
    <w:rsid w:val="00F731F8"/>
    <w:rsid w:val="00F74423"/>
    <w:rsid w:val="00F74620"/>
    <w:rsid w:val="00F75372"/>
    <w:rsid w:val="00F75530"/>
    <w:rsid w:val="00F75FCD"/>
    <w:rsid w:val="00F7629A"/>
    <w:rsid w:val="00F76494"/>
    <w:rsid w:val="00F76663"/>
    <w:rsid w:val="00F76B3D"/>
    <w:rsid w:val="00F77276"/>
    <w:rsid w:val="00F77657"/>
    <w:rsid w:val="00F776CF"/>
    <w:rsid w:val="00F77F0E"/>
    <w:rsid w:val="00F77FB6"/>
    <w:rsid w:val="00F8014E"/>
    <w:rsid w:val="00F803C4"/>
    <w:rsid w:val="00F80BA9"/>
    <w:rsid w:val="00F80EA1"/>
    <w:rsid w:val="00F81CC0"/>
    <w:rsid w:val="00F82101"/>
    <w:rsid w:val="00F82A8C"/>
    <w:rsid w:val="00F83967"/>
    <w:rsid w:val="00F844BD"/>
    <w:rsid w:val="00F856DC"/>
    <w:rsid w:val="00F861C0"/>
    <w:rsid w:val="00F863A0"/>
    <w:rsid w:val="00F8655F"/>
    <w:rsid w:val="00F86568"/>
    <w:rsid w:val="00F9078E"/>
    <w:rsid w:val="00F90837"/>
    <w:rsid w:val="00F90937"/>
    <w:rsid w:val="00F91923"/>
    <w:rsid w:val="00F931E4"/>
    <w:rsid w:val="00F933EF"/>
    <w:rsid w:val="00F945B1"/>
    <w:rsid w:val="00F957EA"/>
    <w:rsid w:val="00F95982"/>
    <w:rsid w:val="00F95C23"/>
    <w:rsid w:val="00F9628F"/>
    <w:rsid w:val="00F9694D"/>
    <w:rsid w:val="00F97342"/>
    <w:rsid w:val="00F9787A"/>
    <w:rsid w:val="00F97BEF"/>
    <w:rsid w:val="00F97CC7"/>
    <w:rsid w:val="00FA0CB8"/>
    <w:rsid w:val="00FA120A"/>
    <w:rsid w:val="00FA2109"/>
    <w:rsid w:val="00FA3026"/>
    <w:rsid w:val="00FA389D"/>
    <w:rsid w:val="00FA3A25"/>
    <w:rsid w:val="00FA3F28"/>
    <w:rsid w:val="00FA48EA"/>
    <w:rsid w:val="00FA57CA"/>
    <w:rsid w:val="00FA5C20"/>
    <w:rsid w:val="00FA5E0E"/>
    <w:rsid w:val="00FA6030"/>
    <w:rsid w:val="00FA62A5"/>
    <w:rsid w:val="00FA65AF"/>
    <w:rsid w:val="00FA6B28"/>
    <w:rsid w:val="00FA7874"/>
    <w:rsid w:val="00FA7BB5"/>
    <w:rsid w:val="00FA7C3B"/>
    <w:rsid w:val="00FA7F2D"/>
    <w:rsid w:val="00FB23B0"/>
    <w:rsid w:val="00FB2A70"/>
    <w:rsid w:val="00FB2BD2"/>
    <w:rsid w:val="00FB30E5"/>
    <w:rsid w:val="00FB34DE"/>
    <w:rsid w:val="00FB3815"/>
    <w:rsid w:val="00FB3AF8"/>
    <w:rsid w:val="00FB3EFE"/>
    <w:rsid w:val="00FB3FA1"/>
    <w:rsid w:val="00FB415C"/>
    <w:rsid w:val="00FB42AA"/>
    <w:rsid w:val="00FB42FE"/>
    <w:rsid w:val="00FB53AD"/>
    <w:rsid w:val="00FB54D5"/>
    <w:rsid w:val="00FB56FA"/>
    <w:rsid w:val="00FB5B36"/>
    <w:rsid w:val="00FB5D3D"/>
    <w:rsid w:val="00FB6B96"/>
    <w:rsid w:val="00FB6CD1"/>
    <w:rsid w:val="00FB7106"/>
    <w:rsid w:val="00FB71C4"/>
    <w:rsid w:val="00FB73DF"/>
    <w:rsid w:val="00FB7CA2"/>
    <w:rsid w:val="00FB7D21"/>
    <w:rsid w:val="00FC000F"/>
    <w:rsid w:val="00FC00B7"/>
    <w:rsid w:val="00FC053E"/>
    <w:rsid w:val="00FC163A"/>
    <w:rsid w:val="00FC172E"/>
    <w:rsid w:val="00FC29FC"/>
    <w:rsid w:val="00FC33B1"/>
    <w:rsid w:val="00FC353E"/>
    <w:rsid w:val="00FC3CA9"/>
    <w:rsid w:val="00FC4ACF"/>
    <w:rsid w:val="00FC582E"/>
    <w:rsid w:val="00FC5A37"/>
    <w:rsid w:val="00FD07FB"/>
    <w:rsid w:val="00FD0B4C"/>
    <w:rsid w:val="00FD0EFD"/>
    <w:rsid w:val="00FD179D"/>
    <w:rsid w:val="00FD1A26"/>
    <w:rsid w:val="00FD1B66"/>
    <w:rsid w:val="00FD29DC"/>
    <w:rsid w:val="00FD2F5E"/>
    <w:rsid w:val="00FD30B4"/>
    <w:rsid w:val="00FD39A2"/>
    <w:rsid w:val="00FD4597"/>
    <w:rsid w:val="00FD49C8"/>
    <w:rsid w:val="00FD54D5"/>
    <w:rsid w:val="00FD5EE9"/>
    <w:rsid w:val="00FD6010"/>
    <w:rsid w:val="00FD655E"/>
    <w:rsid w:val="00FD6AAD"/>
    <w:rsid w:val="00FD6AC9"/>
    <w:rsid w:val="00FD7229"/>
    <w:rsid w:val="00FD7383"/>
    <w:rsid w:val="00FD754C"/>
    <w:rsid w:val="00FD7894"/>
    <w:rsid w:val="00FD7B85"/>
    <w:rsid w:val="00FE031E"/>
    <w:rsid w:val="00FE078B"/>
    <w:rsid w:val="00FE0CF3"/>
    <w:rsid w:val="00FE1609"/>
    <w:rsid w:val="00FE1C2F"/>
    <w:rsid w:val="00FE2C6E"/>
    <w:rsid w:val="00FE3B7B"/>
    <w:rsid w:val="00FE40A6"/>
    <w:rsid w:val="00FE4A1C"/>
    <w:rsid w:val="00FE4A66"/>
    <w:rsid w:val="00FE5479"/>
    <w:rsid w:val="00FE660F"/>
    <w:rsid w:val="00FE741F"/>
    <w:rsid w:val="00FE7987"/>
    <w:rsid w:val="00FE7B2A"/>
    <w:rsid w:val="00FF140B"/>
    <w:rsid w:val="00FF14A2"/>
    <w:rsid w:val="00FF1565"/>
    <w:rsid w:val="00FF18BD"/>
    <w:rsid w:val="00FF20FE"/>
    <w:rsid w:val="00FF2427"/>
    <w:rsid w:val="00FF2E0C"/>
    <w:rsid w:val="00FF3500"/>
    <w:rsid w:val="00FF3A0F"/>
    <w:rsid w:val="00FF3E5B"/>
    <w:rsid w:val="00FF5013"/>
    <w:rsid w:val="00FF606F"/>
    <w:rsid w:val="00FF6366"/>
    <w:rsid w:val="00FF6747"/>
    <w:rsid w:val="00FF7308"/>
    <w:rsid w:val="00FF75B5"/>
    <w:rsid w:val="00FF7794"/>
    <w:rsid w:val="00FF7884"/>
    <w:rsid w:val="00FF799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BE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99"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75089"/>
    <w:pPr>
      <w:keepLines/>
    </w:pPr>
    <w:rPr>
      <w:rFonts w:ascii="Arial" w:hAnsi="Arial"/>
      <w:spacing w:val="-5"/>
      <w:sz w:val="24"/>
      <w:szCs w:val="20"/>
      <w:lang w:eastAsia="en-US"/>
    </w:rPr>
  </w:style>
  <w:style w:type="paragraph" w:styleId="Heading1">
    <w:name w:val="heading 1"/>
    <w:basedOn w:val="Normal"/>
    <w:next w:val="Normal"/>
    <w:link w:val="Heading1Char"/>
    <w:qFormat/>
    <w:rsid w:val="000567C9"/>
    <w:pPr>
      <w:keepNext/>
      <w:numPr>
        <w:numId w:val="5"/>
      </w:numPr>
      <w:spacing w:before="360"/>
      <w:ind w:left="720" w:hanging="720"/>
      <w:outlineLvl w:val="0"/>
    </w:pPr>
    <w:rPr>
      <w:b/>
      <w:bCs/>
      <w:sz w:val="28"/>
      <w:szCs w:val="28"/>
    </w:rPr>
  </w:style>
  <w:style w:type="paragraph" w:styleId="Heading2">
    <w:name w:val="heading 2"/>
    <w:basedOn w:val="Heading1"/>
    <w:next w:val="Normal"/>
    <w:link w:val="Heading2Char"/>
    <w:qFormat/>
    <w:rsid w:val="000567C9"/>
    <w:pPr>
      <w:numPr>
        <w:ilvl w:val="1"/>
      </w:numPr>
      <w:ind w:left="720" w:hanging="720"/>
      <w:outlineLvl w:val="1"/>
    </w:pPr>
    <w:rPr>
      <w:bCs w:val="0"/>
      <w:i/>
      <w:color w:val="000000"/>
      <w:szCs w:val="26"/>
    </w:rPr>
  </w:style>
  <w:style w:type="paragraph" w:styleId="Heading3">
    <w:name w:val="heading 3"/>
    <w:basedOn w:val="Heading2"/>
    <w:next w:val="Normal"/>
    <w:link w:val="Heading3Char"/>
    <w:qFormat/>
    <w:rsid w:val="000567C9"/>
    <w:pPr>
      <w:numPr>
        <w:ilvl w:val="2"/>
      </w:numPr>
      <w:ind w:left="720" w:hanging="720"/>
      <w:outlineLvl w:val="2"/>
    </w:pPr>
    <w:rPr>
      <w:b w:val="0"/>
      <w:bCs/>
      <w:color w:val="auto"/>
      <w:sz w:val="24"/>
    </w:rPr>
  </w:style>
  <w:style w:type="paragraph" w:styleId="Heading4">
    <w:name w:val="heading 4"/>
    <w:basedOn w:val="Heading3"/>
    <w:next w:val="Normal"/>
    <w:link w:val="Heading4Char"/>
    <w:qFormat/>
    <w:rsid w:val="000567C9"/>
    <w:pPr>
      <w:numPr>
        <w:ilvl w:val="3"/>
      </w:numPr>
      <w:ind w:left="720" w:hanging="720"/>
      <w:outlineLvl w:val="3"/>
    </w:pPr>
    <w:rPr>
      <w:bCs w:val="0"/>
      <w:i w:val="0"/>
      <w:iCs/>
    </w:rPr>
  </w:style>
  <w:style w:type="paragraph" w:styleId="Heading5">
    <w:name w:val="heading 5"/>
    <w:basedOn w:val="Normal"/>
    <w:next w:val="Normal"/>
    <w:link w:val="Heading5Char"/>
    <w:qFormat/>
    <w:locked/>
    <w:rsid w:val="00F14C6D"/>
    <w:pPr>
      <w:keepNext/>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spacing w:before="200"/>
      <w:outlineLvl w:val="7"/>
    </w:pPr>
    <w:rPr>
      <w:rFonts w:ascii="Cambria" w:hAnsi="Cambria"/>
      <w:color w:val="404040"/>
    </w:rPr>
  </w:style>
  <w:style w:type="paragraph" w:styleId="Heading9">
    <w:name w:val="heading 9"/>
    <w:basedOn w:val="Normal"/>
    <w:next w:val="Normal"/>
    <w:link w:val="Heading9Char"/>
    <w:qFormat/>
    <w:locked/>
    <w:rsid w:val="00F14C6D"/>
    <w:pPr>
      <w:keepNext/>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locked/>
    <w:rsid w:val="00C27C28"/>
    <w:rPr>
      <w:rFonts w:ascii="Tahoma" w:hAnsi="Tahoma" w:cs="Tahoma"/>
      <w:sz w:val="16"/>
      <w:szCs w:val="16"/>
    </w:rPr>
  </w:style>
  <w:style w:type="character" w:customStyle="1" w:styleId="BalloonTextChar">
    <w:name w:val="Balloon Text Char"/>
    <w:basedOn w:val="DefaultParagraphFont"/>
    <w:uiPriority w:val="99"/>
    <w:semiHidden/>
    <w:rsid w:val="004030C3"/>
    <w:rPr>
      <w:rFonts w:ascii="Lucida Grande" w:hAnsi="Lucida Grande"/>
      <w:sz w:val="18"/>
      <w:szCs w:val="18"/>
    </w:rPr>
  </w:style>
  <w:style w:type="character" w:customStyle="1" w:styleId="BalloonTextChar0">
    <w:name w:val="Balloon Text Char"/>
    <w:basedOn w:val="DefaultParagraphFont"/>
    <w:uiPriority w:val="99"/>
    <w:semiHidden/>
    <w:rsid w:val="00205EE2"/>
    <w:rPr>
      <w:rFonts w:ascii="Lucida Grande" w:hAnsi="Lucida Grande"/>
      <w:sz w:val="18"/>
      <w:szCs w:val="18"/>
    </w:rPr>
  </w:style>
  <w:style w:type="character" w:customStyle="1" w:styleId="Heading1Char">
    <w:name w:val="Heading 1 Char"/>
    <w:basedOn w:val="DefaultParagraphFont"/>
    <w:link w:val="Heading1"/>
    <w:locked/>
    <w:rsid w:val="000567C9"/>
    <w:rPr>
      <w:rFonts w:ascii="Arial" w:hAnsi="Arial"/>
      <w:b/>
      <w:bCs/>
      <w:spacing w:val="-5"/>
      <w:sz w:val="28"/>
      <w:szCs w:val="28"/>
      <w:lang w:eastAsia="en-US"/>
    </w:rPr>
  </w:style>
  <w:style w:type="character" w:customStyle="1" w:styleId="Heading2Char">
    <w:name w:val="Heading 2 Char"/>
    <w:basedOn w:val="DefaultParagraphFont"/>
    <w:link w:val="Heading2"/>
    <w:locked/>
    <w:rsid w:val="000567C9"/>
    <w:rPr>
      <w:rFonts w:ascii="Arial" w:hAnsi="Arial"/>
      <w:b/>
      <w:i/>
      <w:color w:val="000000"/>
      <w:spacing w:val="-5"/>
      <w:sz w:val="28"/>
      <w:szCs w:val="26"/>
      <w:lang w:eastAsia="en-US"/>
    </w:rPr>
  </w:style>
  <w:style w:type="character" w:customStyle="1" w:styleId="Heading3Char">
    <w:name w:val="Heading 3 Char"/>
    <w:basedOn w:val="DefaultParagraphFont"/>
    <w:link w:val="Heading3"/>
    <w:locked/>
    <w:rsid w:val="000567C9"/>
    <w:rPr>
      <w:rFonts w:ascii="Arial" w:hAnsi="Arial"/>
      <w:bCs/>
      <w:i/>
      <w:spacing w:val="-5"/>
      <w:sz w:val="24"/>
      <w:szCs w:val="26"/>
      <w:lang w:eastAsia="en-US"/>
    </w:rPr>
  </w:style>
  <w:style w:type="character" w:customStyle="1" w:styleId="Heading4Char">
    <w:name w:val="Heading 4 Char"/>
    <w:basedOn w:val="DefaultParagraphFont"/>
    <w:link w:val="Heading4"/>
    <w:locked/>
    <w:rsid w:val="000567C9"/>
    <w:rPr>
      <w:rFonts w:ascii="Arial" w:hAnsi="Arial"/>
      <w:iCs/>
      <w:spacing w:val="-5"/>
      <w:sz w:val="24"/>
      <w:szCs w:val="26"/>
      <w:lang w:eastAsia="en-US"/>
    </w:rPr>
  </w:style>
  <w:style w:type="character" w:customStyle="1" w:styleId="Heading5Char">
    <w:name w:val="Heading 5 Char"/>
    <w:basedOn w:val="DefaultParagraphFont"/>
    <w:link w:val="Heading5"/>
    <w:locked/>
    <w:rsid w:val="00F14C6D"/>
    <w:rPr>
      <w:rFonts w:ascii="Cambria" w:hAnsi="Cambria" w:cs="Times New Roman"/>
      <w:color w:val="243F60"/>
      <w:sz w:val="24"/>
      <w:szCs w:val="24"/>
      <w:lang w:val="en-AU" w:eastAsia="en-AU" w:bidi="ar-SA"/>
    </w:rPr>
  </w:style>
  <w:style w:type="character" w:customStyle="1" w:styleId="Heading6Char">
    <w:name w:val="Heading 6 Char"/>
    <w:basedOn w:val="DefaultParagraphFont"/>
    <w:link w:val="Heading6"/>
    <w:locked/>
    <w:rsid w:val="00F14C6D"/>
    <w:rPr>
      <w:rFonts w:ascii="Cambria" w:hAnsi="Cambria" w:cs="Times New Roman"/>
      <w:i/>
      <w:iCs/>
      <w:color w:val="243F60"/>
      <w:sz w:val="24"/>
      <w:szCs w:val="24"/>
      <w:lang w:val="en-AU" w:eastAsia="en-AU" w:bidi="ar-SA"/>
    </w:rPr>
  </w:style>
  <w:style w:type="character" w:customStyle="1" w:styleId="Heading7Char">
    <w:name w:val="Heading 7 Char"/>
    <w:basedOn w:val="DefaultParagraphFont"/>
    <w:link w:val="Heading7"/>
    <w:locked/>
    <w:rsid w:val="00F14C6D"/>
    <w:rPr>
      <w:rFonts w:ascii="Cambria" w:hAnsi="Cambria" w:cs="Times New Roman"/>
      <w:i/>
      <w:iCs/>
      <w:color w:val="404040"/>
      <w:sz w:val="24"/>
      <w:szCs w:val="24"/>
      <w:lang w:val="en-AU" w:eastAsia="en-AU" w:bidi="ar-SA"/>
    </w:rPr>
  </w:style>
  <w:style w:type="character" w:customStyle="1" w:styleId="Heading8Char">
    <w:name w:val="Heading 8 Char"/>
    <w:basedOn w:val="DefaultParagraphFont"/>
    <w:link w:val="Heading8"/>
    <w:locked/>
    <w:rsid w:val="00F14C6D"/>
    <w:rPr>
      <w:rFonts w:ascii="Cambria" w:hAnsi="Cambria" w:cs="Times New Roman"/>
      <w:color w:val="404040"/>
      <w:lang w:val="en-AU" w:eastAsia="en-AU" w:bidi="ar-SA"/>
    </w:rPr>
  </w:style>
  <w:style w:type="character" w:customStyle="1" w:styleId="Heading9Char">
    <w:name w:val="Heading 9 Char"/>
    <w:basedOn w:val="DefaultParagraphFont"/>
    <w:link w:val="Heading9"/>
    <w:locked/>
    <w:rsid w:val="00F14C6D"/>
    <w:rPr>
      <w:rFonts w:ascii="Cambria" w:hAnsi="Cambria" w:cs="Times New Roman"/>
      <w:i/>
      <w:iCs/>
      <w:color w:val="404040"/>
      <w:lang w:val="en-AU" w:eastAsia="en-AU" w:bidi="ar-SA"/>
    </w:rPr>
  </w:style>
  <w:style w:type="character" w:styleId="Strong">
    <w:name w:val="Strong"/>
    <w:basedOn w:val="DefaultParagraphFont"/>
    <w:qFormat/>
    <w:locked/>
    <w:rsid w:val="000B0A5D"/>
    <w:rPr>
      <w:rFonts w:cs="Times New Roman"/>
      <w:b/>
      <w:bCs/>
    </w:rPr>
  </w:style>
  <w:style w:type="paragraph" w:styleId="Header">
    <w:name w:val="header"/>
    <w:basedOn w:val="Normal"/>
    <w:link w:val="HeaderChar"/>
    <w:rsid w:val="00E75D90"/>
    <w:pPr>
      <w:tabs>
        <w:tab w:val="center" w:pos="4513"/>
        <w:tab w:val="right" w:pos="9026"/>
      </w:tabs>
      <w:jc w:val="right"/>
    </w:pPr>
    <w:rPr>
      <w:sz w:val="22"/>
    </w:rPr>
  </w:style>
  <w:style w:type="character" w:customStyle="1" w:styleId="HeaderChar">
    <w:name w:val="Header Char"/>
    <w:basedOn w:val="DefaultParagraphFont"/>
    <w:link w:val="Header"/>
    <w:locked/>
    <w:rsid w:val="00E75D90"/>
    <w:rPr>
      <w:rFonts w:ascii="Arial" w:hAnsi="Arial" w:cs="Times New Roman"/>
      <w:sz w:val="24"/>
      <w:szCs w:val="24"/>
    </w:rPr>
  </w:style>
  <w:style w:type="paragraph" w:styleId="Footer">
    <w:name w:val="footer"/>
    <w:basedOn w:val="Normal"/>
    <w:link w:val="FooterChar"/>
    <w:uiPriority w:val="99"/>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locked/>
    <w:rsid w:val="00E75D90"/>
    <w:rPr>
      <w:rFonts w:ascii="Arial" w:hAnsi="Arial" w:cs="Times New Roman"/>
      <w:sz w:val="24"/>
      <w:szCs w:val="24"/>
    </w:rPr>
  </w:style>
  <w:style w:type="paragraph" w:styleId="TOC3">
    <w:name w:val="toc 3"/>
    <w:basedOn w:val="Normal"/>
    <w:next w:val="Normal"/>
    <w:autoRedefine/>
    <w:uiPriority w:val="39"/>
    <w:qFormat/>
    <w:locked/>
    <w:rsid w:val="002702D9"/>
    <w:pPr>
      <w:ind w:left="1202" w:hanging="720"/>
    </w:pPr>
    <w:rPr>
      <w:rFonts w:eastAsia="MS Mincho" w:cs="Arial"/>
      <w:i/>
      <w:noProof/>
    </w:rPr>
  </w:style>
  <w:style w:type="character" w:styleId="PlaceholderText">
    <w:name w:val="Placeholder Text"/>
    <w:basedOn w:val="DefaultParagraphFont"/>
    <w:uiPriority w:val="99"/>
    <w:semiHidden/>
    <w:locked/>
    <w:rsid w:val="005D1F34"/>
    <w:rPr>
      <w:rFonts w:cs="Times New Roman"/>
      <w:color w:val="808080"/>
    </w:rPr>
  </w:style>
  <w:style w:type="paragraph" w:styleId="ListContinue4">
    <w:name w:val="List Continue 4"/>
    <w:basedOn w:val="Normal"/>
    <w:semiHidden/>
    <w:locked/>
    <w:rsid w:val="0090165F"/>
    <w:pPr>
      <w:spacing w:after="120"/>
      <w:ind w:left="1132"/>
    </w:pPr>
  </w:style>
  <w:style w:type="paragraph" w:styleId="TOC1">
    <w:name w:val="toc 1"/>
    <w:basedOn w:val="Normal"/>
    <w:next w:val="Normal"/>
    <w:autoRedefine/>
    <w:uiPriority w:val="39"/>
    <w:qFormat/>
    <w:locked/>
    <w:rsid w:val="002702D9"/>
    <w:pPr>
      <w:tabs>
        <w:tab w:val="right" w:leader="dot" w:pos="9060"/>
      </w:tabs>
      <w:ind w:left="720" w:hanging="720"/>
    </w:pPr>
    <w:rPr>
      <w:b/>
    </w:rPr>
  </w:style>
  <w:style w:type="paragraph" w:styleId="TOC2">
    <w:name w:val="toc 2"/>
    <w:basedOn w:val="Normal"/>
    <w:next w:val="Normal"/>
    <w:autoRedefine/>
    <w:uiPriority w:val="39"/>
    <w:qFormat/>
    <w:locked/>
    <w:rsid w:val="002702D9"/>
    <w:pPr>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locked/>
    <w:rsid w:val="0024557E"/>
    <w:rPr>
      <w:rFonts w:cs="Times New Roman"/>
      <w:color w:val="0000FF"/>
      <w:u w:val="single"/>
    </w:rPr>
  </w:style>
  <w:style w:type="paragraph" w:styleId="TOCHeading">
    <w:name w:val="TOC Heading"/>
    <w:basedOn w:val="Normal"/>
    <w:next w:val="Normal"/>
    <w:uiPriority w:val="39"/>
    <w:qFormat/>
    <w:locked/>
    <w:rsid w:val="00725D5E"/>
    <w:rPr>
      <w:b/>
      <w:sz w:val="28"/>
      <w:lang w:val="en-US"/>
    </w:rPr>
  </w:style>
  <w:style w:type="paragraph" w:styleId="EndnoteText">
    <w:name w:val="endnote text"/>
    <w:basedOn w:val="Normal"/>
    <w:link w:val="EndnoteTextChar"/>
    <w:semiHidden/>
    <w:rsid w:val="00706FAB"/>
  </w:style>
  <w:style w:type="character" w:customStyle="1" w:styleId="EndnoteTextChar">
    <w:name w:val="Endnote Text Char"/>
    <w:basedOn w:val="DefaultParagraphFont"/>
    <w:link w:val="EndnoteText"/>
    <w:locked/>
    <w:rsid w:val="00706FAB"/>
    <w:rPr>
      <w:rFonts w:ascii="Arial" w:hAnsi="Arial" w:cs="Times New Roman"/>
      <w:lang w:val="en-AU" w:eastAsia="en-AU" w:bidi="ar-SA"/>
    </w:rPr>
  </w:style>
  <w:style w:type="character" w:styleId="EndnoteReference">
    <w:name w:val="endnote reference"/>
    <w:basedOn w:val="DefaultParagraphFont"/>
    <w:rsid w:val="00074CD6"/>
    <w:rPr>
      <w:rFonts w:ascii="Arial" w:hAnsi="Arial" w:cs="Times New Roman"/>
      <w:sz w:val="20"/>
      <w:vertAlign w:val="superscript"/>
    </w:rPr>
  </w:style>
  <w:style w:type="paragraph" w:styleId="BlockText">
    <w:name w:val="Block Text"/>
    <w:basedOn w:val="Normal"/>
    <w:locked/>
    <w:rsid w:val="00E45954"/>
    <w:pPr>
      <w:spacing w:after="120"/>
      <w:ind w:left="1440" w:right="1440"/>
    </w:pPr>
  </w:style>
  <w:style w:type="paragraph" w:styleId="BodyText">
    <w:name w:val="Body Text"/>
    <w:basedOn w:val="Normal"/>
    <w:link w:val="BodyTextChar"/>
    <w:locked/>
    <w:rsid w:val="00E45954"/>
    <w:pPr>
      <w:spacing w:after="120"/>
    </w:pPr>
  </w:style>
  <w:style w:type="character" w:customStyle="1" w:styleId="BodyTextChar">
    <w:name w:val="Body Text Char"/>
    <w:basedOn w:val="DefaultParagraphFont"/>
    <w:link w:val="BodyText"/>
    <w:locked/>
    <w:rsid w:val="00DE2F25"/>
    <w:rPr>
      <w:rFonts w:ascii="Arial" w:hAnsi="Arial" w:cs="Times New Roman"/>
      <w:spacing w:val="-5"/>
      <w:sz w:val="20"/>
      <w:szCs w:val="20"/>
      <w:lang w:eastAsia="en-US"/>
    </w:rPr>
  </w:style>
  <w:style w:type="paragraph" w:styleId="BodyText2">
    <w:name w:val="Body Text 2"/>
    <w:basedOn w:val="Normal"/>
    <w:link w:val="BodyText2Char"/>
    <w:semiHidden/>
    <w:locked/>
    <w:rsid w:val="00E45954"/>
    <w:pPr>
      <w:spacing w:after="120" w:line="480" w:lineRule="auto"/>
    </w:pPr>
  </w:style>
  <w:style w:type="character" w:customStyle="1" w:styleId="BodyText2Char">
    <w:name w:val="Body Text 2 Char"/>
    <w:basedOn w:val="DefaultParagraphFont"/>
    <w:link w:val="BodyText2"/>
    <w:semiHidden/>
    <w:locked/>
    <w:rsid w:val="00DE2F25"/>
    <w:rPr>
      <w:rFonts w:ascii="Arial" w:hAnsi="Arial" w:cs="Times New Roman"/>
      <w:spacing w:val="-5"/>
      <w:sz w:val="20"/>
      <w:szCs w:val="20"/>
      <w:lang w:eastAsia="en-US"/>
    </w:rPr>
  </w:style>
  <w:style w:type="paragraph" w:styleId="BodyText3">
    <w:name w:val="Body Text 3"/>
    <w:basedOn w:val="Normal"/>
    <w:link w:val="BodyText3Char"/>
    <w:semiHidden/>
    <w:locked/>
    <w:rsid w:val="00E45954"/>
    <w:pPr>
      <w:spacing w:after="120"/>
    </w:pPr>
    <w:rPr>
      <w:sz w:val="16"/>
      <w:szCs w:val="16"/>
    </w:rPr>
  </w:style>
  <w:style w:type="character" w:customStyle="1" w:styleId="BodyText3Char">
    <w:name w:val="Body Text 3 Char"/>
    <w:basedOn w:val="DefaultParagraphFont"/>
    <w:link w:val="BodyText3"/>
    <w:semiHidden/>
    <w:locked/>
    <w:rsid w:val="00DE2F25"/>
    <w:rPr>
      <w:rFonts w:ascii="Arial" w:hAnsi="Arial" w:cs="Times New Roman"/>
      <w:spacing w:val="-5"/>
      <w:sz w:val="16"/>
      <w:szCs w:val="16"/>
      <w:lang w:eastAsia="en-US"/>
    </w:rPr>
  </w:style>
  <w:style w:type="paragraph" w:styleId="BodyTextFirstIndent">
    <w:name w:val="Body Text First Indent"/>
    <w:basedOn w:val="BodyText"/>
    <w:link w:val="BodyTextFirstIndentChar"/>
    <w:semiHidden/>
    <w:locked/>
    <w:rsid w:val="00E45954"/>
    <w:pPr>
      <w:ind w:firstLine="210"/>
    </w:pPr>
  </w:style>
  <w:style w:type="character" w:customStyle="1" w:styleId="BodyTextFirstIndentChar">
    <w:name w:val="Body Text First Indent Char"/>
    <w:basedOn w:val="BodyTextChar"/>
    <w:link w:val="BodyTextFirstIndent"/>
    <w:semiHidden/>
    <w:locked/>
    <w:rsid w:val="00DE2F25"/>
    <w:rPr>
      <w:rFonts w:ascii="Arial" w:hAnsi="Arial" w:cs="Times New Roman"/>
      <w:spacing w:val="-5"/>
      <w:sz w:val="20"/>
      <w:szCs w:val="20"/>
      <w:lang w:eastAsia="en-US"/>
    </w:rPr>
  </w:style>
  <w:style w:type="paragraph" w:styleId="BodyTextIndent">
    <w:name w:val="Body Text Indent"/>
    <w:basedOn w:val="Normal"/>
    <w:link w:val="BodyTextIndentChar"/>
    <w:semiHidden/>
    <w:locked/>
    <w:rsid w:val="00E45954"/>
    <w:pPr>
      <w:spacing w:after="120"/>
      <w:ind w:left="283"/>
    </w:pPr>
  </w:style>
  <w:style w:type="character" w:customStyle="1" w:styleId="BodyTextIndentChar">
    <w:name w:val="Body Text Indent Char"/>
    <w:basedOn w:val="DefaultParagraphFont"/>
    <w:link w:val="BodyTextIndent"/>
    <w:semiHidden/>
    <w:locked/>
    <w:rsid w:val="00DE2F25"/>
    <w:rPr>
      <w:rFonts w:ascii="Arial" w:hAnsi="Arial" w:cs="Times New Roman"/>
      <w:spacing w:val="-5"/>
      <w:sz w:val="20"/>
      <w:szCs w:val="20"/>
      <w:lang w:eastAsia="en-US"/>
    </w:rPr>
  </w:style>
  <w:style w:type="paragraph" w:styleId="BodyTextFirstIndent2">
    <w:name w:val="Body Text First Indent 2"/>
    <w:basedOn w:val="BodyTextIndent"/>
    <w:link w:val="BodyTextFirstIndent2Char"/>
    <w:semiHidden/>
    <w:locked/>
    <w:rsid w:val="00E45954"/>
    <w:pPr>
      <w:ind w:firstLine="210"/>
    </w:pPr>
  </w:style>
  <w:style w:type="character" w:customStyle="1" w:styleId="BodyTextFirstIndent2Char">
    <w:name w:val="Body Text First Indent 2 Char"/>
    <w:basedOn w:val="BodyTextIndentChar"/>
    <w:link w:val="BodyTextFirstIndent2"/>
    <w:semiHidden/>
    <w:locked/>
    <w:rsid w:val="00DE2F25"/>
    <w:rPr>
      <w:rFonts w:ascii="Arial" w:hAnsi="Arial" w:cs="Times New Roman"/>
      <w:spacing w:val="-5"/>
      <w:sz w:val="20"/>
      <w:szCs w:val="20"/>
      <w:lang w:eastAsia="en-US"/>
    </w:rPr>
  </w:style>
  <w:style w:type="paragraph" w:styleId="BodyTextIndent2">
    <w:name w:val="Body Text Indent 2"/>
    <w:basedOn w:val="Normal"/>
    <w:link w:val="BodyTextIndent2Char"/>
    <w:semiHidden/>
    <w:locked/>
    <w:rsid w:val="00E45954"/>
    <w:pPr>
      <w:spacing w:after="120" w:line="480" w:lineRule="auto"/>
      <w:ind w:left="283"/>
    </w:pPr>
  </w:style>
  <w:style w:type="character" w:customStyle="1" w:styleId="BodyTextIndent2Char">
    <w:name w:val="Body Text Indent 2 Char"/>
    <w:basedOn w:val="DefaultParagraphFont"/>
    <w:link w:val="BodyTextIndent2"/>
    <w:semiHidden/>
    <w:locked/>
    <w:rsid w:val="00DE2F25"/>
    <w:rPr>
      <w:rFonts w:ascii="Arial" w:hAnsi="Arial" w:cs="Times New Roman"/>
      <w:spacing w:val="-5"/>
      <w:sz w:val="20"/>
      <w:szCs w:val="20"/>
      <w:lang w:eastAsia="en-US"/>
    </w:rPr>
  </w:style>
  <w:style w:type="paragraph" w:styleId="BodyTextIndent3">
    <w:name w:val="Body Text Indent 3"/>
    <w:basedOn w:val="Normal"/>
    <w:link w:val="BodyTextIndent3Char"/>
    <w:semiHidden/>
    <w:locked/>
    <w:rsid w:val="00E45954"/>
    <w:pPr>
      <w:spacing w:after="120"/>
      <w:ind w:left="283"/>
    </w:pPr>
    <w:rPr>
      <w:sz w:val="16"/>
      <w:szCs w:val="16"/>
    </w:rPr>
  </w:style>
  <w:style w:type="character" w:customStyle="1" w:styleId="BodyTextIndent3Char">
    <w:name w:val="Body Text Indent 3 Char"/>
    <w:basedOn w:val="DefaultParagraphFont"/>
    <w:link w:val="BodyTextIndent3"/>
    <w:semiHidden/>
    <w:locked/>
    <w:rsid w:val="00DE2F25"/>
    <w:rPr>
      <w:rFonts w:ascii="Arial" w:hAnsi="Arial" w:cs="Times New Roman"/>
      <w:spacing w:val="-5"/>
      <w:sz w:val="16"/>
      <w:szCs w:val="16"/>
      <w:lang w:eastAsia="en-US"/>
    </w:rPr>
  </w:style>
  <w:style w:type="paragraph" w:styleId="Closing">
    <w:name w:val="Closing"/>
    <w:basedOn w:val="Normal"/>
    <w:link w:val="ClosingChar"/>
    <w:semiHidden/>
    <w:locked/>
    <w:rsid w:val="00E45954"/>
    <w:pPr>
      <w:ind w:left="4252"/>
    </w:pPr>
  </w:style>
  <w:style w:type="character" w:customStyle="1" w:styleId="ClosingChar">
    <w:name w:val="Closing Char"/>
    <w:basedOn w:val="DefaultParagraphFont"/>
    <w:link w:val="Closing"/>
    <w:semiHidden/>
    <w:locked/>
    <w:rsid w:val="00DE2F25"/>
    <w:rPr>
      <w:rFonts w:ascii="Arial" w:hAnsi="Arial" w:cs="Times New Roman"/>
      <w:spacing w:val="-5"/>
      <w:sz w:val="20"/>
      <w:szCs w:val="20"/>
      <w:lang w:eastAsia="en-US"/>
    </w:rPr>
  </w:style>
  <w:style w:type="paragraph" w:styleId="Date">
    <w:name w:val="Date"/>
    <w:basedOn w:val="Normal"/>
    <w:next w:val="Normal"/>
    <w:link w:val="DateChar"/>
    <w:semiHidden/>
    <w:locked/>
    <w:rsid w:val="00E45954"/>
  </w:style>
  <w:style w:type="character" w:customStyle="1" w:styleId="DateChar">
    <w:name w:val="Date Char"/>
    <w:basedOn w:val="DefaultParagraphFont"/>
    <w:link w:val="Date"/>
    <w:semiHidden/>
    <w:locked/>
    <w:rsid w:val="00DE2F25"/>
    <w:rPr>
      <w:rFonts w:ascii="Arial" w:hAnsi="Arial" w:cs="Times New Roman"/>
      <w:spacing w:val="-5"/>
      <w:sz w:val="20"/>
      <w:szCs w:val="20"/>
      <w:lang w:eastAsia="en-US"/>
    </w:rPr>
  </w:style>
  <w:style w:type="paragraph" w:styleId="E-mailSignature">
    <w:name w:val="E-mail Signature"/>
    <w:basedOn w:val="Normal"/>
    <w:link w:val="E-mailSignatureChar"/>
    <w:semiHidden/>
    <w:locked/>
    <w:rsid w:val="00E45954"/>
  </w:style>
  <w:style w:type="character" w:customStyle="1" w:styleId="E-mailSignatureChar">
    <w:name w:val="E-mail Signature Char"/>
    <w:basedOn w:val="DefaultParagraphFont"/>
    <w:link w:val="E-mailSignature"/>
    <w:semiHidden/>
    <w:locked/>
    <w:rsid w:val="00DE2F25"/>
    <w:rPr>
      <w:rFonts w:ascii="Arial" w:hAnsi="Arial" w:cs="Times New Roman"/>
      <w:spacing w:val="-5"/>
      <w:sz w:val="20"/>
      <w:szCs w:val="20"/>
      <w:lang w:eastAsia="en-US"/>
    </w:rPr>
  </w:style>
  <w:style w:type="character" w:styleId="Emphasis">
    <w:name w:val="Emphasis"/>
    <w:basedOn w:val="DefaultParagraphFont"/>
    <w:uiPriority w:val="99"/>
    <w:qFormat/>
    <w:locked/>
    <w:rsid w:val="00E45954"/>
    <w:rPr>
      <w:rFonts w:cs="Times New Roman"/>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rPr>
  </w:style>
  <w:style w:type="character" w:styleId="FootnoteReference">
    <w:name w:val="footnote reference"/>
    <w:basedOn w:val="DefaultParagraphFont"/>
    <w:semiHidden/>
    <w:rsid w:val="00074CD6"/>
    <w:rPr>
      <w:rFonts w:ascii="Arial" w:hAnsi="Arial" w:cs="Times New Roman"/>
      <w:sz w:val="20"/>
      <w:vertAlign w:val="superscript"/>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Footnote Text Char2 Ch"/>
    <w:basedOn w:val="Normal"/>
    <w:link w:val="FootnoteTextChar"/>
    <w:rsid w:val="00706FAB"/>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
    <w:basedOn w:val="DefaultParagraphFont"/>
    <w:link w:val="FootnoteText"/>
    <w:locked/>
    <w:rsid w:val="00706FAB"/>
    <w:rPr>
      <w:rFonts w:ascii="Arial" w:hAnsi="Arial" w:cs="Times New Roman"/>
      <w:lang w:val="en-AU" w:eastAsia="en-AU" w:bidi="ar-SA"/>
    </w:rPr>
  </w:style>
  <w:style w:type="character" w:styleId="HTMLAcronym">
    <w:name w:val="HTML Acronym"/>
    <w:basedOn w:val="DefaultParagraphFont"/>
    <w:semiHidden/>
    <w:locked/>
    <w:rsid w:val="00E45954"/>
    <w:rPr>
      <w:rFonts w:cs="Times New Roman"/>
    </w:rPr>
  </w:style>
  <w:style w:type="paragraph" w:styleId="HTMLAddress">
    <w:name w:val="HTML Address"/>
    <w:basedOn w:val="Normal"/>
    <w:link w:val="HTMLAddressChar"/>
    <w:semiHidden/>
    <w:locked/>
    <w:rsid w:val="00E45954"/>
    <w:rPr>
      <w:i/>
      <w:iCs/>
    </w:rPr>
  </w:style>
  <w:style w:type="character" w:customStyle="1" w:styleId="HTMLAddressChar">
    <w:name w:val="HTML Address Char"/>
    <w:basedOn w:val="DefaultParagraphFont"/>
    <w:link w:val="HTMLAddress"/>
    <w:semiHidden/>
    <w:locked/>
    <w:rsid w:val="00DE2F25"/>
    <w:rPr>
      <w:rFonts w:ascii="Arial" w:hAnsi="Arial" w:cs="Times New Roman"/>
      <w:i/>
      <w:iCs/>
      <w:spacing w:val="-5"/>
      <w:sz w:val="20"/>
      <w:szCs w:val="20"/>
      <w:lang w:eastAsia="en-US"/>
    </w:rPr>
  </w:style>
  <w:style w:type="character" w:styleId="HTMLCite">
    <w:name w:val="HTML Cite"/>
    <w:basedOn w:val="DefaultParagraphFont"/>
    <w:semiHidden/>
    <w:locked/>
    <w:rsid w:val="00E45954"/>
    <w:rPr>
      <w:rFonts w:cs="Times New Roman"/>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rFonts w:cs="Times New Roman"/>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semiHidden/>
    <w:locked/>
    <w:rsid w:val="00E45954"/>
    <w:rPr>
      <w:rFonts w:ascii="Courier New" w:hAnsi="Courier New" w:cs="Courier New"/>
    </w:rPr>
  </w:style>
  <w:style w:type="character" w:customStyle="1" w:styleId="HTMLPreformattedChar">
    <w:name w:val="HTML Preformatted Char"/>
    <w:basedOn w:val="DefaultParagraphFont"/>
    <w:link w:val="HTMLPreformatted"/>
    <w:semiHidden/>
    <w:locked/>
    <w:rsid w:val="00DE2F25"/>
    <w:rPr>
      <w:rFonts w:ascii="Courier New" w:hAnsi="Courier New" w:cs="Courier New"/>
      <w:spacing w:val="-5"/>
      <w:sz w:val="20"/>
      <w:szCs w:val="20"/>
      <w:lang w:eastAsia="en-US"/>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rFonts w:cs="Times New Roman"/>
      <w:i/>
      <w:iCs/>
    </w:rPr>
  </w:style>
  <w:style w:type="character" w:styleId="LineNumber">
    <w:name w:val="line number"/>
    <w:basedOn w:val="DefaultParagraphFont"/>
    <w:semiHidden/>
    <w:locked/>
    <w:rsid w:val="00E45954"/>
    <w:rPr>
      <w:rFonts w:cs="Times New Roman"/>
    </w:rPr>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2">
    <w:name w:val="List Bullet 2"/>
    <w:basedOn w:val="Normal"/>
    <w:semiHidden/>
    <w:locked/>
    <w:rsid w:val="00E45954"/>
    <w:pPr>
      <w:tabs>
        <w:tab w:val="num" w:pos="643"/>
      </w:tabs>
      <w:ind w:left="643" w:hanging="360"/>
    </w:pPr>
  </w:style>
  <w:style w:type="paragraph" w:styleId="ListBullet3">
    <w:name w:val="List Bullet 3"/>
    <w:basedOn w:val="Normal"/>
    <w:semiHidden/>
    <w:locked/>
    <w:rsid w:val="00E45954"/>
    <w:pPr>
      <w:tabs>
        <w:tab w:val="num" w:pos="926"/>
      </w:tabs>
      <w:ind w:left="926" w:hanging="360"/>
    </w:pPr>
  </w:style>
  <w:style w:type="paragraph" w:styleId="ListBullet4">
    <w:name w:val="List Bullet 4"/>
    <w:basedOn w:val="Normal"/>
    <w:semiHidden/>
    <w:locked/>
    <w:rsid w:val="00E45954"/>
    <w:pPr>
      <w:tabs>
        <w:tab w:val="num" w:pos="1209"/>
      </w:tabs>
      <w:ind w:left="1209" w:hanging="360"/>
    </w:pPr>
  </w:style>
  <w:style w:type="paragraph" w:styleId="ListBullet5">
    <w:name w:val="List Bullet 5"/>
    <w:basedOn w:val="Normal"/>
    <w:semiHidden/>
    <w:locked/>
    <w:rsid w:val="00E45954"/>
    <w:pPr>
      <w:tabs>
        <w:tab w:val="num" w:pos="1492"/>
      </w:tabs>
      <w:ind w:left="1492" w:hanging="360"/>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tabs>
        <w:tab w:val="num" w:pos="360"/>
      </w:tabs>
      <w:ind w:left="360" w:hanging="360"/>
    </w:pPr>
  </w:style>
  <w:style w:type="paragraph" w:styleId="ListNumber2">
    <w:name w:val="List Number 2"/>
    <w:basedOn w:val="Normal"/>
    <w:semiHidden/>
    <w:locked/>
    <w:rsid w:val="00E45954"/>
    <w:pPr>
      <w:tabs>
        <w:tab w:val="num" w:pos="643"/>
      </w:tabs>
      <w:ind w:left="643" w:hanging="360"/>
    </w:pPr>
  </w:style>
  <w:style w:type="paragraph" w:styleId="ListNumber3">
    <w:name w:val="List Number 3"/>
    <w:basedOn w:val="Normal"/>
    <w:semiHidden/>
    <w:locked/>
    <w:rsid w:val="00E45954"/>
    <w:pPr>
      <w:tabs>
        <w:tab w:val="num" w:pos="926"/>
      </w:tabs>
      <w:ind w:left="926" w:hanging="360"/>
    </w:pPr>
  </w:style>
  <w:style w:type="paragraph" w:styleId="ListNumber4">
    <w:name w:val="List Number 4"/>
    <w:basedOn w:val="Normal"/>
    <w:semiHidden/>
    <w:locked/>
    <w:rsid w:val="00E45954"/>
    <w:pPr>
      <w:tabs>
        <w:tab w:val="num" w:pos="1209"/>
      </w:tabs>
      <w:ind w:left="1209" w:hanging="360"/>
    </w:pPr>
  </w:style>
  <w:style w:type="paragraph" w:styleId="ListNumber5">
    <w:name w:val="List Number 5"/>
    <w:basedOn w:val="Normal"/>
    <w:semiHidden/>
    <w:locked/>
    <w:rsid w:val="00E45954"/>
    <w:pPr>
      <w:tabs>
        <w:tab w:val="num" w:pos="1492"/>
      </w:tabs>
      <w:ind w:left="1492" w:hanging="360"/>
    </w:pPr>
  </w:style>
  <w:style w:type="paragraph" w:styleId="MessageHeader">
    <w:name w:val="Message Header"/>
    <w:basedOn w:val="Normal"/>
    <w:link w:val="MessageHeaderChar"/>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locked/>
    <w:rsid w:val="00DE2F25"/>
    <w:rPr>
      <w:rFonts w:ascii="Cambria" w:hAnsi="Cambria" w:cs="Times New Roman"/>
      <w:spacing w:val="-5"/>
      <w:sz w:val="24"/>
      <w:szCs w:val="24"/>
      <w:shd w:val="pct20" w:color="auto" w:fill="auto"/>
      <w:lang w:eastAsia="en-US"/>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locked/>
    <w:rsid w:val="00E45954"/>
    <w:pPr>
      <w:ind w:left="720"/>
    </w:pPr>
  </w:style>
  <w:style w:type="paragraph" w:styleId="NoteHeading">
    <w:name w:val="Note Heading"/>
    <w:basedOn w:val="Normal"/>
    <w:next w:val="Normal"/>
    <w:link w:val="NoteHeadingChar"/>
    <w:locked/>
    <w:rsid w:val="00E45954"/>
  </w:style>
  <w:style w:type="character" w:customStyle="1" w:styleId="NoteHeadingChar">
    <w:name w:val="Note Heading Char"/>
    <w:basedOn w:val="DefaultParagraphFont"/>
    <w:link w:val="NoteHeading"/>
    <w:locked/>
    <w:rsid w:val="00DE2F25"/>
    <w:rPr>
      <w:rFonts w:ascii="Arial" w:hAnsi="Arial" w:cs="Times New Roman"/>
      <w:spacing w:val="-5"/>
      <w:sz w:val="20"/>
      <w:szCs w:val="20"/>
      <w:lang w:eastAsia="en-US"/>
    </w:rPr>
  </w:style>
  <w:style w:type="character" w:styleId="PageNumber">
    <w:name w:val="page number"/>
    <w:basedOn w:val="DefaultParagraphFont"/>
    <w:locked/>
    <w:rsid w:val="00E45954"/>
    <w:rPr>
      <w:rFonts w:cs="Times New Roman"/>
    </w:rPr>
  </w:style>
  <w:style w:type="paragraph" w:styleId="PlainText">
    <w:name w:val="Plain Text"/>
    <w:basedOn w:val="Normal"/>
    <w:link w:val="PlainTextChar"/>
    <w:semiHidden/>
    <w:locked/>
    <w:rsid w:val="00E45954"/>
    <w:rPr>
      <w:rFonts w:ascii="Courier New" w:hAnsi="Courier New" w:cs="Courier New"/>
    </w:rPr>
  </w:style>
  <w:style w:type="character" w:customStyle="1" w:styleId="PlainTextChar">
    <w:name w:val="Plain Text Char"/>
    <w:basedOn w:val="DefaultParagraphFont"/>
    <w:link w:val="PlainText"/>
    <w:semiHidden/>
    <w:locked/>
    <w:rsid w:val="00DE2F25"/>
    <w:rPr>
      <w:rFonts w:ascii="Courier New" w:hAnsi="Courier New" w:cs="Courier New"/>
      <w:spacing w:val="-5"/>
      <w:sz w:val="20"/>
      <w:szCs w:val="20"/>
      <w:lang w:eastAsia="en-US"/>
    </w:rPr>
  </w:style>
  <w:style w:type="paragraph" w:styleId="Salutation">
    <w:name w:val="Salutation"/>
    <w:basedOn w:val="Normal"/>
    <w:next w:val="Normal"/>
    <w:link w:val="SalutationChar"/>
    <w:semiHidden/>
    <w:locked/>
    <w:rsid w:val="00E45954"/>
  </w:style>
  <w:style w:type="character" w:customStyle="1" w:styleId="SalutationChar">
    <w:name w:val="Salutation Char"/>
    <w:basedOn w:val="DefaultParagraphFont"/>
    <w:link w:val="Salutation"/>
    <w:semiHidden/>
    <w:locked/>
    <w:rsid w:val="00DE2F25"/>
    <w:rPr>
      <w:rFonts w:ascii="Arial" w:hAnsi="Arial" w:cs="Times New Roman"/>
      <w:spacing w:val="-5"/>
      <w:sz w:val="20"/>
      <w:szCs w:val="20"/>
      <w:lang w:eastAsia="en-US"/>
    </w:rPr>
  </w:style>
  <w:style w:type="paragraph" w:styleId="Signature">
    <w:name w:val="Signature"/>
    <w:basedOn w:val="Normal"/>
    <w:link w:val="SignatureChar"/>
    <w:semiHidden/>
    <w:locked/>
    <w:rsid w:val="00E45954"/>
    <w:pPr>
      <w:ind w:left="4252"/>
    </w:pPr>
  </w:style>
  <w:style w:type="character" w:customStyle="1" w:styleId="SignatureChar">
    <w:name w:val="Signature Char"/>
    <w:basedOn w:val="DefaultParagraphFont"/>
    <w:link w:val="Signature"/>
    <w:semiHidden/>
    <w:locked/>
    <w:rsid w:val="00DE2F25"/>
    <w:rPr>
      <w:rFonts w:ascii="Arial" w:hAnsi="Arial" w:cs="Times New Roman"/>
      <w:spacing w:val="-5"/>
      <w:sz w:val="20"/>
      <w:szCs w:val="20"/>
      <w:lang w:eastAsia="en-US"/>
    </w:rPr>
  </w:style>
  <w:style w:type="paragraph" w:styleId="Subtitle">
    <w:name w:val="Subtitle"/>
    <w:basedOn w:val="Normal"/>
    <w:link w:val="SubtitleChar"/>
    <w:qFormat/>
    <w:locked/>
    <w:rsid w:val="00E45954"/>
    <w:pPr>
      <w:spacing w:after="60"/>
      <w:jc w:val="center"/>
      <w:outlineLvl w:val="1"/>
    </w:pPr>
    <w:rPr>
      <w:rFonts w:cs="Arial"/>
    </w:rPr>
  </w:style>
  <w:style w:type="character" w:customStyle="1" w:styleId="SubtitleChar">
    <w:name w:val="Subtitle Char"/>
    <w:basedOn w:val="DefaultParagraphFont"/>
    <w:link w:val="Subtitle"/>
    <w:locked/>
    <w:rsid w:val="00DE2F25"/>
    <w:rPr>
      <w:rFonts w:ascii="Cambria" w:hAnsi="Cambria" w:cs="Times New Roman"/>
      <w:spacing w:val="-5"/>
      <w:sz w:val="24"/>
      <w:szCs w:val="24"/>
      <w:lang w:eastAsia="en-US"/>
    </w:rPr>
  </w:style>
  <w:style w:type="table" w:styleId="Table3Deffects1">
    <w:name w:val="Table 3D effects 1"/>
    <w:basedOn w:val="TableNormal"/>
    <w:semiHidden/>
    <w:locked/>
    <w:rsid w:val="00E45954"/>
    <w:pPr>
      <w:spacing w:after="240"/>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locked/>
    <w:rsid w:val="00E45954"/>
    <w:pPr>
      <w:spacing w:after="240"/>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locked/>
    <w:rsid w:val="00E45954"/>
    <w:pPr>
      <w:spacing w:after="240"/>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before="240" w:after="60"/>
      <w:jc w:val="center"/>
      <w:outlineLvl w:val="0"/>
    </w:pPr>
    <w:rPr>
      <w:rFonts w:cs="Arial"/>
      <w:b/>
      <w:bCs/>
      <w:kern w:val="28"/>
      <w:sz w:val="32"/>
      <w:szCs w:val="32"/>
    </w:rPr>
  </w:style>
  <w:style w:type="character" w:customStyle="1" w:styleId="TitleChar">
    <w:name w:val="Title Char"/>
    <w:basedOn w:val="DefaultParagraphFont"/>
    <w:link w:val="Title"/>
    <w:locked/>
    <w:rsid w:val="00DE2F25"/>
    <w:rPr>
      <w:rFonts w:ascii="Cambria" w:hAnsi="Cambria" w:cs="Times New Roman"/>
      <w:b/>
      <w:bCs/>
      <w:spacing w:val="-5"/>
      <w:kern w:val="28"/>
      <w:sz w:val="32"/>
      <w:szCs w:val="32"/>
      <w:lang w:eastAsia="en-US"/>
    </w:rPr>
  </w:style>
  <w:style w:type="character" w:styleId="FollowedHyperlink">
    <w:name w:val="FollowedHyperlink"/>
    <w:basedOn w:val="DefaultParagraphFont"/>
    <w:semiHidden/>
    <w:locked/>
    <w:rsid w:val="00E45954"/>
    <w:rPr>
      <w:rFonts w:cs="Times New Roman"/>
      <w:color w:val="800080"/>
      <w:u w:val="single"/>
    </w:rPr>
  </w:style>
  <w:style w:type="paragraph" w:styleId="ListBullet">
    <w:name w:val="List Bullet"/>
    <w:basedOn w:val="Normal"/>
    <w:semiHidden/>
    <w:locked/>
    <w:rsid w:val="00950E88"/>
    <w:pPr>
      <w:tabs>
        <w:tab w:val="num" w:pos="360"/>
      </w:tabs>
      <w:ind w:left="360" w:hanging="360"/>
    </w:pPr>
  </w:style>
  <w:style w:type="paragraph" w:customStyle="1" w:styleId="Contactdetails">
    <w:name w:val="Contact details"/>
    <w:basedOn w:val="Normal"/>
    <w:rsid w:val="002702D9"/>
    <w:pPr>
      <w:keepNex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lang w:val="en-US"/>
    </w:rPr>
  </w:style>
  <w:style w:type="character" w:customStyle="1" w:styleId="CharChar9">
    <w:name w:val="Char Char9"/>
    <w:basedOn w:val="DefaultParagraphFont"/>
    <w:semiHidden/>
    <w:locked/>
    <w:rsid w:val="001C451B"/>
    <w:rPr>
      <w:rFonts w:ascii="Arial" w:hAnsi="Arial" w:cs="Times New Roman"/>
      <w:bCs/>
      <w:i/>
      <w:sz w:val="26"/>
      <w:szCs w:val="26"/>
      <w:lang w:val="en-AU" w:eastAsia="en-AU" w:bidi="ar-SA"/>
    </w:rPr>
  </w:style>
  <w:style w:type="character" w:customStyle="1" w:styleId="CharChar8">
    <w:name w:val="Char Char8"/>
    <w:basedOn w:val="DefaultParagraphFont"/>
    <w:semiHidden/>
    <w:locked/>
    <w:rsid w:val="001C451B"/>
    <w:rPr>
      <w:rFonts w:ascii="Arial" w:hAnsi="Arial" w:cs="Times New Roman"/>
      <w:iCs/>
      <w:sz w:val="26"/>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paragraph" w:customStyle="1" w:styleId="DocumentLabel">
    <w:name w:val="Document Label"/>
    <w:basedOn w:val="Normal"/>
    <w:next w:val="Normal"/>
    <w:uiPriority w:val="99"/>
    <w:rsid w:val="004E5579"/>
    <w:pPr>
      <w:keepNext/>
      <w:spacing w:before="400" w:after="120" w:line="240" w:lineRule="atLeast"/>
      <w:ind w:left="-840"/>
    </w:pPr>
    <w:rPr>
      <w:rFonts w:ascii="Arial Black" w:hAnsi="Arial Black"/>
      <w:kern w:val="28"/>
      <w:sz w:val="96"/>
    </w:rPr>
  </w:style>
  <w:style w:type="character" w:styleId="CommentReference">
    <w:name w:val="annotation reference"/>
    <w:basedOn w:val="DefaultParagraphFont"/>
    <w:locked/>
    <w:rsid w:val="00C27C28"/>
    <w:rPr>
      <w:rFonts w:cs="Times New Roman"/>
      <w:sz w:val="16"/>
      <w:szCs w:val="16"/>
    </w:rPr>
  </w:style>
  <w:style w:type="paragraph" w:styleId="CommentText">
    <w:name w:val="annotation text"/>
    <w:basedOn w:val="Normal"/>
    <w:link w:val="CommentTextChar"/>
    <w:locked/>
    <w:rsid w:val="00C27C28"/>
  </w:style>
  <w:style w:type="character" w:customStyle="1" w:styleId="CommentTextChar">
    <w:name w:val="Comment Text Char"/>
    <w:basedOn w:val="DefaultParagraphFont"/>
    <w:link w:val="CommentText"/>
    <w:locked/>
    <w:rsid w:val="00DE2F25"/>
    <w:rPr>
      <w:rFonts w:ascii="Arial" w:hAnsi="Arial" w:cs="Times New Roman"/>
      <w:spacing w:val="-5"/>
      <w:sz w:val="20"/>
      <w:szCs w:val="20"/>
      <w:lang w:eastAsia="en-US"/>
    </w:rPr>
  </w:style>
  <w:style w:type="paragraph" w:styleId="CommentSubject">
    <w:name w:val="annotation subject"/>
    <w:basedOn w:val="CommentText"/>
    <w:next w:val="CommentText"/>
    <w:link w:val="CommentSubjectChar"/>
    <w:locked/>
    <w:rsid w:val="00C27C28"/>
    <w:rPr>
      <w:b/>
      <w:bCs/>
    </w:rPr>
  </w:style>
  <w:style w:type="character" w:customStyle="1" w:styleId="CommentSubjectChar">
    <w:name w:val="Comment Subject Char"/>
    <w:basedOn w:val="CommentTextChar"/>
    <w:link w:val="CommentSubject"/>
    <w:locked/>
    <w:rsid w:val="00DE2F25"/>
    <w:rPr>
      <w:rFonts w:ascii="Arial" w:hAnsi="Arial" w:cs="Times New Roman"/>
      <w:b/>
      <w:bCs/>
      <w:spacing w:val="-5"/>
      <w:sz w:val="20"/>
      <w:szCs w:val="20"/>
      <w:lang w:eastAsia="en-US"/>
    </w:rPr>
  </w:style>
  <w:style w:type="character" w:customStyle="1" w:styleId="BalloonTextChar1">
    <w:name w:val="Balloon Text Char1"/>
    <w:basedOn w:val="DefaultParagraphFont"/>
    <w:link w:val="BalloonText"/>
    <w:locked/>
    <w:rsid w:val="00DE2F25"/>
    <w:rPr>
      <w:rFonts w:cs="Times New Roman"/>
      <w:spacing w:val="-5"/>
      <w:sz w:val="2"/>
      <w:lang w:eastAsia="en-US"/>
    </w:rPr>
  </w:style>
  <w:style w:type="character" w:customStyle="1" w:styleId="citation">
    <w:name w:val="citation"/>
    <w:basedOn w:val="DefaultParagraphFont"/>
    <w:uiPriority w:val="99"/>
    <w:rsid w:val="00740B7E"/>
    <w:rPr>
      <w:rFonts w:cs="Times New Roman"/>
    </w:rPr>
  </w:style>
  <w:style w:type="paragraph" w:customStyle="1" w:styleId="Definition">
    <w:name w:val="Definition"/>
    <w:aliases w:val="dd"/>
    <w:basedOn w:val="Normal"/>
    <w:uiPriority w:val="99"/>
    <w:rsid w:val="003972AD"/>
    <w:pPr>
      <w:autoSpaceDE w:val="0"/>
      <w:autoSpaceDN w:val="0"/>
      <w:spacing w:before="180" w:line="260" w:lineRule="atLeast"/>
      <w:ind w:left="1134"/>
    </w:pPr>
    <w:rPr>
      <w:rFonts w:ascii="Times" w:hAnsi="Times" w:cs="Times"/>
      <w:spacing w:val="0"/>
      <w:sz w:val="22"/>
      <w:szCs w:val="22"/>
      <w:lang w:eastAsia="en-AU"/>
    </w:rPr>
  </w:style>
  <w:style w:type="paragraph" w:customStyle="1" w:styleId="indenta">
    <w:name w:val="indent(a)"/>
    <w:aliases w:val="a,paragraph"/>
    <w:basedOn w:val="Normal"/>
    <w:rsid w:val="003972AD"/>
    <w:pPr>
      <w:tabs>
        <w:tab w:val="right" w:pos="1531"/>
      </w:tabs>
      <w:autoSpaceDE w:val="0"/>
      <w:autoSpaceDN w:val="0"/>
      <w:spacing w:before="40" w:line="260" w:lineRule="atLeast"/>
      <w:ind w:left="1644" w:hanging="1644"/>
    </w:pPr>
    <w:rPr>
      <w:rFonts w:ascii="Times" w:hAnsi="Times" w:cs="Times"/>
      <w:spacing w:val="0"/>
      <w:sz w:val="22"/>
      <w:szCs w:val="22"/>
      <w:lang w:eastAsia="en-AU"/>
    </w:rPr>
  </w:style>
  <w:style w:type="paragraph" w:customStyle="1" w:styleId="indentii">
    <w:name w:val="indent(ii)"/>
    <w:aliases w:val="aa,paragraph(sub)"/>
    <w:basedOn w:val="indenta"/>
    <w:rsid w:val="003972AD"/>
    <w:pPr>
      <w:tabs>
        <w:tab w:val="clear" w:pos="1531"/>
        <w:tab w:val="right" w:pos="1985"/>
      </w:tabs>
      <w:ind w:left="2098" w:hanging="2098"/>
    </w:pPr>
  </w:style>
  <w:style w:type="character" w:customStyle="1" w:styleId="streetline">
    <w:name w:val="streetline"/>
    <w:basedOn w:val="DefaultParagraphFont"/>
    <w:uiPriority w:val="99"/>
    <w:rsid w:val="00244506"/>
    <w:rPr>
      <w:rFonts w:cs="Times New Roman"/>
    </w:rPr>
  </w:style>
  <w:style w:type="character" w:customStyle="1" w:styleId="locality3">
    <w:name w:val="locality3"/>
    <w:basedOn w:val="DefaultParagraphFont"/>
    <w:uiPriority w:val="99"/>
    <w:rsid w:val="00244506"/>
    <w:rPr>
      <w:rFonts w:cs="Times New Roman"/>
      <w:color w:val="666666"/>
    </w:rPr>
  </w:style>
  <w:style w:type="character" w:customStyle="1" w:styleId="state">
    <w:name w:val="state"/>
    <w:basedOn w:val="DefaultParagraphFont"/>
    <w:uiPriority w:val="99"/>
    <w:rsid w:val="00244506"/>
    <w:rPr>
      <w:rFonts w:cs="Times New Roman"/>
    </w:rPr>
  </w:style>
  <w:style w:type="character" w:customStyle="1" w:styleId="postcode">
    <w:name w:val="postcode"/>
    <w:basedOn w:val="DefaultParagraphFont"/>
    <w:uiPriority w:val="99"/>
    <w:rsid w:val="00244506"/>
    <w:rPr>
      <w:rFonts w:cs="Times New Roman"/>
    </w:rPr>
  </w:style>
  <w:style w:type="paragraph" w:styleId="Revision">
    <w:name w:val="Revision"/>
    <w:hidden/>
    <w:uiPriority w:val="99"/>
    <w:semiHidden/>
    <w:rsid w:val="002314FC"/>
    <w:rPr>
      <w:rFonts w:ascii="Arial" w:hAnsi="Arial"/>
      <w:spacing w:val="-5"/>
      <w:sz w:val="20"/>
      <w:szCs w:val="20"/>
      <w:lang w:eastAsia="en-US"/>
    </w:rPr>
  </w:style>
  <w:style w:type="paragraph" w:customStyle="1" w:styleId="subsection">
    <w:name w:val="subsection"/>
    <w:aliases w:val="ss"/>
    <w:rsid w:val="003C0EE0"/>
    <w:pPr>
      <w:tabs>
        <w:tab w:val="right" w:pos="1021"/>
      </w:tabs>
      <w:spacing w:before="180"/>
      <w:ind w:left="1134" w:hanging="1134"/>
    </w:pPr>
  </w:style>
  <w:style w:type="paragraph" w:customStyle="1" w:styleId="Style1">
    <w:name w:val="Style1"/>
    <w:basedOn w:val="FootnoteText"/>
    <w:uiPriority w:val="99"/>
    <w:rsid w:val="00A247AA"/>
  </w:style>
  <w:style w:type="paragraph" w:customStyle="1" w:styleId="SubmissionNormal">
    <w:name w:val="Submission Normal"/>
    <w:aliases w:val="No Spacing,No Spacing1"/>
    <w:basedOn w:val="Normal"/>
    <w:link w:val="SubmissionNormalChar"/>
    <w:rsid w:val="00306EBC"/>
    <w:pPr>
      <w:numPr>
        <w:numId w:val="6"/>
      </w:numPr>
      <w:spacing w:before="240" w:after="240"/>
    </w:pPr>
    <w:rPr>
      <w:spacing w:val="0"/>
      <w:szCs w:val="24"/>
      <w:lang w:eastAsia="en-AU"/>
    </w:rPr>
  </w:style>
  <w:style w:type="character" w:customStyle="1" w:styleId="SubmissionNormalChar">
    <w:name w:val="Submission Normal Char"/>
    <w:aliases w:val="No Spacing Char,No Spacing1 Char"/>
    <w:basedOn w:val="DefaultParagraphFont"/>
    <w:link w:val="SubmissionNormal"/>
    <w:locked/>
    <w:rsid w:val="00306EBC"/>
    <w:rPr>
      <w:rFonts w:ascii="Arial" w:hAnsi="Arial"/>
      <w:sz w:val="24"/>
      <w:szCs w:val="24"/>
    </w:rPr>
  </w:style>
  <w:style w:type="paragraph" w:customStyle="1" w:styleId="msolistparagraph0">
    <w:name w:val="msolistparagraph"/>
    <w:basedOn w:val="Normal"/>
    <w:uiPriority w:val="99"/>
    <w:rsid w:val="00D35380"/>
    <w:pPr>
      <w:ind w:left="720"/>
    </w:pPr>
    <w:rPr>
      <w:rFonts w:ascii="Calibri" w:hAnsi="Calibri"/>
      <w:spacing w:val="0"/>
      <w:sz w:val="22"/>
      <w:szCs w:val="22"/>
      <w:lang w:eastAsia="en-AU"/>
    </w:rPr>
  </w:style>
  <w:style w:type="paragraph" w:customStyle="1" w:styleId="MainTitle">
    <w:name w:val="Main Title"/>
    <w:uiPriority w:val="99"/>
    <w:semiHidden/>
    <w:rsid w:val="00BE2BC6"/>
    <w:pPr>
      <w:pBdr>
        <w:top w:val="single" w:sz="12" w:space="10" w:color="0070C0"/>
        <w:bottom w:val="single" w:sz="12" w:space="10" w:color="0070C0"/>
      </w:pBdr>
      <w:spacing w:before="240" w:after="240"/>
    </w:pPr>
    <w:rPr>
      <w:rFonts w:ascii="Arial" w:hAnsi="Arial"/>
      <w:bCs/>
      <w:kern w:val="32"/>
      <w:sz w:val="100"/>
      <w:szCs w:val="32"/>
    </w:rPr>
  </w:style>
  <w:style w:type="numbering" w:styleId="ArticleSection">
    <w:name w:val="Outline List 3"/>
    <w:basedOn w:val="NoList"/>
    <w:semiHidden/>
    <w:unhideWhenUsed/>
    <w:locked/>
    <w:rsid w:val="00F04B47"/>
    <w:pPr>
      <w:numPr>
        <w:numId w:val="3"/>
      </w:numPr>
    </w:pPr>
  </w:style>
  <w:style w:type="numbering" w:styleId="1ai">
    <w:name w:val="Outline List 1"/>
    <w:basedOn w:val="NoList"/>
    <w:semiHidden/>
    <w:unhideWhenUsed/>
    <w:locked/>
    <w:rsid w:val="00F04B47"/>
    <w:pPr>
      <w:numPr>
        <w:numId w:val="2"/>
      </w:numPr>
    </w:pPr>
  </w:style>
  <w:style w:type="numbering" w:customStyle="1" w:styleId="StyleNumbered">
    <w:name w:val="Style Numbered"/>
    <w:rsid w:val="00F04B47"/>
    <w:pPr>
      <w:numPr>
        <w:numId w:val="4"/>
      </w:numPr>
    </w:pPr>
  </w:style>
  <w:style w:type="numbering" w:styleId="111111">
    <w:name w:val="Outline List 2"/>
    <w:basedOn w:val="NoList"/>
    <w:semiHidden/>
    <w:unhideWhenUsed/>
    <w:locked/>
    <w:rsid w:val="00F04B47"/>
    <w:pPr>
      <w:numPr>
        <w:numId w:val="1"/>
      </w:numPr>
    </w:pPr>
  </w:style>
  <w:style w:type="paragraph" w:styleId="ListParagraph">
    <w:name w:val="List Paragraph"/>
    <w:basedOn w:val="Normal"/>
    <w:uiPriority w:val="34"/>
    <w:qFormat/>
    <w:rsid w:val="006935F1"/>
    <w:pPr>
      <w:ind w:left="720"/>
      <w:contextualSpacing/>
    </w:pPr>
  </w:style>
  <w:style w:type="paragraph" w:customStyle="1" w:styleId="paragraphsub">
    <w:name w:val="paragraphsub"/>
    <w:basedOn w:val="Normal"/>
    <w:rsid w:val="006A539A"/>
    <w:pPr>
      <w:spacing w:before="100" w:beforeAutospacing="1" w:after="100" w:afterAutospacing="1"/>
    </w:pPr>
    <w:rPr>
      <w:rFonts w:ascii="Times New Roman" w:hAnsi="Times New Roman"/>
      <w:spacing w:val="0"/>
      <w:szCs w:val="24"/>
      <w:lang w:eastAsia="en-AU"/>
    </w:rPr>
  </w:style>
  <w:style w:type="character" w:customStyle="1" w:styleId="EndnoteTextChar1">
    <w:name w:val="Endnote Text Char1"/>
    <w:rsid w:val="004D61EA"/>
    <w:rPr>
      <w:rFonts w:ascii="Arial" w:hAnsi="Arial"/>
    </w:rPr>
  </w:style>
  <w:style w:type="numbering" w:customStyle="1" w:styleId="NoList1">
    <w:name w:val="No List1"/>
    <w:next w:val="NoList"/>
    <w:uiPriority w:val="99"/>
    <w:semiHidden/>
    <w:unhideWhenUsed/>
    <w:rsid w:val="00C56785"/>
  </w:style>
  <w:style w:type="paragraph" w:customStyle="1" w:styleId="Bullet">
    <w:name w:val="Bullet"/>
    <w:basedOn w:val="Normal"/>
    <w:rsid w:val="00C56785"/>
    <w:pPr>
      <w:numPr>
        <w:numId w:val="11"/>
      </w:numPr>
      <w:spacing w:before="60" w:after="60" w:line="360" w:lineRule="exact"/>
      <w:ind w:left="0" w:firstLine="0"/>
      <w:jc w:val="both"/>
    </w:pPr>
    <w:rPr>
      <w:color w:val="000000"/>
      <w:spacing w:val="0"/>
    </w:rPr>
  </w:style>
  <w:style w:type="paragraph" w:customStyle="1" w:styleId="Dash">
    <w:name w:val="Dash"/>
    <w:basedOn w:val="Normal"/>
    <w:rsid w:val="00C56785"/>
    <w:pPr>
      <w:numPr>
        <w:numId w:val="12"/>
      </w:numPr>
      <w:tabs>
        <w:tab w:val="num" w:pos="360"/>
      </w:tabs>
      <w:spacing w:before="20" w:after="20" w:line="360" w:lineRule="exact"/>
      <w:ind w:left="0" w:firstLine="0"/>
      <w:jc w:val="both"/>
    </w:pPr>
    <w:rPr>
      <w:color w:val="000000"/>
      <w:spacing w:val="0"/>
    </w:rPr>
  </w:style>
  <w:style w:type="paragraph" w:customStyle="1" w:styleId="IndentedParagraph">
    <w:name w:val="Indented Paragraph"/>
    <w:basedOn w:val="Normal"/>
    <w:rsid w:val="00C56785"/>
    <w:pPr>
      <w:spacing w:after="240" w:line="360" w:lineRule="exact"/>
      <w:ind w:left="1440"/>
      <w:jc w:val="both"/>
    </w:pPr>
    <w:rPr>
      <w:color w:val="000000"/>
      <w:spacing w:val="0"/>
    </w:rPr>
  </w:style>
  <w:style w:type="paragraph" w:customStyle="1" w:styleId="BasicParagraph">
    <w:name w:val="[Basic Paragraph]"/>
    <w:basedOn w:val="Normal"/>
    <w:rsid w:val="00C56785"/>
    <w:pPr>
      <w:widowControl w:val="0"/>
      <w:autoSpaceDE w:val="0"/>
      <w:autoSpaceDN w:val="0"/>
      <w:adjustRightInd w:val="0"/>
      <w:spacing w:line="288" w:lineRule="auto"/>
      <w:textAlignment w:val="center"/>
    </w:pPr>
    <w:rPr>
      <w:rFonts w:ascii="Times-Roman" w:hAnsi="Times-Roman" w:cs="Times-Roman"/>
      <w:color w:val="000000"/>
      <w:spacing w:val="0"/>
      <w:szCs w:val="24"/>
      <w:lang w:val="en-US" w:bidi="en-US"/>
    </w:rPr>
  </w:style>
  <w:style w:type="table" w:customStyle="1" w:styleId="TableGrid10">
    <w:name w:val="Table Grid1"/>
    <w:basedOn w:val="TableNormal"/>
    <w:next w:val="TableGrid"/>
    <w:rsid w:val="00C56785"/>
    <w:pPr>
      <w:spacing w:line="360" w:lineRule="exac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Block">
    <w:name w:val="Address Block"/>
    <w:basedOn w:val="BodyText"/>
    <w:rsid w:val="00C56785"/>
    <w:pPr>
      <w:keepNext/>
      <w:spacing w:after="0"/>
      <w:jc w:val="both"/>
    </w:pPr>
    <w:rPr>
      <w:rFonts w:cs="ArialMT"/>
      <w:color w:val="000000"/>
      <w:spacing w:val="0"/>
      <w:szCs w:val="24"/>
      <w:lang w:val="en-US" w:bidi="en-US"/>
    </w:rPr>
  </w:style>
  <w:style w:type="paragraph" w:customStyle="1" w:styleId="Addressee">
    <w:name w:val="Addressee"/>
    <w:basedOn w:val="BodyText"/>
    <w:rsid w:val="00C56785"/>
    <w:pPr>
      <w:spacing w:before="227" w:after="340"/>
      <w:jc w:val="both"/>
    </w:pPr>
    <w:rPr>
      <w:rFonts w:cs="ArialMT"/>
      <w:color w:val="000000"/>
      <w:spacing w:val="0"/>
      <w:szCs w:val="24"/>
      <w:lang w:val="en-US" w:bidi="en-US"/>
    </w:rPr>
  </w:style>
  <w:style w:type="paragraph" w:customStyle="1" w:styleId="Titleofletter">
    <w:name w:val="Title of letter"/>
    <w:basedOn w:val="BodyText"/>
    <w:rsid w:val="00C56785"/>
    <w:pPr>
      <w:jc w:val="both"/>
    </w:pPr>
    <w:rPr>
      <w:rFonts w:cs="ArialMT"/>
      <w:b/>
      <w:color w:val="000000"/>
      <w:spacing w:val="0"/>
      <w:szCs w:val="24"/>
      <w:lang w:val="en-US" w:bidi="en-US"/>
    </w:rPr>
  </w:style>
  <w:style w:type="paragraph" w:customStyle="1" w:styleId="YoursSincerley">
    <w:name w:val="Yours Sincerley"/>
    <w:basedOn w:val="BodyText"/>
    <w:rsid w:val="00C56785"/>
    <w:pPr>
      <w:keepNext/>
      <w:spacing w:after="901"/>
      <w:jc w:val="both"/>
    </w:pPr>
    <w:rPr>
      <w:rFonts w:cs="ArialMT"/>
      <w:color w:val="000000"/>
      <w:spacing w:val="0"/>
      <w:szCs w:val="24"/>
      <w:lang w:val="en-US" w:bidi="en-US"/>
    </w:rPr>
  </w:style>
  <w:style w:type="paragraph" w:customStyle="1" w:styleId="HeaderFooter">
    <w:name w:val="Header &amp; Footer"/>
    <w:basedOn w:val="Normal"/>
    <w:rsid w:val="00C56785"/>
    <w:pPr>
      <w:spacing w:line="200" w:lineRule="exact"/>
      <w:jc w:val="both"/>
    </w:pPr>
    <w:rPr>
      <w:rFonts w:cs="ArialMT"/>
      <w:color w:val="000000"/>
      <w:spacing w:val="0"/>
      <w:sz w:val="16"/>
      <w:szCs w:val="24"/>
    </w:rPr>
  </w:style>
  <w:style w:type="paragraph" w:customStyle="1" w:styleId="LogoType">
    <w:name w:val="Logo Type"/>
    <w:basedOn w:val="Header"/>
    <w:rsid w:val="00C56785"/>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szCs w:val="24"/>
    </w:rPr>
  </w:style>
  <w:style w:type="paragraph" w:customStyle="1" w:styleId="OurRef">
    <w:name w:val="Our Ref:"/>
    <w:basedOn w:val="BodyText"/>
    <w:rsid w:val="00C56785"/>
    <w:pPr>
      <w:spacing w:after="193"/>
    </w:pPr>
    <w:rPr>
      <w:rFonts w:cs="ArialMT"/>
      <w:color w:val="000000"/>
      <w:spacing w:val="0"/>
      <w:szCs w:val="24"/>
      <w:lang w:val="en-US" w:bidi="en-US"/>
    </w:rPr>
  </w:style>
  <w:style w:type="paragraph" w:customStyle="1" w:styleId="StyleAddresseeAfter1135pt">
    <w:name w:val="Style Addressee + After:  11.35 pt"/>
    <w:basedOn w:val="Addressee"/>
    <w:rsid w:val="00C56785"/>
    <w:pPr>
      <w:spacing w:before="267" w:after="267"/>
    </w:pPr>
    <w:rPr>
      <w:rFonts w:cs="Times New Roman"/>
      <w:szCs w:val="20"/>
    </w:rPr>
  </w:style>
  <w:style w:type="paragraph" w:customStyle="1" w:styleId="DateInsert">
    <w:name w:val="Date Insert"/>
    <w:basedOn w:val="AddressBlock"/>
    <w:rsid w:val="00C56785"/>
    <w:pPr>
      <w:spacing w:after="227" w:line="320" w:lineRule="exact"/>
    </w:pPr>
  </w:style>
  <w:style w:type="paragraph" w:customStyle="1" w:styleId="NameInsert">
    <w:name w:val="Name Insert"/>
    <w:basedOn w:val="BodyText"/>
    <w:rsid w:val="00C56785"/>
    <w:pPr>
      <w:jc w:val="both"/>
    </w:pPr>
    <w:rPr>
      <w:color w:val="000000"/>
      <w:spacing w:val="0"/>
      <w:lang w:val="en-US" w:bidi="en-US"/>
    </w:rPr>
  </w:style>
  <w:style w:type="character" w:customStyle="1" w:styleId="black1">
    <w:name w:val="black1"/>
    <w:rsid w:val="00C56785"/>
    <w:rPr>
      <w:rFonts w:cs="Times New Roman"/>
      <w:color w:val="000000"/>
    </w:rPr>
  </w:style>
  <w:style w:type="numbering" w:customStyle="1" w:styleId="1111111">
    <w:name w:val="1 / 1.1 / 1.1.11"/>
    <w:basedOn w:val="NoList"/>
    <w:next w:val="111111"/>
    <w:rsid w:val="00C56785"/>
    <w:pPr>
      <w:numPr>
        <w:numId w:val="8"/>
      </w:numPr>
    </w:pPr>
  </w:style>
  <w:style w:type="numbering" w:customStyle="1" w:styleId="1ai1">
    <w:name w:val="1 / a / i1"/>
    <w:basedOn w:val="NoList"/>
    <w:next w:val="1ai"/>
    <w:semiHidden/>
    <w:rsid w:val="00C56785"/>
    <w:pPr>
      <w:numPr>
        <w:numId w:val="9"/>
      </w:numPr>
    </w:pPr>
  </w:style>
  <w:style w:type="numbering" w:customStyle="1" w:styleId="ArticleSection1">
    <w:name w:val="Article / Section1"/>
    <w:basedOn w:val="NoList"/>
    <w:next w:val="ArticleSection"/>
    <w:semiHidden/>
    <w:rsid w:val="00C56785"/>
    <w:pPr>
      <w:numPr>
        <w:numId w:val="10"/>
      </w:numPr>
    </w:pPr>
  </w:style>
  <w:style w:type="paragraph" w:customStyle="1" w:styleId="Reply">
    <w:name w:val="Reply"/>
    <w:basedOn w:val="Normal"/>
    <w:semiHidden/>
    <w:rsid w:val="00C56785"/>
    <w:pPr>
      <w:spacing w:before="240" w:after="120" w:line="280" w:lineRule="exact"/>
    </w:pPr>
    <w:rPr>
      <w:color w:val="000000"/>
      <w:spacing w:val="0"/>
    </w:rPr>
  </w:style>
  <w:style w:type="paragraph" w:customStyle="1" w:styleId="ActHead5">
    <w:name w:val="ActHead 5"/>
    <w:aliases w:val="s"/>
    <w:basedOn w:val="Normal"/>
    <w:next w:val="Normal"/>
    <w:rsid w:val="00C56785"/>
    <w:pPr>
      <w:keepNext/>
      <w:spacing w:before="280"/>
      <w:ind w:left="1134" w:hanging="1134"/>
      <w:outlineLvl w:val="4"/>
    </w:pPr>
    <w:rPr>
      <w:rFonts w:ascii="Times New Roman" w:hAnsi="Times New Roman"/>
      <w:b/>
      <w:bCs/>
      <w:spacing w:val="0"/>
      <w:kern w:val="28"/>
      <w:szCs w:val="24"/>
      <w:lang w:eastAsia="en-AU"/>
    </w:rPr>
  </w:style>
  <w:style w:type="character" w:customStyle="1" w:styleId="CharSectno">
    <w:name w:val="CharSectno"/>
    <w:basedOn w:val="DefaultParagraphFont"/>
    <w:rsid w:val="00C56785"/>
    <w:rPr>
      <w:rFonts w:cs="Times New Roman"/>
    </w:rPr>
  </w:style>
  <w:style w:type="paragraph" w:styleId="Quote">
    <w:name w:val="Quote"/>
    <w:basedOn w:val="Normal"/>
    <w:link w:val="QuoteChar"/>
    <w:uiPriority w:val="29"/>
    <w:qFormat/>
    <w:rsid w:val="00C56785"/>
    <w:pPr>
      <w:spacing w:before="240" w:after="240"/>
      <w:ind w:left="1440"/>
    </w:pPr>
    <w:rPr>
      <w:spacing w:val="0"/>
      <w:sz w:val="22"/>
      <w:szCs w:val="22"/>
      <w:lang w:eastAsia="en-AU"/>
    </w:rPr>
  </w:style>
  <w:style w:type="character" w:customStyle="1" w:styleId="QuoteChar">
    <w:name w:val="Quote Char"/>
    <w:basedOn w:val="DefaultParagraphFont"/>
    <w:link w:val="Quote"/>
    <w:uiPriority w:val="29"/>
    <w:rsid w:val="00C56785"/>
    <w:rPr>
      <w:rFonts w:ascii="Arial" w:hAnsi="Arial"/>
    </w:rPr>
  </w:style>
  <w:style w:type="paragraph" w:customStyle="1" w:styleId="r2">
    <w:name w:val="r2"/>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1">
    <w:name w:val="p1"/>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1-text-column2">
    <w:name w:val="ps_1-text-column2"/>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1-sub-subheading">
    <w:name w:val="ps_1-sub-subheading"/>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1-dotpoint">
    <w:name w:val="ps_1-dotpoint"/>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blackbullet64134">
    <w:name w:val="ps_blackbullet64134"/>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0start134indent">
    <w:name w:val="ps_0start134indent"/>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black401414024140341etc">
    <w:name w:val="ps_black401414024140341etc"/>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Body">
    <w:name w:val="Body"/>
    <w:rsid w:val="00286DC5"/>
    <w:pPr>
      <w:keepLines/>
      <w:spacing w:after="200" w:line="288" w:lineRule="auto"/>
    </w:pPr>
    <w:rPr>
      <w:rFonts w:ascii="Arial" w:eastAsia="ヒラギノ角ゴ Pro W3" w:hAnsi="Arial"/>
      <w:color w:val="000000"/>
      <w:sz w:val="24"/>
      <w:szCs w:val="20"/>
      <w:lang w:val="en-US"/>
    </w:rPr>
  </w:style>
  <w:style w:type="paragraph" w:customStyle="1" w:styleId="BodyBullet">
    <w:name w:val="Body Bullet"/>
    <w:rsid w:val="00286DC5"/>
    <w:pPr>
      <w:spacing w:after="200"/>
    </w:pPr>
    <w:rPr>
      <w:rFonts w:ascii="Arial" w:eastAsia="ヒラギノ角ゴ Pro W3" w:hAnsi="Arial"/>
      <w:color w:val="000000"/>
      <w:sz w:val="24"/>
      <w:szCs w:val="20"/>
      <w:lang w:val="en-US"/>
    </w:rPr>
  </w:style>
  <w:style w:type="paragraph" w:customStyle="1" w:styleId="Default">
    <w:name w:val="Default"/>
    <w:rsid w:val="003D79D8"/>
    <w:pPr>
      <w:autoSpaceDE w:val="0"/>
      <w:autoSpaceDN w:val="0"/>
      <w:adjustRightInd w:val="0"/>
    </w:pPr>
    <w:rPr>
      <w:rFonts w:ascii="Arial" w:hAnsi="Arial" w:cs="Arial"/>
      <w:color w:val="000000"/>
      <w:sz w:val="24"/>
      <w:szCs w:val="24"/>
    </w:rPr>
  </w:style>
  <w:style w:type="paragraph" w:customStyle="1" w:styleId="BodyListParagraph">
    <w:name w:val="Body List Paragraph"/>
    <w:basedOn w:val="Normal"/>
    <w:uiPriority w:val="99"/>
    <w:rsid w:val="00742C16"/>
    <w:pPr>
      <w:widowControl w:val="0"/>
      <w:numPr>
        <w:numId w:val="41"/>
      </w:numPr>
      <w:suppressAutoHyphens/>
      <w:autoSpaceDE w:val="0"/>
      <w:autoSpaceDN w:val="0"/>
      <w:adjustRightInd w:val="0"/>
      <w:spacing w:after="113" w:line="288" w:lineRule="auto"/>
      <w:textAlignment w:val="center"/>
    </w:pPr>
    <w:rPr>
      <w:rFonts w:eastAsiaTheme="minorEastAsia" w:cs="HelveticaNeue"/>
      <w:color w:val="000000"/>
      <w:spacing w:val="0"/>
      <w:szCs w:val="17"/>
      <w:lang w:val="en-US" w:eastAsia="en-AU"/>
    </w:rPr>
  </w:style>
  <w:style w:type="paragraph" w:customStyle="1" w:styleId="Nessunostileparagrafo">
    <w:name w:val="[Nessuno stile paragrafo]"/>
    <w:rsid w:val="0083279D"/>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essunostileparagrafo"/>
    <w:uiPriority w:val="99"/>
    <w:rsid w:val="0083279D"/>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InternalSubTitlePlain">
    <w:name w:val="Internal Sub Title Plain"/>
    <w:basedOn w:val="Nessunostileparagrafo"/>
    <w:uiPriority w:val="99"/>
    <w:rsid w:val="0083279D"/>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InternalTitleAHRC">
    <w:name w:val="Internal Title AHRC"/>
    <w:basedOn w:val="EndnoteText"/>
    <w:uiPriority w:val="99"/>
    <w:rsid w:val="0083279D"/>
    <w:pPr>
      <w:keepLines w:val="0"/>
      <w:widowControl w:val="0"/>
      <w:tabs>
        <w:tab w:val="left" w:pos="567"/>
      </w:tabs>
      <w:suppressAutoHyphens/>
      <w:autoSpaceDE w:val="0"/>
      <w:autoSpaceDN w:val="0"/>
      <w:adjustRightInd w:val="0"/>
      <w:spacing w:line="288" w:lineRule="auto"/>
      <w:ind w:left="340" w:hanging="340"/>
      <w:textAlignment w:val="center"/>
    </w:pPr>
    <w:rPr>
      <w:rFonts w:ascii="HelveticaNeue-Bold" w:hAnsi="HelveticaNeue-Bold" w:cs="HelveticaNeue-Bold"/>
      <w:b/>
      <w:bCs/>
      <w:color w:val="4C4C4C"/>
      <w:spacing w:val="0"/>
      <w:sz w:val="20"/>
      <w:lang w:val="en-US" w:eastAsia="en-AU"/>
    </w:rPr>
  </w:style>
  <w:style w:type="paragraph" w:customStyle="1" w:styleId="CopyrightText">
    <w:name w:val="Copyright Text"/>
    <w:basedOn w:val="Normal"/>
    <w:uiPriority w:val="99"/>
    <w:rsid w:val="000010F1"/>
    <w:pPr>
      <w:keepLines w:val="0"/>
      <w:widowControl w:val="0"/>
      <w:tabs>
        <w:tab w:val="left" w:pos="170"/>
      </w:tabs>
      <w:suppressAutoHyphens/>
      <w:autoSpaceDE w:val="0"/>
      <w:autoSpaceDN w:val="0"/>
      <w:adjustRightInd w:val="0"/>
      <w:spacing w:after="57" w:line="288" w:lineRule="auto"/>
      <w:textAlignment w:val="center"/>
    </w:pPr>
    <w:rPr>
      <w:rFonts w:eastAsiaTheme="minorEastAsia" w:cs="HelveticaCYPlain"/>
      <w:spacing w:val="0"/>
      <w:sz w:val="20"/>
      <w:szCs w:val="16"/>
      <w:u w:color="000000"/>
      <w:lang w:val="it-IT"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99"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75089"/>
    <w:pPr>
      <w:keepLines/>
    </w:pPr>
    <w:rPr>
      <w:rFonts w:ascii="Arial" w:hAnsi="Arial"/>
      <w:spacing w:val="-5"/>
      <w:sz w:val="24"/>
      <w:szCs w:val="20"/>
      <w:lang w:eastAsia="en-US"/>
    </w:rPr>
  </w:style>
  <w:style w:type="paragraph" w:styleId="Heading1">
    <w:name w:val="heading 1"/>
    <w:basedOn w:val="Normal"/>
    <w:next w:val="Normal"/>
    <w:link w:val="Heading1Char"/>
    <w:qFormat/>
    <w:rsid w:val="000567C9"/>
    <w:pPr>
      <w:keepNext/>
      <w:numPr>
        <w:numId w:val="5"/>
      </w:numPr>
      <w:spacing w:before="360"/>
      <w:ind w:left="720" w:hanging="720"/>
      <w:outlineLvl w:val="0"/>
    </w:pPr>
    <w:rPr>
      <w:b/>
      <w:bCs/>
      <w:sz w:val="28"/>
      <w:szCs w:val="28"/>
    </w:rPr>
  </w:style>
  <w:style w:type="paragraph" w:styleId="Heading2">
    <w:name w:val="heading 2"/>
    <w:basedOn w:val="Heading1"/>
    <w:next w:val="Normal"/>
    <w:link w:val="Heading2Char"/>
    <w:qFormat/>
    <w:rsid w:val="000567C9"/>
    <w:pPr>
      <w:numPr>
        <w:ilvl w:val="1"/>
      </w:numPr>
      <w:ind w:left="720" w:hanging="720"/>
      <w:outlineLvl w:val="1"/>
    </w:pPr>
    <w:rPr>
      <w:bCs w:val="0"/>
      <w:i/>
      <w:color w:val="000000"/>
      <w:szCs w:val="26"/>
    </w:rPr>
  </w:style>
  <w:style w:type="paragraph" w:styleId="Heading3">
    <w:name w:val="heading 3"/>
    <w:basedOn w:val="Heading2"/>
    <w:next w:val="Normal"/>
    <w:link w:val="Heading3Char"/>
    <w:qFormat/>
    <w:rsid w:val="000567C9"/>
    <w:pPr>
      <w:numPr>
        <w:ilvl w:val="2"/>
      </w:numPr>
      <w:ind w:left="720" w:hanging="720"/>
      <w:outlineLvl w:val="2"/>
    </w:pPr>
    <w:rPr>
      <w:b w:val="0"/>
      <w:bCs/>
      <w:color w:val="auto"/>
      <w:sz w:val="24"/>
    </w:rPr>
  </w:style>
  <w:style w:type="paragraph" w:styleId="Heading4">
    <w:name w:val="heading 4"/>
    <w:basedOn w:val="Heading3"/>
    <w:next w:val="Normal"/>
    <w:link w:val="Heading4Char"/>
    <w:qFormat/>
    <w:rsid w:val="000567C9"/>
    <w:pPr>
      <w:numPr>
        <w:ilvl w:val="3"/>
      </w:numPr>
      <w:ind w:left="720" w:hanging="720"/>
      <w:outlineLvl w:val="3"/>
    </w:pPr>
    <w:rPr>
      <w:bCs w:val="0"/>
      <w:i w:val="0"/>
      <w:iCs/>
    </w:rPr>
  </w:style>
  <w:style w:type="paragraph" w:styleId="Heading5">
    <w:name w:val="heading 5"/>
    <w:basedOn w:val="Normal"/>
    <w:next w:val="Normal"/>
    <w:link w:val="Heading5Char"/>
    <w:qFormat/>
    <w:locked/>
    <w:rsid w:val="00F14C6D"/>
    <w:pPr>
      <w:keepNext/>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spacing w:before="200"/>
      <w:outlineLvl w:val="7"/>
    </w:pPr>
    <w:rPr>
      <w:rFonts w:ascii="Cambria" w:hAnsi="Cambria"/>
      <w:color w:val="404040"/>
    </w:rPr>
  </w:style>
  <w:style w:type="paragraph" w:styleId="Heading9">
    <w:name w:val="heading 9"/>
    <w:basedOn w:val="Normal"/>
    <w:next w:val="Normal"/>
    <w:link w:val="Heading9Char"/>
    <w:qFormat/>
    <w:locked/>
    <w:rsid w:val="00F14C6D"/>
    <w:pPr>
      <w:keepNext/>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locked/>
    <w:rsid w:val="00C27C28"/>
    <w:rPr>
      <w:rFonts w:ascii="Tahoma" w:hAnsi="Tahoma" w:cs="Tahoma"/>
      <w:sz w:val="16"/>
      <w:szCs w:val="16"/>
    </w:rPr>
  </w:style>
  <w:style w:type="character" w:customStyle="1" w:styleId="BalloonTextChar">
    <w:name w:val="Balloon Text Char"/>
    <w:basedOn w:val="DefaultParagraphFont"/>
    <w:uiPriority w:val="99"/>
    <w:semiHidden/>
    <w:rsid w:val="004030C3"/>
    <w:rPr>
      <w:rFonts w:ascii="Lucida Grande" w:hAnsi="Lucida Grande"/>
      <w:sz w:val="18"/>
      <w:szCs w:val="18"/>
    </w:rPr>
  </w:style>
  <w:style w:type="character" w:customStyle="1" w:styleId="BalloonTextChar0">
    <w:name w:val="Balloon Text Char"/>
    <w:basedOn w:val="DefaultParagraphFont"/>
    <w:uiPriority w:val="99"/>
    <w:semiHidden/>
    <w:rsid w:val="00205EE2"/>
    <w:rPr>
      <w:rFonts w:ascii="Lucida Grande" w:hAnsi="Lucida Grande"/>
      <w:sz w:val="18"/>
      <w:szCs w:val="18"/>
    </w:rPr>
  </w:style>
  <w:style w:type="character" w:customStyle="1" w:styleId="Heading1Char">
    <w:name w:val="Heading 1 Char"/>
    <w:basedOn w:val="DefaultParagraphFont"/>
    <w:link w:val="Heading1"/>
    <w:locked/>
    <w:rsid w:val="000567C9"/>
    <w:rPr>
      <w:rFonts w:ascii="Arial" w:hAnsi="Arial"/>
      <w:b/>
      <w:bCs/>
      <w:spacing w:val="-5"/>
      <w:sz w:val="28"/>
      <w:szCs w:val="28"/>
      <w:lang w:eastAsia="en-US"/>
    </w:rPr>
  </w:style>
  <w:style w:type="character" w:customStyle="1" w:styleId="Heading2Char">
    <w:name w:val="Heading 2 Char"/>
    <w:basedOn w:val="DefaultParagraphFont"/>
    <w:link w:val="Heading2"/>
    <w:locked/>
    <w:rsid w:val="000567C9"/>
    <w:rPr>
      <w:rFonts w:ascii="Arial" w:hAnsi="Arial"/>
      <w:b/>
      <w:i/>
      <w:color w:val="000000"/>
      <w:spacing w:val="-5"/>
      <w:sz w:val="28"/>
      <w:szCs w:val="26"/>
      <w:lang w:eastAsia="en-US"/>
    </w:rPr>
  </w:style>
  <w:style w:type="character" w:customStyle="1" w:styleId="Heading3Char">
    <w:name w:val="Heading 3 Char"/>
    <w:basedOn w:val="DefaultParagraphFont"/>
    <w:link w:val="Heading3"/>
    <w:locked/>
    <w:rsid w:val="000567C9"/>
    <w:rPr>
      <w:rFonts w:ascii="Arial" w:hAnsi="Arial"/>
      <w:bCs/>
      <w:i/>
      <w:spacing w:val="-5"/>
      <w:sz w:val="24"/>
      <w:szCs w:val="26"/>
      <w:lang w:eastAsia="en-US"/>
    </w:rPr>
  </w:style>
  <w:style w:type="character" w:customStyle="1" w:styleId="Heading4Char">
    <w:name w:val="Heading 4 Char"/>
    <w:basedOn w:val="DefaultParagraphFont"/>
    <w:link w:val="Heading4"/>
    <w:locked/>
    <w:rsid w:val="000567C9"/>
    <w:rPr>
      <w:rFonts w:ascii="Arial" w:hAnsi="Arial"/>
      <w:iCs/>
      <w:spacing w:val="-5"/>
      <w:sz w:val="24"/>
      <w:szCs w:val="26"/>
      <w:lang w:eastAsia="en-US"/>
    </w:rPr>
  </w:style>
  <w:style w:type="character" w:customStyle="1" w:styleId="Heading5Char">
    <w:name w:val="Heading 5 Char"/>
    <w:basedOn w:val="DefaultParagraphFont"/>
    <w:link w:val="Heading5"/>
    <w:locked/>
    <w:rsid w:val="00F14C6D"/>
    <w:rPr>
      <w:rFonts w:ascii="Cambria" w:hAnsi="Cambria" w:cs="Times New Roman"/>
      <w:color w:val="243F60"/>
      <w:sz w:val="24"/>
      <w:szCs w:val="24"/>
      <w:lang w:val="en-AU" w:eastAsia="en-AU" w:bidi="ar-SA"/>
    </w:rPr>
  </w:style>
  <w:style w:type="character" w:customStyle="1" w:styleId="Heading6Char">
    <w:name w:val="Heading 6 Char"/>
    <w:basedOn w:val="DefaultParagraphFont"/>
    <w:link w:val="Heading6"/>
    <w:locked/>
    <w:rsid w:val="00F14C6D"/>
    <w:rPr>
      <w:rFonts w:ascii="Cambria" w:hAnsi="Cambria" w:cs="Times New Roman"/>
      <w:i/>
      <w:iCs/>
      <w:color w:val="243F60"/>
      <w:sz w:val="24"/>
      <w:szCs w:val="24"/>
      <w:lang w:val="en-AU" w:eastAsia="en-AU" w:bidi="ar-SA"/>
    </w:rPr>
  </w:style>
  <w:style w:type="character" w:customStyle="1" w:styleId="Heading7Char">
    <w:name w:val="Heading 7 Char"/>
    <w:basedOn w:val="DefaultParagraphFont"/>
    <w:link w:val="Heading7"/>
    <w:locked/>
    <w:rsid w:val="00F14C6D"/>
    <w:rPr>
      <w:rFonts w:ascii="Cambria" w:hAnsi="Cambria" w:cs="Times New Roman"/>
      <w:i/>
      <w:iCs/>
      <w:color w:val="404040"/>
      <w:sz w:val="24"/>
      <w:szCs w:val="24"/>
      <w:lang w:val="en-AU" w:eastAsia="en-AU" w:bidi="ar-SA"/>
    </w:rPr>
  </w:style>
  <w:style w:type="character" w:customStyle="1" w:styleId="Heading8Char">
    <w:name w:val="Heading 8 Char"/>
    <w:basedOn w:val="DefaultParagraphFont"/>
    <w:link w:val="Heading8"/>
    <w:locked/>
    <w:rsid w:val="00F14C6D"/>
    <w:rPr>
      <w:rFonts w:ascii="Cambria" w:hAnsi="Cambria" w:cs="Times New Roman"/>
      <w:color w:val="404040"/>
      <w:lang w:val="en-AU" w:eastAsia="en-AU" w:bidi="ar-SA"/>
    </w:rPr>
  </w:style>
  <w:style w:type="character" w:customStyle="1" w:styleId="Heading9Char">
    <w:name w:val="Heading 9 Char"/>
    <w:basedOn w:val="DefaultParagraphFont"/>
    <w:link w:val="Heading9"/>
    <w:locked/>
    <w:rsid w:val="00F14C6D"/>
    <w:rPr>
      <w:rFonts w:ascii="Cambria" w:hAnsi="Cambria" w:cs="Times New Roman"/>
      <w:i/>
      <w:iCs/>
      <w:color w:val="404040"/>
      <w:lang w:val="en-AU" w:eastAsia="en-AU" w:bidi="ar-SA"/>
    </w:rPr>
  </w:style>
  <w:style w:type="character" w:styleId="Strong">
    <w:name w:val="Strong"/>
    <w:basedOn w:val="DefaultParagraphFont"/>
    <w:qFormat/>
    <w:locked/>
    <w:rsid w:val="000B0A5D"/>
    <w:rPr>
      <w:rFonts w:cs="Times New Roman"/>
      <w:b/>
      <w:bCs/>
    </w:rPr>
  </w:style>
  <w:style w:type="paragraph" w:styleId="Header">
    <w:name w:val="header"/>
    <w:basedOn w:val="Normal"/>
    <w:link w:val="HeaderChar"/>
    <w:rsid w:val="00E75D90"/>
    <w:pPr>
      <w:tabs>
        <w:tab w:val="center" w:pos="4513"/>
        <w:tab w:val="right" w:pos="9026"/>
      </w:tabs>
      <w:jc w:val="right"/>
    </w:pPr>
    <w:rPr>
      <w:sz w:val="22"/>
    </w:rPr>
  </w:style>
  <w:style w:type="character" w:customStyle="1" w:styleId="HeaderChar">
    <w:name w:val="Header Char"/>
    <w:basedOn w:val="DefaultParagraphFont"/>
    <w:link w:val="Header"/>
    <w:locked/>
    <w:rsid w:val="00E75D90"/>
    <w:rPr>
      <w:rFonts w:ascii="Arial" w:hAnsi="Arial" w:cs="Times New Roman"/>
      <w:sz w:val="24"/>
      <w:szCs w:val="24"/>
    </w:rPr>
  </w:style>
  <w:style w:type="paragraph" w:styleId="Footer">
    <w:name w:val="footer"/>
    <w:basedOn w:val="Normal"/>
    <w:link w:val="FooterChar"/>
    <w:uiPriority w:val="99"/>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locked/>
    <w:rsid w:val="00E75D90"/>
    <w:rPr>
      <w:rFonts w:ascii="Arial" w:hAnsi="Arial" w:cs="Times New Roman"/>
      <w:sz w:val="24"/>
      <w:szCs w:val="24"/>
    </w:rPr>
  </w:style>
  <w:style w:type="paragraph" w:styleId="TOC3">
    <w:name w:val="toc 3"/>
    <w:basedOn w:val="Normal"/>
    <w:next w:val="Normal"/>
    <w:autoRedefine/>
    <w:uiPriority w:val="39"/>
    <w:qFormat/>
    <w:locked/>
    <w:rsid w:val="002702D9"/>
    <w:pPr>
      <w:ind w:left="1202" w:hanging="720"/>
    </w:pPr>
    <w:rPr>
      <w:rFonts w:eastAsia="MS Mincho" w:cs="Arial"/>
      <w:i/>
      <w:noProof/>
    </w:rPr>
  </w:style>
  <w:style w:type="character" w:styleId="PlaceholderText">
    <w:name w:val="Placeholder Text"/>
    <w:basedOn w:val="DefaultParagraphFont"/>
    <w:uiPriority w:val="99"/>
    <w:semiHidden/>
    <w:locked/>
    <w:rsid w:val="005D1F34"/>
    <w:rPr>
      <w:rFonts w:cs="Times New Roman"/>
      <w:color w:val="808080"/>
    </w:rPr>
  </w:style>
  <w:style w:type="paragraph" w:styleId="ListContinue4">
    <w:name w:val="List Continue 4"/>
    <w:basedOn w:val="Normal"/>
    <w:semiHidden/>
    <w:locked/>
    <w:rsid w:val="0090165F"/>
    <w:pPr>
      <w:spacing w:after="120"/>
      <w:ind w:left="1132"/>
    </w:pPr>
  </w:style>
  <w:style w:type="paragraph" w:styleId="TOC1">
    <w:name w:val="toc 1"/>
    <w:basedOn w:val="Normal"/>
    <w:next w:val="Normal"/>
    <w:autoRedefine/>
    <w:uiPriority w:val="39"/>
    <w:qFormat/>
    <w:locked/>
    <w:rsid w:val="002702D9"/>
    <w:pPr>
      <w:tabs>
        <w:tab w:val="right" w:leader="dot" w:pos="9060"/>
      </w:tabs>
      <w:ind w:left="720" w:hanging="720"/>
    </w:pPr>
    <w:rPr>
      <w:b/>
    </w:rPr>
  </w:style>
  <w:style w:type="paragraph" w:styleId="TOC2">
    <w:name w:val="toc 2"/>
    <w:basedOn w:val="Normal"/>
    <w:next w:val="Normal"/>
    <w:autoRedefine/>
    <w:uiPriority w:val="39"/>
    <w:qFormat/>
    <w:locked/>
    <w:rsid w:val="002702D9"/>
    <w:pPr>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locked/>
    <w:rsid w:val="0024557E"/>
    <w:rPr>
      <w:rFonts w:cs="Times New Roman"/>
      <w:color w:val="0000FF"/>
      <w:u w:val="single"/>
    </w:rPr>
  </w:style>
  <w:style w:type="paragraph" w:styleId="TOCHeading">
    <w:name w:val="TOC Heading"/>
    <w:basedOn w:val="Normal"/>
    <w:next w:val="Normal"/>
    <w:uiPriority w:val="39"/>
    <w:qFormat/>
    <w:locked/>
    <w:rsid w:val="00725D5E"/>
    <w:rPr>
      <w:b/>
      <w:sz w:val="28"/>
      <w:lang w:val="en-US"/>
    </w:rPr>
  </w:style>
  <w:style w:type="paragraph" w:styleId="EndnoteText">
    <w:name w:val="endnote text"/>
    <w:basedOn w:val="Normal"/>
    <w:link w:val="EndnoteTextChar"/>
    <w:semiHidden/>
    <w:rsid w:val="00706FAB"/>
  </w:style>
  <w:style w:type="character" w:customStyle="1" w:styleId="EndnoteTextChar">
    <w:name w:val="Endnote Text Char"/>
    <w:basedOn w:val="DefaultParagraphFont"/>
    <w:link w:val="EndnoteText"/>
    <w:locked/>
    <w:rsid w:val="00706FAB"/>
    <w:rPr>
      <w:rFonts w:ascii="Arial" w:hAnsi="Arial" w:cs="Times New Roman"/>
      <w:lang w:val="en-AU" w:eastAsia="en-AU" w:bidi="ar-SA"/>
    </w:rPr>
  </w:style>
  <w:style w:type="character" w:styleId="EndnoteReference">
    <w:name w:val="endnote reference"/>
    <w:basedOn w:val="DefaultParagraphFont"/>
    <w:rsid w:val="00074CD6"/>
    <w:rPr>
      <w:rFonts w:ascii="Arial" w:hAnsi="Arial" w:cs="Times New Roman"/>
      <w:sz w:val="20"/>
      <w:vertAlign w:val="superscript"/>
    </w:rPr>
  </w:style>
  <w:style w:type="paragraph" w:styleId="BlockText">
    <w:name w:val="Block Text"/>
    <w:basedOn w:val="Normal"/>
    <w:locked/>
    <w:rsid w:val="00E45954"/>
    <w:pPr>
      <w:spacing w:after="120"/>
      <w:ind w:left="1440" w:right="1440"/>
    </w:pPr>
  </w:style>
  <w:style w:type="paragraph" w:styleId="BodyText">
    <w:name w:val="Body Text"/>
    <w:basedOn w:val="Normal"/>
    <w:link w:val="BodyTextChar"/>
    <w:locked/>
    <w:rsid w:val="00E45954"/>
    <w:pPr>
      <w:spacing w:after="120"/>
    </w:pPr>
  </w:style>
  <w:style w:type="character" w:customStyle="1" w:styleId="BodyTextChar">
    <w:name w:val="Body Text Char"/>
    <w:basedOn w:val="DefaultParagraphFont"/>
    <w:link w:val="BodyText"/>
    <w:locked/>
    <w:rsid w:val="00DE2F25"/>
    <w:rPr>
      <w:rFonts w:ascii="Arial" w:hAnsi="Arial" w:cs="Times New Roman"/>
      <w:spacing w:val="-5"/>
      <w:sz w:val="20"/>
      <w:szCs w:val="20"/>
      <w:lang w:eastAsia="en-US"/>
    </w:rPr>
  </w:style>
  <w:style w:type="paragraph" w:styleId="BodyText2">
    <w:name w:val="Body Text 2"/>
    <w:basedOn w:val="Normal"/>
    <w:link w:val="BodyText2Char"/>
    <w:semiHidden/>
    <w:locked/>
    <w:rsid w:val="00E45954"/>
    <w:pPr>
      <w:spacing w:after="120" w:line="480" w:lineRule="auto"/>
    </w:pPr>
  </w:style>
  <w:style w:type="character" w:customStyle="1" w:styleId="BodyText2Char">
    <w:name w:val="Body Text 2 Char"/>
    <w:basedOn w:val="DefaultParagraphFont"/>
    <w:link w:val="BodyText2"/>
    <w:semiHidden/>
    <w:locked/>
    <w:rsid w:val="00DE2F25"/>
    <w:rPr>
      <w:rFonts w:ascii="Arial" w:hAnsi="Arial" w:cs="Times New Roman"/>
      <w:spacing w:val="-5"/>
      <w:sz w:val="20"/>
      <w:szCs w:val="20"/>
      <w:lang w:eastAsia="en-US"/>
    </w:rPr>
  </w:style>
  <w:style w:type="paragraph" w:styleId="BodyText3">
    <w:name w:val="Body Text 3"/>
    <w:basedOn w:val="Normal"/>
    <w:link w:val="BodyText3Char"/>
    <w:semiHidden/>
    <w:locked/>
    <w:rsid w:val="00E45954"/>
    <w:pPr>
      <w:spacing w:after="120"/>
    </w:pPr>
    <w:rPr>
      <w:sz w:val="16"/>
      <w:szCs w:val="16"/>
    </w:rPr>
  </w:style>
  <w:style w:type="character" w:customStyle="1" w:styleId="BodyText3Char">
    <w:name w:val="Body Text 3 Char"/>
    <w:basedOn w:val="DefaultParagraphFont"/>
    <w:link w:val="BodyText3"/>
    <w:semiHidden/>
    <w:locked/>
    <w:rsid w:val="00DE2F25"/>
    <w:rPr>
      <w:rFonts w:ascii="Arial" w:hAnsi="Arial" w:cs="Times New Roman"/>
      <w:spacing w:val="-5"/>
      <w:sz w:val="16"/>
      <w:szCs w:val="16"/>
      <w:lang w:eastAsia="en-US"/>
    </w:rPr>
  </w:style>
  <w:style w:type="paragraph" w:styleId="BodyTextFirstIndent">
    <w:name w:val="Body Text First Indent"/>
    <w:basedOn w:val="BodyText"/>
    <w:link w:val="BodyTextFirstIndentChar"/>
    <w:semiHidden/>
    <w:locked/>
    <w:rsid w:val="00E45954"/>
    <w:pPr>
      <w:ind w:firstLine="210"/>
    </w:pPr>
  </w:style>
  <w:style w:type="character" w:customStyle="1" w:styleId="BodyTextFirstIndentChar">
    <w:name w:val="Body Text First Indent Char"/>
    <w:basedOn w:val="BodyTextChar"/>
    <w:link w:val="BodyTextFirstIndent"/>
    <w:semiHidden/>
    <w:locked/>
    <w:rsid w:val="00DE2F25"/>
    <w:rPr>
      <w:rFonts w:ascii="Arial" w:hAnsi="Arial" w:cs="Times New Roman"/>
      <w:spacing w:val="-5"/>
      <w:sz w:val="20"/>
      <w:szCs w:val="20"/>
      <w:lang w:eastAsia="en-US"/>
    </w:rPr>
  </w:style>
  <w:style w:type="paragraph" w:styleId="BodyTextIndent">
    <w:name w:val="Body Text Indent"/>
    <w:basedOn w:val="Normal"/>
    <w:link w:val="BodyTextIndentChar"/>
    <w:semiHidden/>
    <w:locked/>
    <w:rsid w:val="00E45954"/>
    <w:pPr>
      <w:spacing w:after="120"/>
      <w:ind w:left="283"/>
    </w:pPr>
  </w:style>
  <w:style w:type="character" w:customStyle="1" w:styleId="BodyTextIndentChar">
    <w:name w:val="Body Text Indent Char"/>
    <w:basedOn w:val="DefaultParagraphFont"/>
    <w:link w:val="BodyTextIndent"/>
    <w:semiHidden/>
    <w:locked/>
    <w:rsid w:val="00DE2F25"/>
    <w:rPr>
      <w:rFonts w:ascii="Arial" w:hAnsi="Arial" w:cs="Times New Roman"/>
      <w:spacing w:val="-5"/>
      <w:sz w:val="20"/>
      <w:szCs w:val="20"/>
      <w:lang w:eastAsia="en-US"/>
    </w:rPr>
  </w:style>
  <w:style w:type="paragraph" w:styleId="BodyTextFirstIndent2">
    <w:name w:val="Body Text First Indent 2"/>
    <w:basedOn w:val="BodyTextIndent"/>
    <w:link w:val="BodyTextFirstIndent2Char"/>
    <w:semiHidden/>
    <w:locked/>
    <w:rsid w:val="00E45954"/>
    <w:pPr>
      <w:ind w:firstLine="210"/>
    </w:pPr>
  </w:style>
  <w:style w:type="character" w:customStyle="1" w:styleId="BodyTextFirstIndent2Char">
    <w:name w:val="Body Text First Indent 2 Char"/>
    <w:basedOn w:val="BodyTextIndentChar"/>
    <w:link w:val="BodyTextFirstIndent2"/>
    <w:semiHidden/>
    <w:locked/>
    <w:rsid w:val="00DE2F25"/>
    <w:rPr>
      <w:rFonts w:ascii="Arial" w:hAnsi="Arial" w:cs="Times New Roman"/>
      <w:spacing w:val="-5"/>
      <w:sz w:val="20"/>
      <w:szCs w:val="20"/>
      <w:lang w:eastAsia="en-US"/>
    </w:rPr>
  </w:style>
  <w:style w:type="paragraph" w:styleId="BodyTextIndent2">
    <w:name w:val="Body Text Indent 2"/>
    <w:basedOn w:val="Normal"/>
    <w:link w:val="BodyTextIndent2Char"/>
    <w:semiHidden/>
    <w:locked/>
    <w:rsid w:val="00E45954"/>
    <w:pPr>
      <w:spacing w:after="120" w:line="480" w:lineRule="auto"/>
      <w:ind w:left="283"/>
    </w:pPr>
  </w:style>
  <w:style w:type="character" w:customStyle="1" w:styleId="BodyTextIndent2Char">
    <w:name w:val="Body Text Indent 2 Char"/>
    <w:basedOn w:val="DefaultParagraphFont"/>
    <w:link w:val="BodyTextIndent2"/>
    <w:semiHidden/>
    <w:locked/>
    <w:rsid w:val="00DE2F25"/>
    <w:rPr>
      <w:rFonts w:ascii="Arial" w:hAnsi="Arial" w:cs="Times New Roman"/>
      <w:spacing w:val="-5"/>
      <w:sz w:val="20"/>
      <w:szCs w:val="20"/>
      <w:lang w:eastAsia="en-US"/>
    </w:rPr>
  </w:style>
  <w:style w:type="paragraph" w:styleId="BodyTextIndent3">
    <w:name w:val="Body Text Indent 3"/>
    <w:basedOn w:val="Normal"/>
    <w:link w:val="BodyTextIndent3Char"/>
    <w:semiHidden/>
    <w:locked/>
    <w:rsid w:val="00E45954"/>
    <w:pPr>
      <w:spacing w:after="120"/>
      <w:ind w:left="283"/>
    </w:pPr>
    <w:rPr>
      <w:sz w:val="16"/>
      <w:szCs w:val="16"/>
    </w:rPr>
  </w:style>
  <w:style w:type="character" w:customStyle="1" w:styleId="BodyTextIndent3Char">
    <w:name w:val="Body Text Indent 3 Char"/>
    <w:basedOn w:val="DefaultParagraphFont"/>
    <w:link w:val="BodyTextIndent3"/>
    <w:semiHidden/>
    <w:locked/>
    <w:rsid w:val="00DE2F25"/>
    <w:rPr>
      <w:rFonts w:ascii="Arial" w:hAnsi="Arial" w:cs="Times New Roman"/>
      <w:spacing w:val="-5"/>
      <w:sz w:val="16"/>
      <w:szCs w:val="16"/>
      <w:lang w:eastAsia="en-US"/>
    </w:rPr>
  </w:style>
  <w:style w:type="paragraph" w:styleId="Closing">
    <w:name w:val="Closing"/>
    <w:basedOn w:val="Normal"/>
    <w:link w:val="ClosingChar"/>
    <w:semiHidden/>
    <w:locked/>
    <w:rsid w:val="00E45954"/>
    <w:pPr>
      <w:ind w:left="4252"/>
    </w:pPr>
  </w:style>
  <w:style w:type="character" w:customStyle="1" w:styleId="ClosingChar">
    <w:name w:val="Closing Char"/>
    <w:basedOn w:val="DefaultParagraphFont"/>
    <w:link w:val="Closing"/>
    <w:semiHidden/>
    <w:locked/>
    <w:rsid w:val="00DE2F25"/>
    <w:rPr>
      <w:rFonts w:ascii="Arial" w:hAnsi="Arial" w:cs="Times New Roman"/>
      <w:spacing w:val="-5"/>
      <w:sz w:val="20"/>
      <w:szCs w:val="20"/>
      <w:lang w:eastAsia="en-US"/>
    </w:rPr>
  </w:style>
  <w:style w:type="paragraph" w:styleId="Date">
    <w:name w:val="Date"/>
    <w:basedOn w:val="Normal"/>
    <w:next w:val="Normal"/>
    <w:link w:val="DateChar"/>
    <w:semiHidden/>
    <w:locked/>
    <w:rsid w:val="00E45954"/>
  </w:style>
  <w:style w:type="character" w:customStyle="1" w:styleId="DateChar">
    <w:name w:val="Date Char"/>
    <w:basedOn w:val="DefaultParagraphFont"/>
    <w:link w:val="Date"/>
    <w:semiHidden/>
    <w:locked/>
    <w:rsid w:val="00DE2F25"/>
    <w:rPr>
      <w:rFonts w:ascii="Arial" w:hAnsi="Arial" w:cs="Times New Roman"/>
      <w:spacing w:val="-5"/>
      <w:sz w:val="20"/>
      <w:szCs w:val="20"/>
      <w:lang w:eastAsia="en-US"/>
    </w:rPr>
  </w:style>
  <w:style w:type="paragraph" w:styleId="E-mailSignature">
    <w:name w:val="E-mail Signature"/>
    <w:basedOn w:val="Normal"/>
    <w:link w:val="E-mailSignatureChar"/>
    <w:semiHidden/>
    <w:locked/>
    <w:rsid w:val="00E45954"/>
  </w:style>
  <w:style w:type="character" w:customStyle="1" w:styleId="E-mailSignatureChar">
    <w:name w:val="E-mail Signature Char"/>
    <w:basedOn w:val="DefaultParagraphFont"/>
    <w:link w:val="E-mailSignature"/>
    <w:semiHidden/>
    <w:locked/>
    <w:rsid w:val="00DE2F25"/>
    <w:rPr>
      <w:rFonts w:ascii="Arial" w:hAnsi="Arial" w:cs="Times New Roman"/>
      <w:spacing w:val="-5"/>
      <w:sz w:val="20"/>
      <w:szCs w:val="20"/>
      <w:lang w:eastAsia="en-US"/>
    </w:rPr>
  </w:style>
  <w:style w:type="character" w:styleId="Emphasis">
    <w:name w:val="Emphasis"/>
    <w:basedOn w:val="DefaultParagraphFont"/>
    <w:uiPriority w:val="99"/>
    <w:qFormat/>
    <w:locked/>
    <w:rsid w:val="00E45954"/>
    <w:rPr>
      <w:rFonts w:cs="Times New Roman"/>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rPr>
  </w:style>
  <w:style w:type="character" w:styleId="FootnoteReference">
    <w:name w:val="footnote reference"/>
    <w:basedOn w:val="DefaultParagraphFont"/>
    <w:semiHidden/>
    <w:rsid w:val="00074CD6"/>
    <w:rPr>
      <w:rFonts w:ascii="Arial" w:hAnsi="Arial" w:cs="Times New Roman"/>
      <w:sz w:val="20"/>
      <w:vertAlign w:val="superscript"/>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Footnote Text Char2 Ch"/>
    <w:basedOn w:val="Normal"/>
    <w:link w:val="FootnoteTextChar"/>
    <w:rsid w:val="00706FAB"/>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
    <w:basedOn w:val="DefaultParagraphFont"/>
    <w:link w:val="FootnoteText"/>
    <w:locked/>
    <w:rsid w:val="00706FAB"/>
    <w:rPr>
      <w:rFonts w:ascii="Arial" w:hAnsi="Arial" w:cs="Times New Roman"/>
      <w:lang w:val="en-AU" w:eastAsia="en-AU" w:bidi="ar-SA"/>
    </w:rPr>
  </w:style>
  <w:style w:type="character" w:styleId="HTMLAcronym">
    <w:name w:val="HTML Acronym"/>
    <w:basedOn w:val="DefaultParagraphFont"/>
    <w:semiHidden/>
    <w:locked/>
    <w:rsid w:val="00E45954"/>
    <w:rPr>
      <w:rFonts w:cs="Times New Roman"/>
    </w:rPr>
  </w:style>
  <w:style w:type="paragraph" w:styleId="HTMLAddress">
    <w:name w:val="HTML Address"/>
    <w:basedOn w:val="Normal"/>
    <w:link w:val="HTMLAddressChar"/>
    <w:semiHidden/>
    <w:locked/>
    <w:rsid w:val="00E45954"/>
    <w:rPr>
      <w:i/>
      <w:iCs/>
    </w:rPr>
  </w:style>
  <w:style w:type="character" w:customStyle="1" w:styleId="HTMLAddressChar">
    <w:name w:val="HTML Address Char"/>
    <w:basedOn w:val="DefaultParagraphFont"/>
    <w:link w:val="HTMLAddress"/>
    <w:semiHidden/>
    <w:locked/>
    <w:rsid w:val="00DE2F25"/>
    <w:rPr>
      <w:rFonts w:ascii="Arial" w:hAnsi="Arial" w:cs="Times New Roman"/>
      <w:i/>
      <w:iCs/>
      <w:spacing w:val="-5"/>
      <w:sz w:val="20"/>
      <w:szCs w:val="20"/>
      <w:lang w:eastAsia="en-US"/>
    </w:rPr>
  </w:style>
  <w:style w:type="character" w:styleId="HTMLCite">
    <w:name w:val="HTML Cite"/>
    <w:basedOn w:val="DefaultParagraphFont"/>
    <w:semiHidden/>
    <w:locked/>
    <w:rsid w:val="00E45954"/>
    <w:rPr>
      <w:rFonts w:cs="Times New Roman"/>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rFonts w:cs="Times New Roman"/>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semiHidden/>
    <w:locked/>
    <w:rsid w:val="00E45954"/>
    <w:rPr>
      <w:rFonts w:ascii="Courier New" w:hAnsi="Courier New" w:cs="Courier New"/>
    </w:rPr>
  </w:style>
  <w:style w:type="character" w:customStyle="1" w:styleId="HTMLPreformattedChar">
    <w:name w:val="HTML Preformatted Char"/>
    <w:basedOn w:val="DefaultParagraphFont"/>
    <w:link w:val="HTMLPreformatted"/>
    <w:semiHidden/>
    <w:locked/>
    <w:rsid w:val="00DE2F25"/>
    <w:rPr>
      <w:rFonts w:ascii="Courier New" w:hAnsi="Courier New" w:cs="Courier New"/>
      <w:spacing w:val="-5"/>
      <w:sz w:val="20"/>
      <w:szCs w:val="20"/>
      <w:lang w:eastAsia="en-US"/>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rFonts w:cs="Times New Roman"/>
      <w:i/>
      <w:iCs/>
    </w:rPr>
  </w:style>
  <w:style w:type="character" w:styleId="LineNumber">
    <w:name w:val="line number"/>
    <w:basedOn w:val="DefaultParagraphFont"/>
    <w:semiHidden/>
    <w:locked/>
    <w:rsid w:val="00E45954"/>
    <w:rPr>
      <w:rFonts w:cs="Times New Roman"/>
    </w:rPr>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2">
    <w:name w:val="List Bullet 2"/>
    <w:basedOn w:val="Normal"/>
    <w:semiHidden/>
    <w:locked/>
    <w:rsid w:val="00E45954"/>
    <w:pPr>
      <w:tabs>
        <w:tab w:val="num" w:pos="643"/>
      </w:tabs>
      <w:ind w:left="643" w:hanging="360"/>
    </w:pPr>
  </w:style>
  <w:style w:type="paragraph" w:styleId="ListBullet3">
    <w:name w:val="List Bullet 3"/>
    <w:basedOn w:val="Normal"/>
    <w:semiHidden/>
    <w:locked/>
    <w:rsid w:val="00E45954"/>
    <w:pPr>
      <w:tabs>
        <w:tab w:val="num" w:pos="926"/>
      </w:tabs>
      <w:ind w:left="926" w:hanging="360"/>
    </w:pPr>
  </w:style>
  <w:style w:type="paragraph" w:styleId="ListBullet4">
    <w:name w:val="List Bullet 4"/>
    <w:basedOn w:val="Normal"/>
    <w:semiHidden/>
    <w:locked/>
    <w:rsid w:val="00E45954"/>
    <w:pPr>
      <w:tabs>
        <w:tab w:val="num" w:pos="1209"/>
      </w:tabs>
      <w:ind w:left="1209" w:hanging="360"/>
    </w:pPr>
  </w:style>
  <w:style w:type="paragraph" w:styleId="ListBullet5">
    <w:name w:val="List Bullet 5"/>
    <w:basedOn w:val="Normal"/>
    <w:semiHidden/>
    <w:locked/>
    <w:rsid w:val="00E45954"/>
    <w:pPr>
      <w:tabs>
        <w:tab w:val="num" w:pos="1492"/>
      </w:tabs>
      <w:ind w:left="1492" w:hanging="360"/>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tabs>
        <w:tab w:val="num" w:pos="360"/>
      </w:tabs>
      <w:ind w:left="360" w:hanging="360"/>
    </w:pPr>
  </w:style>
  <w:style w:type="paragraph" w:styleId="ListNumber2">
    <w:name w:val="List Number 2"/>
    <w:basedOn w:val="Normal"/>
    <w:semiHidden/>
    <w:locked/>
    <w:rsid w:val="00E45954"/>
    <w:pPr>
      <w:tabs>
        <w:tab w:val="num" w:pos="643"/>
      </w:tabs>
      <w:ind w:left="643" w:hanging="360"/>
    </w:pPr>
  </w:style>
  <w:style w:type="paragraph" w:styleId="ListNumber3">
    <w:name w:val="List Number 3"/>
    <w:basedOn w:val="Normal"/>
    <w:semiHidden/>
    <w:locked/>
    <w:rsid w:val="00E45954"/>
    <w:pPr>
      <w:tabs>
        <w:tab w:val="num" w:pos="926"/>
      </w:tabs>
      <w:ind w:left="926" w:hanging="360"/>
    </w:pPr>
  </w:style>
  <w:style w:type="paragraph" w:styleId="ListNumber4">
    <w:name w:val="List Number 4"/>
    <w:basedOn w:val="Normal"/>
    <w:semiHidden/>
    <w:locked/>
    <w:rsid w:val="00E45954"/>
    <w:pPr>
      <w:tabs>
        <w:tab w:val="num" w:pos="1209"/>
      </w:tabs>
      <w:ind w:left="1209" w:hanging="360"/>
    </w:pPr>
  </w:style>
  <w:style w:type="paragraph" w:styleId="ListNumber5">
    <w:name w:val="List Number 5"/>
    <w:basedOn w:val="Normal"/>
    <w:semiHidden/>
    <w:locked/>
    <w:rsid w:val="00E45954"/>
    <w:pPr>
      <w:tabs>
        <w:tab w:val="num" w:pos="1492"/>
      </w:tabs>
      <w:ind w:left="1492" w:hanging="360"/>
    </w:pPr>
  </w:style>
  <w:style w:type="paragraph" w:styleId="MessageHeader">
    <w:name w:val="Message Header"/>
    <w:basedOn w:val="Normal"/>
    <w:link w:val="MessageHeaderChar"/>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locked/>
    <w:rsid w:val="00DE2F25"/>
    <w:rPr>
      <w:rFonts w:ascii="Cambria" w:hAnsi="Cambria" w:cs="Times New Roman"/>
      <w:spacing w:val="-5"/>
      <w:sz w:val="24"/>
      <w:szCs w:val="24"/>
      <w:shd w:val="pct20" w:color="auto" w:fill="auto"/>
      <w:lang w:eastAsia="en-US"/>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locked/>
    <w:rsid w:val="00E45954"/>
    <w:pPr>
      <w:ind w:left="720"/>
    </w:pPr>
  </w:style>
  <w:style w:type="paragraph" w:styleId="NoteHeading">
    <w:name w:val="Note Heading"/>
    <w:basedOn w:val="Normal"/>
    <w:next w:val="Normal"/>
    <w:link w:val="NoteHeadingChar"/>
    <w:locked/>
    <w:rsid w:val="00E45954"/>
  </w:style>
  <w:style w:type="character" w:customStyle="1" w:styleId="NoteHeadingChar">
    <w:name w:val="Note Heading Char"/>
    <w:basedOn w:val="DefaultParagraphFont"/>
    <w:link w:val="NoteHeading"/>
    <w:locked/>
    <w:rsid w:val="00DE2F25"/>
    <w:rPr>
      <w:rFonts w:ascii="Arial" w:hAnsi="Arial" w:cs="Times New Roman"/>
      <w:spacing w:val="-5"/>
      <w:sz w:val="20"/>
      <w:szCs w:val="20"/>
      <w:lang w:eastAsia="en-US"/>
    </w:rPr>
  </w:style>
  <w:style w:type="character" w:styleId="PageNumber">
    <w:name w:val="page number"/>
    <w:basedOn w:val="DefaultParagraphFont"/>
    <w:locked/>
    <w:rsid w:val="00E45954"/>
    <w:rPr>
      <w:rFonts w:cs="Times New Roman"/>
    </w:rPr>
  </w:style>
  <w:style w:type="paragraph" w:styleId="PlainText">
    <w:name w:val="Plain Text"/>
    <w:basedOn w:val="Normal"/>
    <w:link w:val="PlainTextChar"/>
    <w:semiHidden/>
    <w:locked/>
    <w:rsid w:val="00E45954"/>
    <w:rPr>
      <w:rFonts w:ascii="Courier New" w:hAnsi="Courier New" w:cs="Courier New"/>
    </w:rPr>
  </w:style>
  <w:style w:type="character" w:customStyle="1" w:styleId="PlainTextChar">
    <w:name w:val="Plain Text Char"/>
    <w:basedOn w:val="DefaultParagraphFont"/>
    <w:link w:val="PlainText"/>
    <w:semiHidden/>
    <w:locked/>
    <w:rsid w:val="00DE2F25"/>
    <w:rPr>
      <w:rFonts w:ascii="Courier New" w:hAnsi="Courier New" w:cs="Courier New"/>
      <w:spacing w:val="-5"/>
      <w:sz w:val="20"/>
      <w:szCs w:val="20"/>
      <w:lang w:eastAsia="en-US"/>
    </w:rPr>
  </w:style>
  <w:style w:type="paragraph" w:styleId="Salutation">
    <w:name w:val="Salutation"/>
    <w:basedOn w:val="Normal"/>
    <w:next w:val="Normal"/>
    <w:link w:val="SalutationChar"/>
    <w:semiHidden/>
    <w:locked/>
    <w:rsid w:val="00E45954"/>
  </w:style>
  <w:style w:type="character" w:customStyle="1" w:styleId="SalutationChar">
    <w:name w:val="Salutation Char"/>
    <w:basedOn w:val="DefaultParagraphFont"/>
    <w:link w:val="Salutation"/>
    <w:semiHidden/>
    <w:locked/>
    <w:rsid w:val="00DE2F25"/>
    <w:rPr>
      <w:rFonts w:ascii="Arial" w:hAnsi="Arial" w:cs="Times New Roman"/>
      <w:spacing w:val="-5"/>
      <w:sz w:val="20"/>
      <w:szCs w:val="20"/>
      <w:lang w:eastAsia="en-US"/>
    </w:rPr>
  </w:style>
  <w:style w:type="paragraph" w:styleId="Signature">
    <w:name w:val="Signature"/>
    <w:basedOn w:val="Normal"/>
    <w:link w:val="SignatureChar"/>
    <w:semiHidden/>
    <w:locked/>
    <w:rsid w:val="00E45954"/>
    <w:pPr>
      <w:ind w:left="4252"/>
    </w:pPr>
  </w:style>
  <w:style w:type="character" w:customStyle="1" w:styleId="SignatureChar">
    <w:name w:val="Signature Char"/>
    <w:basedOn w:val="DefaultParagraphFont"/>
    <w:link w:val="Signature"/>
    <w:semiHidden/>
    <w:locked/>
    <w:rsid w:val="00DE2F25"/>
    <w:rPr>
      <w:rFonts w:ascii="Arial" w:hAnsi="Arial" w:cs="Times New Roman"/>
      <w:spacing w:val="-5"/>
      <w:sz w:val="20"/>
      <w:szCs w:val="20"/>
      <w:lang w:eastAsia="en-US"/>
    </w:rPr>
  </w:style>
  <w:style w:type="paragraph" w:styleId="Subtitle">
    <w:name w:val="Subtitle"/>
    <w:basedOn w:val="Normal"/>
    <w:link w:val="SubtitleChar"/>
    <w:qFormat/>
    <w:locked/>
    <w:rsid w:val="00E45954"/>
    <w:pPr>
      <w:spacing w:after="60"/>
      <w:jc w:val="center"/>
      <w:outlineLvl w:val="1"/>
    </w:pPr>
    <w:rPr>
      <w:rFonts w:cs="Arial"/>
    </w:rPr>
  </w:style>
  <w:style w:type="character" w:customStyle="1" w:styleId="SubtitleChar">
    <w:name w:val="Subtitle Char"/>
    <w:basedOn w:val="DefaultParagraphFont"/>
    <w:link w:val="Subtitle"/>
    <w:locked/>
    <w:rsid w:val="00DE2F25"/>
    <w:rPr>
      <w:rFonts w:ascii="Cambria" w:hAnsi="Cambria" w:cs="Times New Roman"/>
      <w:spacing w:val="-5"/>
      <w:sz w:val="24"/>
      <w:szCs w:val="24"/>
      <w:lang w:eastAsia="en-US"/>
    </w:rPr>
  </w:style>
  <w:style w:type="table" w:styleId="Table3Deffects1">
    <w:name w:val="Table 3D effects 1"/>
    <w:basedOn w:val="TableNormal"/>
    <w:semiHidden/>
    <w:locked/>
    <w:rsid w:val="00E45954"/>
    <w:pPr>
      <w:spacing w:after="240"/>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locked/>
    <w:rsid w:val="00E45954"/>
    <w:pPr>
      <w:spacing w:after="240"/>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locked/>
    <w:rsid w:val="00E45954"/>
    <w:pPr>
      <w:spacing w:after="240"/>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before="240" w:after="60"/>
      <w:jc w:val="center"/>
      <w:outlineLvl w:val="0"/>
    </w:pPr>
    <w:rPr>
      <w:rFonts w:cs="Arial"/>
      <w:b/>
      <w:bCs/>
      <w:kern w:val="28"/>
      <w:sz w:val="32"/>
      <w:szCs w:val="32"/>
    </w:rPr>
  </w:style>
  <w:style w:type="character" w:customStyle="1" w:styleId="TitleChar">
    <w:name w:val="Title Char"/>
    <w:basedOn w:val="DefaultParagraphFont"/>
    <w:link w:val="Title"/>
    <w:locked/>
    <w:rsid w:val="00DE2F25"/>
    <w:rPr>
      <w:rFonts w:ascii="Cambria" w:hAnsi="Cambria" w:cs="Times New Roman"/>
      <w:b/>
      <w:bCs/>
      <w:spacing w:val="-5"/>
      <w:kern w:val="28"/>
      <w:sz w:val="32"/>
      <w:szCs w:val="32"/>
      <w:lang w:eastAsia="en-US"/>
    </w:rPr>
  </w:style>
  <w:style w:type="character" w:styleId="FollowedHyperlink">
    <w:name w:val="FollowedHyperlink"/>
    <w:basedOn w:val="DefaultParagraphFont"/>
    <w:semiHidden/>
    <w:locked/>
    <w:rsid w:val="00E45954"/>
    <w:rPr>
      <w:rFonts w:cs="Times New Roman"/>
      <w:color w:val="800080"/>
      <w:u w:val="single"/>
    </w:rPr>
  </w:style>
  <w:style w:type="paragraph" w:styleId="ListBullet">
    <w:name w:val="List Bullet"/>
    <w:basedOn w:val="Normal"/>
    <w:semiHidden/>
    <w:locked/>
    <w:rsid w:val="00950E88"/>
    <w:pPr>
      <w:tabs>
        <w:tab w:val="num" w:pos="360"/>
      </w:tabs>
      <w:ind w:left="360" w:hanging="360"/>
    </w:pPr>
  </w:style>
  <w:style w:type="paragraph" w:customStyle="1" w:styleId="Contactdetails">
    <w:name w:val="Contact details"/>
    <w:basedOn w:val="Normal"/>
    <w:rsid w:val="002702D9"/>
    <w:pPr>
      <w:keepNex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lang w:val="en-US"/>
    </w:rPr>
  </w:style>
  <w:style w:type="character" w:customStyle="1" w:styleId="CharChar9">
    <w:name w:val="Char Char9"/>
    <w:basedOn w:val="DefaultParagraphFont"/>
    <w:semiHidden/>
    <w:locked/>
    <w:rsid w:val="001C451B"/>
    <w:rPr>
      <w:rFonts w:ascii="Arial" w:hAnsi="Arial" w:cs="Times New Roman"/>
      <w:bCs/>
      <w:i/>
      <w:sz w:val="26"/>
      <w:szCs w:val="26"/>
      <w:lang w:val="en-AU" w:eastAsia="en-AU" w:bidi="ar-SA"/>
    </w:rPr>
  </w:style>
  <w:style w:type="character" w:customStyle="1" w:styleId="CharChar8">
    <w:name w:val="Char Char8"/>
    <w:basedOn w:val="DefaultParagraphFont"/>
    <w:semiHidden/>
    <w:locked/>
    <w:rsid w:val="001C451B"/>
    <w:rPr>
      <w:rFonts w:ascii="Arial" w:hAnsi="Arial" w:cs="Times New Roman"/>
      <w:iCs/>
      <w:sz w:val="26"/>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paragraph" w:customStyle="1" w:styleId="DocumentLabel">
    <w:name w:val="Document Label"/>
    <w:basedOn w:val="Normal"/>
    <w:next w:val="Normal"/>
    <w:uiPriority w:val="99"/>
    <w:rsid w:val="004E5579"/>
    <w:pPr>
      <w:keepNext/>
      <w:spacing w:before="400" w:after="120" w:line="240" w:lineRule="atLeast"/>
      <w:ind w:left="-840"/>
    </w:pPr>
    <w:rPr>
      <w:rFonts w:ascii="Arial Black" w:hAnsi="Arial Black"/>
      <w:kern w:val="28"/>
      <w:sz w:val="96"/>
    </w:rPr>
  </w:style>
  <w:style w:type="character" w:styleId="CommentReference">
    <w:name w:val="annotation reference"/>
    <w:basedOn w:val="DefaultParagraphFont"/>
    <w:locked/>
    <w:rsid w:val="00C27C28"/>
    <w:rPr>
      <w:rFonts w:cs="Times New Roman"/>
      <w:sz w:val="16"/>
      <w:szCs w:val="16"/>
    </w:rPr>
  </w:style>
  <w:style w:type="paragraph" w:styleId="CommentText">
    <w:name w:val="annotation text"/>
    <w:basedOn w:val="Normal"/>
    <w:link w:val="CommentTextChar"/>
    <w:locked/>
    <w:rsid w:val="00C27C28"/>
  </w:style>
  <w:style w:type="character" w:customStyle="1" w:styleId="CommentTextChar">
    <w:name w:val="Comment Text Char"/>
    <w:basedOn w:val="DefaultParagraphFont"/>
    <w:link w:val="CommentText"/>
    <w:locked/>
    <w:rsid w:val="00DE2F25"/>
    <w:rPr>
      <w:rFonts w:ascii="Arial" w:hAnsi="Arial" w:cs="Times New Roman"/>
      <w:spacing w:val="-5"/>
      <w:sz w:val="20"/>
      <w:szCs w:val="20"/>
      <w:lang w:eastAsia="en-US"/>
    </w:rPr>
  </w:style>
  <w:style w:type="paragraph" w:styleId="CommentSubject">
    <w:name w:val="annotation subject"/>
    <w:basedOn w:val="CommentText"/>
    <w:next w:val="CommentText"/>
    <w:link w:val="CommentSubjectChar"/>
    <w:locked/>
    <w:rsid w:val="00C27C28"/>
    <w:rPr>
      <w:b/>
      <w:bCs/>
    </w:rPr>
  </w:style>
  <w:style w:type="character" w:customStyle="1" w:styleId="CommentSubjectChar">
    <w:name w:val="Comment Subject Char"/>
    <w:basedOn w:val="CommentTextChar"/>
    <w:link w:val="CommentSubject"/>
    <w:locked/>
    <w:rsid w:val="00DE2F25"/>
    <w:rPr>
      <w:rFonts w:ascii="Arial" w:hAnsi="Arial" w:cs="Times New Roman"/>
      <w:b/>
      <w:bCs/>
      <w:spacing w:val="-5"/>
      <w:sz w:val="20"/>
      <w:szCs w:val="20"/>
      <w:lang w:eastAsia="en-US"/>
    </w:rPr>
  </w:style>
  <w:style w:type="character" w:customStyle="1" w:styleId="BalloonTextChar1">
    <w:name w:val="Balloon Text Char1"/>
    <w:basedOn w:val="DefaultParagraphFont"/>
    <w:link w:val="BalloonText"/>
    <w:locked/>
    <w:rsid w:val="00DE2F25"/>
    <w:rPr>
      <w:rFonts w:cs="Times New Roman"/>
      <w:spacing w:val="-5"/>
      <w:sz w:val="2"/>
      <w:lang w:eastAsia="en-US"/>
    </w:rPr>
  </w:style>
  <w:style w:type="character" w:customStyle="1" w:styleId="citation">
    <w:name w:val="citation"/>
    <w:basedOn w:val="DefaultParagraphFont"/>
    <w:uiPriority w:val="99"/>
    <w:rsid w:val="00740B7E"/>
    <w:rPr>
      <w:rFonts w:cs="Times New Roman"/>
    </w:rPr>
  </w:style>
  <w:style w:type="paragraph" w:customStyle="1" w:styleId="Definition">
    <w:name w:val="Definition"/>
    <w:aliases w:val="dd"/>
    <w:basedOn w:val="Normal"/>
    <w:uiPriority w:val="99"/>
    <w:rsid w:val="003972AD"/>
    <w:pPr>
      <w:autoSpaceDE w:val="0"/>
      <w:autoSpaceDN w:val="0"/>
      <w:spacing w:before="180" w:line="260" w:lineRule="atLeast"/>
      <w:ind w:left="1134"/>
    </w:pPr>
    <w:rPr>
      <w:rFonts w:ascii="Times" w:hAnsi="Times" w:cs="Times"/>
      <w:spacing w:val="0"/>
      <w:sz w:val="22"/>
      <w:szCs w:val="22"/>
      <w:lang w:eastAsia="en-AU"/>
    </w:rPr>
  </w:style>
  <w:style w:type="paragraph" w:customStyle="1" w:styleId="indenta">
    <w:name w:val="indent(a)"/>
    <w:aliases w:val="a,paragraph"/>
    <w:basedOn w:val="Normal"/>
    <w:rsid w:val="003972AD"/>
    <w:pPr>
      <w:tabs>
        <w:tab w:val="right" w:pos="1531"/>
      </w:tabs>
      <w:autoSpaceDE w:val="0"/>
      <w:autoSpaceDN w:val="0"/>
      <w:spacing w:before="40" w:line="260" w:lineRule="atLeast"/>
      <w:ind w:left="1644" w:hanging="1644"/>
    </w:pPr>
    <w:rPr>
      <w:rFonts w:ascii="Times" w:hAnsi="Times" w:cs="Times"/>
      <w:spacing w:val="0"/>
      <w:sz w:val="22"/>
      <w:szCs w:val="22"/>
      <w:lang w:eastAsia="en-AU"/>
    </w:rPr>
  </w:style>
  <w:style w:type="paragraph" w:customStyle="1" w:styleId="indentii">
    <w:name w:val="indent(ii)"/>
    <w:aliases w:val="aa,paragraph(sub)"/>
    <w:basedOn w:val="indenta"/>
    <w:rsid w:val="003972AD"/>
    <w:pPr>
      <w:tabs>
        <w:tab w:val="clear" w:pos="1531"/>
        <w:tab w:val="right" w:pos="1985"/>
      </w:tabs>
      <w:ind w:left="2098" w:hanging="2098"/>
    </w:pPr>
  </w:style>
  <w:style w:type="character" w:customStyle="1" w:styleId="streetline">
    <w:name w:val="streetline"/>
    <w:basedOn w:val="DefaultParagraphFont"/>
    <w:uiPriority w:val="99"/>
    <w:rsid w:val="00244506"/>
    <w:rPr>
      <w:rFonts w:cs="Times New Roman"/>
    </w:rPr>
  </w:style>
  <w:style w:type="character" w:customStyle="1" w:styleId="locality3">
    <w:name w:val="locality3"/>
    <w:basedOn w:val="DefaultParagraphFont"/>
    <w:uiPriority w:val="99"/>
    <w:rsid w:val="00244506"/>
    <w:rPr>
      <w:rFonts w:cs="Times New Roman"/>
      <w:color w:val="666666"/>
    </w:rPr>
  </w:style>
  <w:style w:type="character" w:customStyle="1" w:styleId="state">
    <w:name w:val="state"/>
    <w:basedOn w:val="DefaultParagraphFont"/>
    <w:uiPriority w:val="99"/>
    <w:rsid w:val="00244506"/>
    <w:rPr>
      <w:rFonts w:cs="Times New Roman"/>
    </w:rPr>
  </w:style>
  <w:style w:type="character" w:customStyle="1" w:styleId="postcode">
    <w:name w:val="postcode"/>
    <w:basedOn w:val="DefaultParagraphFont"/>
    <w:uiPriority w:val="99"/>
    <w:rsid w:val="00244506"/>
    <w:rPr>
      <w:rFonts w:cs="Times New Roman"/>
    </w:rPr>
  </w:style>
  <w:style w:type="paragraph" w:styleId="Revision">
    <w:name w:val="Revision"/>
    <w:hidden/>
    <w:uiPriority w:val="99"/>
    <w:semiHidden/>
    <w:rsid w:val="002314FC"/>
    <w:rPr>
      <w:rFonts w:ascii="Arial" w:hAnsi="Arial"/>
      <w:spacing w:val="-5"/>
      <w:sz w:val="20"/>
      <w:szCs w:val="20"/>
      <w:lang w:eastAsia="en-US"/>
    </w:rPr>
  </w:style>
  <w:style w:type="paragraph" w:customStyle="1" w:styleId="subsection">
    <w:name w:val="subsection"/>
    <w:aliases w:val="ss"/>
    <w:rsid w:val="003C0EE0"/>
    <w:pPr>
      <w:tabs>
        <w:tab w:val="right" w:pos="1021"/>
      </w:tabs>
      <w:spacing w:before="180"/>
      <w:ind w:left="1134" w:hanging="1134"/>
    </w:pPr>
  </w:style>
  <w:style w:type="paragraph" w:customStyle="1" w:styleId="Style1">
    <w:name w:val="Style1"/>
    <w:basedOn w:val="FootnoteText"/>
    <w:uiPriority w:val="99"/>
    <w:rsid w:val="00A247AA"/>
  </w:style>
  <w:style w:type="paragraph" w:customStyle="1" w:styleId="SubmissionNormal">
    <w:name w:val="Submission Normal"/>
    <w:aliases w:val="No Spacing,No Spacing1"/>
    <w:basedOn w:val="Normal"/>
    <w:link w:val="SubmissionNormalChar"/>
    <w:rsid w:val="00306EBC"/>
    <w:pPr>
      <w:numPr>
        <w:numId w:val="6"/>
      </w:numPr>
      <w:spacing w:before="240" w:after="240"/>
    </w:pPr>
    <w:rPr>
      <w:spacing w:val="0"/>
      <w:szCs w:val="24"/>
      <w:lang w:eastAsia="en-AU"/>
    </w:rPr>
  </w:style>
  <w:style w:type="character" w:customStyle="1" w:styleId="SubmissionNormalChar">
    <w:name w:val="Submission Normal Char"/>
    <w:aliases w:val="No Spacing Char,No Spacing1 Char"/>
    <w:basedOn w:val="DefaultParagraphFont"/>
    <w:link w:val="SubmissionNormal"/>
    <w:locked/>
    <w:rsid w:val="00306EBC"/>
    <w:rPr>
      <w:rFonts w:ascii="Arial" w:hAnsi="Arial"/>
      <w:sz w:val="24"/>
      <w:szCs w:val="24"/>
    </w:rPr>
  </w:style>
  <w:style w:type="paragraph" w:customStyle="1" w:styleId="msolistparagraph0">
    <w:name w:val="msolistparagraph"/>
    <w:basedOn w:val="Normal"/>
    <w:uiPriority w:val="99"/>
    <w:rsid w:val="00D35380"/>
    <w:pPr>
      <w:ind w:left="720"/>
    </w:pPr>
    <w:rPr>
      <w:rFonts w:ascii="Calibri" w:hAnsi="Calibri"/>
      <w:spacing w:val="0"/>
      <w:sz w:val="22"/>
      <w:szCs w:val="22"/>
      <w:lang w:eastAsia="en-AU"/>
    </w:rPr>
  </w:style>
  <w:style w:type="paragraph" w:customStyle="1" w:styleId="MainTitle">
    <w:name w:val="Main Title"/>
    <w:uiPriority w:val="99"/>
    <w:semiHidden/>
    <w:rsid w:val="00BE2BC6"/>
    <w:pPr>
      <w:pBdr>
        <w:top w:val="single" w:sz="12" w:space="10" w:color="0070C0"/>
        <w:bottom w:val="single" w:sz="12" w:space="10" w:color="0070C0"/>
      </w:pBdr>
      <w:spacing w:before="240" w:after="240"/>
    </w:pPr>
    <w:rPr>
      <w:rFonts w:ascii="Arial" w:hAnsi="Arial"/>
      <w:bCs/>
      <w:kern w:val="32"/>
      <w:sz w:val="100"/>
      <w:szCs w:val="32"/>
    </w:rPr>
  </w:style>
  <w:style w:type="numbering" w:styleId="ArticleSection">
    <w:name w:val="Outline List 3"/>
    <w:basedOn w:val="NoList"/>
    <w:semiHidden/>
    <w:unhideWhenUsed/>
    <w:locked/>
    <w:rsid w:val="00F04B47"/>
    <w:pPr>
      <w:numPr>
        <w:numId w:val="3"/>
      </w:numPr>
    </w:pPr>
  </w:style>
  <w:style w:type="numbering" w:styleId="1ai">
    <w:name w:val="Outline List 1"/>
    <w:basedOn w:val="NoList"/>
    <w:semiHidden/>
    <w:unhideWhenUsed/>
    <w:locked/>
    <w:rsid w:val="00F04B47"/>
    <w:pPr>
      <w:numPr>
        <w:numId w:val="2"/>
      </w:numPr>
    </w:pPr>
  </w:style>
  <w:style w:type="numbering" w:customStyle="1" w:styleId="StyleNumbered">
    <w:name w:val="Style Numbered"/>
    <w:rsid w:val="00F04B47"/>
    <w:pPr>
      <w:numPr>
        <w:numId w:val="4"/>
      </w:numPr>
    </w:pPr>
  </w:style>
  <w:style w:type="numbering" w:styleId="111111">
    <w:name w:val="Outline List 2"/>
    <w:basedOn w:val="NoList"/>
    <w:semiHidden/>
    <w:unhideWhenUsed/>
    <w:locked/>
    <w:rsid w:val="00F04B47"/>
    <w:pPr>
      <w:numPr>
        <w:numId w:val="1"/>
      </w:numPr>
    </w:pPr>
  </w:style>
  <w:style w:type="paragraph" w:styleId="ListParagraph">
    <w:name w:val="List Paragraph"/>
    <w:basedOn w:val="Normal"/>
    <w:uiPriority w:val="34"/>
    <w:qFormat/>
    <w:rsid w:val="006935F1"/>
    <w:pPr>
      <w:ind w:left="720"/>
      <w:contextualSpacing/>
    </w:pPr>
  </w:style>
  <w:style w:type="paragraph" w:customStyle="1" w:styleId="paragraphsub">
    <w:name w:val="paragraphsub"/>
    <w:basedOn w:val="Normal"/>
    <w:rsid w:val="006A539A"/>
    <w:pPr>
      <w:spacing w:before="100" w:beforeAutospacing="1" w:after="100" w:afterAutospacing="1"/>
    </w:pPr>
    <w:rPr>
      <w:rFonts w:ascii="Times New Roman" w:hAnsi="Times New Roman"/>
      <w:spacing w:val="0"/>
      <w:szCs w:val="24"/>
      <w:lang w:eastAsia="en-AU"/>
    </w:rPr>
  </w:style>
  <w:style w:type="character" w:customStyle="1" w:styleId="EndnoteTextChar1">
    <w:name w:val="Endnote Text Char1"/>
    <w:rsid w:val="004D61EA"/>
    <w:rPr>
      <w:rFonts w:ascii="Arial" w:hAnsi="Arial"/>
    </w:rPr>
  </w:style>
  <w:style w:type="numbering" w:customStyle="1" w:styleId="NoList1">
    <w:name w:val="No List1"/>
    <w:next w:val="NoList"/>
    <w:uiPriority w:val="99"/>
    <w:semiHidden/>
    <w:unhideWhenUsed/>
    <w:rsid w:val="00C56785"/>
  </w:style>
  <w:style w:type="paragraph" w:customStyle="1" w:styleId="Bullet">
    <w:name w:val="Bullet"/>
    <w:basedOn w:val="Normal"/>
    <w:rsid w:val="00C56785"/>
    <w:pPr>
      <w:numPr>
        <w:numId w:val="11"/>
      </w:numPr>
      <w:spacing w:before="60" w:after="60" w:line="360" w:lineRule="exact"/>
      <w:ind w:left="0" w:firstLine="0"/>
      <w:jc w:val="both"/>
    </w:pPr>
    <w:rPr>
      <w:color w:val="000000"/>
      <w:spacing w:val="0"/>
    </w:rPr>
  </w:style>
  <w:style w:type="paragraph" w:customStyle="1" w:styleId="Dash">
    <w:name w:val="Dash"/>
    <w:basedOn w:val="Normal"/>
    <w:rsid w:val="00C56785"/>
    <w:pPr>
      <w:numPr>
        <w:numId w:val="12"/>
      </w:numPr>
      <w:tabs>
        <w:tab w:val="num" w:pos="360"/>
      </w:tabs>
      <w:spacing w:before="20" w:after="20" w:line="360" w:lineRule="exact"/>
      <w:ind w:left="0" w:firstLine="0"/>
      <w:jc w:val="both"/>
    </w:pPr>
    <w:rPr>
      <w:color w:val="000000"/>
      <w:spacing w:val="0"/>
    </w:rPr>
  </w:style>
  <w:style w:type="paragraph" w:customStyle="1" w:styleId="IndentedParagraph">
    <w:name w:val="Indented Paragraph"/>
    <w:basedOn w:val="Normal"/>
    <w:rsid w:val="00C56785"/>
    <w:pPr>
      <w:spacing w:after="240" w:line="360" w:lineRule="exact"/>
      <w:ind w:left="1440"/>
      <w:jc w:val="both"/>
    </w:pPr>
    <w:rPr>
      <w:color w:val="000000"/>
      <w:spacing w:val="0"/>
    </w:rPr>
  </w:style>
  <w:style w:type="paragraph" w:customStyle="1" w:styleId="BasicParagraph">
    <w:name w:val="[Basic Paragraph]"/>
    <w:basedOn w:val="Normal"/>
    <w:rsid w:val="00C56785"/>
    <w:pPr>
      <w:widowControl w:val="0"/>
      <w:autoSpaceDE w:val="0"/>
      <w:autoSpaceDN w:val="0"/>
      <w:adjustRightInd w:val="0"/>
      <w:spacing w:line="288" w:lineRule="auto"/>
      <w:textAlignment w:val="center"/>
    </w:pPr>
    <w:rPr>
      <w:rFonts w:ascii="Times-Roman" w:hAnsi="Times-Roman" w:cs="Times-Roman"/>
      <w:color w:val="000000"/>
      <w:spacing w:val="0"/>
      <w:szCs w:val="24"/>
      <w:lang w:val="en-US" w:bidi="en-US"/>
    </w:rPr>
  </w:style>
  <w:style w:type="table" w:customStyle="1" w:styleId="TableGrid10">
    <w:name w:val="Table Grid1"/>
    <w:basedOn w:val="TableNormal"/>
    <w:next w:val="TableGrid"/>
    <w:rsid w:val="00C56785"/>
    <w:pPr>
      <w:spacing w:line="360" w:lineRule="exac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Block">
    <w:name w:val="Address Block"/>
    <w:basedOn w:val="BodyText"/>
    <w:rsid w:val="00C56785"/>
    <w:pPr>
      <w:keepNext/>
      <w:spacing w:after="0"/>
      <w:jc w:val="both"/>
    </w:pPr>
    <w:rPr>
      <w:rFonts w:cs="ArialMT"/>
      <w:color w:val="000000"/>
      <w:spacing w:val="0"/>
      <w:szCs w:val="24"/>
      <w:lang w:val="en-US" w:bidi="en-US"/>
    </w:rPr>
  </w:style>
  <w:style w:type="paragraph" w:customStyle="1" w:styleId="Addressee">
    <w:name w:val="Addressee"/>
    <w:basedOn w:val="BodyText"/>
    <w:rsid w:val="00C56785"/>
    <w:pPr>
      <w:spacing w:before="227" w:after="340"/>
      <w:jc w:val="both"/>
    </w:pPr>
    <w:rPr>
      <w:rFonts w:cs="ArialMT"/>
      <w:color w:val="000000"/>
      <w:spacing w:val="0"/>
      <w:szCs w:val="24"/>
      <w:lang w:val="en-US" w:bidi="en-US"/>
    </w:rPr>
  </w:style>
  <w:style w:type="paragraph" w:customStyle="1" w:styleId="Titleofletter">
    <w:name w:val="Title of letter"/>
    <w:basedOn w:val="BodyText"/>
    <w:rsid w:val="00C56785"/>
    <w:pPr>
      <w:jc w:val="both"/>
    </w:pPr>
    <w:rPr>
      <w:rFonts w:cs="ArialMT"/>
      <w:b/>
      <w:color w:val="000000"/>
      <w:spacing w:val="0"/>
      <w:szCs w:val="24"/>
      <w:lang w:val="en-US" w:bidi="en-US"/>
    </w:rPr>
  </w:style>
  <w:style w:type="paragraph" w:customStyle="1" w:styleId="YoursSincerley">
    <w:name w:val="Yours Sincerley"/>
    <w:basedOn w:val="BodyText"/>
    <w:rsid w:val="00C56785"/>
    <w:pPr>
      <w:keepNext/>
      <w:spacing w:after="901"/>
      <w:jc w:val="both"/>
    </w:pPr>
    <w:rPr>
      <w:rFonts w:cs="ArialMT"/>
      <w:color w:val="000000"/>
      <w:spacing w:val="0"/>
      <w:szCs w:val="24"/>
      <w:lang w:val="en-US" w:bidi="en-US"/>
    </w:rPr>
  </w:style>
  <w:style w:type="paragraph" w:customStyle="1" w:styleId="HeaderFooter">
    <w:name w:val="Header &amp; Footer"/>
    <w:basedOn w:val="Normal"/>
    <w:rsid w:val="00C56785"/>
    <w:pPr>
      <w:spacing w:line="200" w:lineRule="exact"/>
      <w:jc w:val="both"/>
    </w:pPr>
    <w:rPr>
      <w:rFonts w:cs="ArialMT"/>
      <w:color w:val="000000"/>
      <w:spacing w:val="0"/>
      <w:sz w:val="16"/>
      <w:szCs w:val="24"/>
    </w:rPr>
  </w:style>
  <w:style w:type="paragraph" w:customStyle="1" w:styleId="LogoType">
    <w:name w:val="Logo Type"/>
    <w:basedOn w:val="Header"/>
    <w:rsid w:val="00C56785"/>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szCs w:val="24"/>
    </w:rPr>
  </w:style>
  <w:style w:type="paragraph" w:customStyle="1" w:styleId="OurRef">
    <w:name w:val="Our Ref:"/>
    <w:basedOn w:val="BodyText"/>
    <w:rsid w:val="00C56785"/>
    <w:pPr>
      <w:spacing w:after="193"/>
    </w:pPr>
    <w:rPr>
      <w:rFonts w:cs="ArialMT"/>
      <w:color w:val="000000"/>
      <w:spacing w:val="0"/>
      <w:szCs w:val="24"/>
      <w:lang w:val="en-US" w:bidi="en-US"/>
    </w:rPr>
  </w:style>
  <w:style w:type="paragraph" w:customStyle="1" w:styleId="StyleAddresseeAfter1135pt">
    <w:name w:val="Style Addressee + After:  11.35 pt"/>
    <w:basedOn w:val="Addressee"/>
    <w:rsid w:val="00C56785"/>
    <w:pPr>
      <w:spacing w:before="267" w:after="267"/>
    </w:pPr>
    <w:rPr>
      <w:rFonts w:cs="Times New Roman"/>
      <w:szCs w:val="20"/>
    </w:rPr>
  </w:style>
  <w:style w:type="paragraph" w:customStyle="1" w:styleId="DateInsert">
    <w:name w:val="Date Insert"/>
    <w:basedOn w:val="AddressBlock"/>
    <w:rsid w:val="00C56785"/>
    <w:pPr>
      <w:spacing w:after="227" w:line="320" w:lineRule="exact"/>
    </w:pPr>
  </w:style>
  <w:style w:type="paragraph" w:customStyle="1" w:styleId="NameInsert">
    <w:name w:val="Name Insert"/>
    <w:basedOn w:val="BodyText"/>
    <w:rsid w:val="00C56785"/>
    <w:pPr>
      <w:jc w:val="both"/>
    </w:pPr>
    <w:rPr>
      <w:color w:val="000000"/>
      <w:spacing w:val="0"/>
      <w:lang w:val="en-US" w:bidi="en-US"/>
    </w:rPr>
  </w:style>
  <w:style w:type="character" w:customStyle="1" w:styleId="black1">
    <w:name w:val="black1"/>
    <w:rsid w:val="00C56785"/>
    <w:rPr>
      <w:rFonts w:cs="Times New Roman"/>
      <w:color w:val="000000"/>
    </w:rPr>
  </w:style>
  <w:style w:type="numbering" w:customStyle="1" w:styleId="1111111">
    <w:name w:val="1 / 1.1 / 1.1.11"/>
    <w:basedOn w:val="NoList"/>
    <w:next w:val="111111"/>
    <w:rsid w:val="00C56785"/>
    <w:pPr>
      <w:numPr>
        <w:numId w:val="8"/>
      </w:numPr>
    </w:pPr>
  </w:style>
  <w:style w:type="numbering" w:customStyle="1" w:styleId="1ai1">
    <w:name w:val="1 / a / i1"/>
    <w:basedOn w:val="NoList"/>
    <w:next w:val="1ai"/>
    <w:semiHidden/>
    <w:rsid w:val="00C56785"/>
    <w:pPr>
      <w:numPr>
        <w:numId w:val="9"/>
      </w:numPr>
    </w:pPr>
  </w:style>
  <w:style w:type="numbering" w:customStyle="1" w:styleId="ArticleSection1">
    <w:name w:val="Article / Section1"/>
    <w:basedOn w:val="NoList"/>
    <w:next w:val="ArticleSection"/>
    <w:semiHidden/>
    <w:rsid w:val="00C56785"/>
    <w:pPr>
      <w:numPr>
        <w:numId w:val="10"/>
      </w:numPr>
    </w:pPr>
  </w:style>
  <w:style w:type="paragraph" w:customStyle="1" w:styleId="Reply">
    <w:name w:val="Reply"/>
    <w:basedOn w:val="Normal"/>
    <w:semiHidden/>
    <w:rsid w:val="00C56785"/>
    <w:pPr>
      <w:spacing w:before="240" w:after="120" w:line="280" w:lineRule="exact"/>
    </w:pPr>
    <w:rPr>
      <w:color w:val="000000"/>
      <w:spacing w:val="0"/>
    </w:rPr>
  </w:style>
  <w:style w:type="paragraph" w:customStyle="1" w:styleId="ActHead5">
    <w:name w:val="ActHead 5"/>
    <w:aliases w:val="s"/>
    <w:basedOn w:val="Normal"/>
    <w:next w:val="Normal"/>
    <w:rsid w:val="00C56785"/>
    <w:pPr>
      <w:keepNext/>
      <w:spacing w:before="280"/>
      <w:ind w:left="1134" w:hanging="1134"/>
      <w:outlineLvl w:val="4"/>
    </w:pPr>
    <w:rPr>
      <w:rFonts w:ascii="Times New Roman" w:hAnsi="Times New Roman"/>
      <w:b/>
      <w:bCs/>
      <w:spacing w:val="0"/>
      <w:kern w:val="28"/>
      <w:szCs w:val="24"/>
      <w:lang w:eastAsia="en-AU"/>
    </w:rPr>
  </w:style>
  <w:style w:type="character" w:customStyle="1" w:styleId="CharSectno">
    <w:name w:val="CharSectno"/>
    <w:basedOn w:val="DefaultParagraphFont"/>
    <w:rsid w:val="00C56785"/>
    <w:rPr>
      <w:rFonts w:cs="Times New Roman"/>
    </w:rPr>
  </w:style>
  <w:style w:type="paragraph" w:styleId="Quote">
    <w:name w:val="Quote"/>
    <w:basedOn w:val="Normal"/>
    <w:link w:val="QuoteChar"/>
    <w:uiPriority w:val="29"/>
    <w:qFormat/>
    <w:rsid w:val="00C56785"/>
    <w:pPr>
      <w:spacing w:before="240" w:after="240"/>
      <w:ind w:left="1440"/>
    </w:pPr>
    <w:rPr>
      <w:spacing w:val="0"/>
      <w:sz w:val="22"/>
      <w:szCs w:val="22"/>
      <w:lang w:eastAsia="en-AU"/>
    </w:rPr>
  </w:style>
  <w:style w:type="character" w:customStyle="1" w:styleId="QuoteChar">
    <w:name w:val="Quote Char"/>
    <w:basedOn w:val="DefaultParagraphFont"/>
    <w:link w:val="Quote"/>
    <w:uiPriority w:val="29"/>
    <w:rsid w:val="00C56785"/>
    <w:rPr>
      <w:rFonts w:ascii="Arial" w:hAnsi="Arial"/>
    </w:rPr>
  </w:style>
  <w:style w:type="paragraph" w:customStyle="1" w:styleId="r2">
    <w:name w:val="r2"/>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1">
    <w:name w:val="p1"/>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1-text-column2">
    <w:name w:val="ps_1-text-column2"/>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1-sub-subheading">
    <w:name w:val="ps_1-sub-subheading"/>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1-dotpoint">
    <w:name w:val="ps_1-dotpoint"/>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blackbullet64134">
    <w:name w:val="ps_blackbullet64134"/>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0start134indent">
    <w:name w:val="ps_0start134indent"/>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black401414024140341etc">
    <w:name w:val="ps_black401414024140341etc"/>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Body">
    <w:name w:val="Body"/>
    <w:rsid w:val="00286DC5"/>
    <w:pPr>
      <w:keepLines/>
      <w:spacing w:after="200" w:line="288" w:lineRule="auto"/>
    </w:pPr>
    <w:rPr>
      <w:rFonts w:ascii="Arial" w:eastAsia="ヒラギノ角ゴ Pro W3" w:hAnsi="Arial"/>
      <w:color w:val="000000"/>
      <w:sz w:val="24"/>
      <w:szCs w:val="20"/>
      <w:lang w:val="en-US"/>
    </w:rPr>
  </w:style>
  <w:style w:type="paragraph" w:customStyle="1" w:styleId="BodyBullet">
    <w:name w:val="Body Bullet"/>
    <w:rsid w:val="00286DC5"/>
    <w:pPr>
      <w:spacing w:after="200"/>
    </w:pPr>
    <w:rPr>
      <w:rFonts w:ascii="Arial" w:eastAsia="ヒラギノ角ゴ Pro W3" w:hAnsi="Arial"/>
      <w:color w:val="000000"/>
      <w:sz w:val="24"/>
      <w:szCs w:val="20"/>
      <w:lang w:val="en-US"/>
    </w:rPr>
  </w:style>
  <w:style w:type="paragraph" w:customStyle="1" w:styleId="Default">
    <w:name w:val="Default"/>
    <w:rsid w:val="003D79D8"/>
    <w:pPr>
      <w:autoSpaceDE w:val="0"/>
      <w:autoSpaceDN w:val="0"/>
      <w:adjustRightInd w:val="0"/>
    </w:pPr>
    <w:rPr>
      <w:rFonts w:ascii="Arial" w:hAnsi="Arial" w:cs="Arial"/>
      <w:color w:val="000000"/>
      <w:sz w:val="24"/>
      <w:szCs w:val="24"/>
    </w:rPr>
  </w:style>
  <w:style w:type="paragraph" w:customStyle="1" w:styleId="BodyListParagraph">
    <w:name w:val="Body List Paragraph"/>
    <w:basedOn w:val="Normal"/>
    <w:uiPriority w:val="99"/>
    <w:rsid w:val="00742C16"/>
    <w:pPr>
      <w:widowControl w:val="0"/>
      <w:numPr>
        <w:numId w:val="41"/>
      </w:numPr>
      <w:suppressAutoHyphens/>
      <w:autoSpaceDE w:val="0"/>
      <w:autoSpaceDN w:val="0"/>
      <w:adjustRightInd w:val="0"/>
      <w:spacing w:after="113" w:line="288" w:lineRule="auto"/>
      <w:textAlignment w:val="center"/>
    </w:pPr>
    <w:rPr>
      <w:rFonts w:eastAsiaTheme="minorEastAsia" w:cs="HelveticaNeue"/>
      <w:color w:val="000000"/>
      <w:spacing w:val="0"/>
      <w:szCs w:val="17"/>
      <w:lang w:val="en-US" w:eastAsia="en-AU"/>
    </w:rPr>
  </w:style>
  <w:style w:type="paragraph" w:customStyle="1" w:styleId="Nessunostileparagrafo">
    <w:name w:val="[Nessuno stile paragrafo]"/>
    <w:rsid w:val="0083279D"/>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essunostileparagrafo"/>
    <w:uiPriority w:val="99"/>
    <w:rsid w:val="0083279D"/>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InternalSubTitlePlain">
    <w:name w:val="Internal Sub Title Plain"/>
    <w:basedOn w:val="Nessunostileparagrafo"/>
    <w:uiPriority w:val="99"/>
    <w:rsid w:val="0083279D"/>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InternalTitleAHRC">
    <w:name w:val="Internal Title AHRC"/>
    <w:basedOn w:val="EndnoteText"/>
    <w:uiPriority w:val="99"/>
    <w:rsid w:val="0083279D"/>
    <w:pPr>
      <w:keepLines w:val="0"/>
      <w:widowControl w:val="0"/>
      <w:tabs>
        <w:tab w:val="left" w:pos="567"/>
      </w:tabs>
      <w:suppressAutoHyphens/>
      <w:autoSpaceDE w:val="0"/>
      <w:autoSpaceDN w:val="0"/>
      <w:adjustRightInd w:val="0"/>
      <w:spacing w:line="288" w:lineRule="auto"/>
      <w:ind w:left="340" w:hanging="340"/>
      <w:textAlignment w:val="center"/>
    </w:pPr>
    <w:rPr>
      <w:rFonts w:ascii="HelveticaNeue-Bold" w:hAnsi="HelveticaNeue-Bold" w:cs="HelveticaNeue-Bold"/>
      <w:b/>
      <w:bCs/>
      <w:color w:val="4C4C4C"/>
      <w:spacing w:val="0"/>
      <w:sz w:val="20"/>
      <w:lang w:val="en-US" w:eastAsia="en-AU"/>
    </w:rPr>
  </w:style>
  <w:style w:type="paragraph" w:customStyle="1" w:styleId="CopyrightText">
    <w:name w:val="Copyright Text"/>
    <w:basedOn w:val="Normal"/>
    <w:uiPriority w:val="99"/>
    <w:rsid w:val="000010F1"/>
    <w:pPr>
      <w:keepLines w:val="0"/>
      <w:widowControl w:val="0"/>
      <w:tabs>
        <w:tab w:val="left" w:pos="170"/>
      </w:tabs>
      <w:suppressAutoHyphens/>
      <w:autoSpaceDE w:val="0"/>
      <w:autoSpaceDN w:val="0"/>
      <w:adjustRightInd w:val="0"/>
      <w:spacing w:after="57" w:line="288" w:lineRule="auto"/>
      <w:textAlignment w:val="center"/>
    </w:pPr>
    <w:rPr>
      <w:rFonts w:eastAsiaTheme="minorEastAsia" w:cs="HelveticaCYPlain"/>
      <w:spacing w:val="0"/>
      <w:sz w:val="20"/>
      <w:szCs w:val="16"/>
      <w:u w:color="000000"/>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9820">
      <w:marLeft w:val="0"/>
      <w:marRight w:val="0"/>
      <w:marTop w:val="0"/>
      <w:marBottom w:val="0"/>
      <w:divBdr>
        <w:top w:val="none" w:sz="0" w:space="0" w:color="auto"/>
        <w:left w:val="none" w:sz="0" w:space="0" w:color="auto"/>
        <w:bottom w:val="none" w:sz="0" w:space="0" w:color="auto"/>
        <w:right w:val="none" w:sz="0" w:space="0" w:color="auto"/>
      </w:divBdr>
      <w:divsChild>
        <w:div w:id="103619826">
          <w:marLeft w:val="0"/>
          <w:marRight w:val="0"/>
          <w:marTop w:val="0"/>
          <w:marBottom w:val="0"/>
          <w:divBdr>
            <w:top w:val="none" w:sz="0" w:space="0" w:color="auto"/>
            <w:left w:val="none" w:sz="0" w:space="0" w:color="auto"/>
            <w:bottom w:val="none" w:sz="0" w:space="0" w:color="auto"/>
            <w:right w:val="none" w:sz="0" w:space="0" w:color="auto"/>
          </w:divBdr>
          <w:divsChild>
            <w:div w:id="1036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21">
      <w:marLeft w:val="0"/>
      <w:marRight w:val="0"/>
      <w:marTop w:val="0"/>
      <w:marBottom w:val="0"/>
      <w:divBdr>
        <w:top w:val="none" w:sz="0" w:space="0" w:color="auto"/>
        <w:left w:val="none" w:sz="0" w:space="0" w:color="auto"/>
        <w:bottom w:val="none" w:sz="0" w:space="0" w:color="auto"/>
        <w:right w:val="none" w:sz="0" w:space="0" w:color="auto"/>
      </w:divBdr>
    </w:div>
    <w:div w:id="103619822">
      <w:marLeft w:val="0"/>
      <w:marRight w:val="0"/>
      <w:marTop w:val="0"/>
      <w:marBottom w:val="0"/>
      <w:divBdr>
        <w:top w:val="none" w:sz="0" w:space="0" w:color="auto"/>
        <w:left w:val="none" w:sz="0" w:space="0" w:color="auto"/>
        <w:bottom w:val="none" w:sz="0" w:space="0" w:color="auto"/>
        <w:right w:val="none" w:sz="0" w:space="0" w:color="auto"/>
      </w:divBdr>
    </w:div>
    <w:div w:id="103619823">
      <w:marLeft w:val="0"/>
      <w:marRight w:val="0"/>
      <w:marTop w:val="0"/>
      <w:marBottom w:val="0"/>
      <w:divBdr>
        <w:top w:val="none" w:sz="0" w:space="0" w:color="auto"/>
        <w:left w:val="none" w:sz="0" w:space="0" w:color="auto"/>
        <w:bottom w:val="none" w:sz="0" w:space="0" w:color="auto"/>
        <w:right w:val="none" w:sz="0" w:space="0" w:color="auto"/>
      </w:divBdr>
    </w:div>
    <w:div w:id="103619824">
      <w:marLeft w:val="0"/>
      <w:marRight w:val="0"/>
      <w:marTop w:val="0"/>
      <w:marBottom w:val="0"/>
      <w:divBdr>
        <w:top w:val="none" w:sz="0" w:space="0" w:color="auto"/>
        <w:left w:val="none" w:sz="0" w:space="0" w:color="auto"/>
        <w:bottom w:val="none" w:sz="0" w:space="0" w:color="auto"/>
        <w:right w:val="none" w:sz="0" w:space="0" w:color="auto"/>
      </w:divBdr>
    </w:div>
    <w:div w:id="103619828">
      <w:marLeft w:val="0"/>
      <w:marRight w:val="0"/>
      <w:marTop w:val="0"/>
      <w:marBottom w:val="0"/>
      <w:divBdr>
        <w:top w:val="none" w:sz="0" w:space="0" w:color="auto"/>
        <w:left w:val="none" w:sz="0" w:space="0" w:color="auto"/>
        <w:bottom w:val="none" w:sz="0" w:space="0" w:color="auto"/>
        <w:right w:val="none" w:sz="0" w:space="0" w:color="auto"/>
      </w:divBdr>
    </w:div>
    <w:div w:id="103619829">
      <w:marLeft w:val="0"/>
      <w:marRight w:val="0"/>
      <w:marTop w:val="0"/>
      <w:marBottom w:val="0"/>
      <w:divBdr>
        <w:top w:val="none" w:sz="0" w:space="0" w:color="auto"/>
        <w:left w:val="none" w:sz="0" w:space="0" w:color="auto"/>
        <w:bottom w:val="none" w:sz="0" w:space="0" w:color="auto"/>
        <w:right w:val="none" w:sz="0" w:space="0" w:color="auto"/>
      </w:divBdr>
    </w:div>
    <w:div w:id="103619830">
      <w:marLeft w:val="0"/>
      <w:marRight w:val="0"/>
      <w:marTop w:val="0"/>
      <w:marBottom w:val="0"/>
      <w:divBdr>
        <w:top w:val="none" w:sz="0" w:space="0" w:color="auto"/>
        <w:left w:val="none" w:sz="0" w:space="0" w:color="auto"/>
        <w:bottom w:val="none" w:sz="0" w:space="0" w:color="auto"/>
        <w:right w:val="none" w:sz="0" w:space="0" w:color="auto"/>
      </w:divBdr>
      <w:divsChild>
        <w:div w:id="103619819">
          <w:marLeft w:val="0"/>
          <w:marRight w:val="0"/>
          <w:marTop w:val="0"/>
          <w:marBottom w:val="0"/>
          <w:divBdr>
            <w:top w:val="none" w:sz="0" w:space="0" w:color="auto"/>
            <w:left w:val="none" w:sz="0" w:space="0" w:color="auto"/>
            <w:bottom w:val="none" w:sz="0" w:space="0" w:color="auto"/>
            <w:right w:val="none" w:sz="0" w:space="0" w:color="auto"/>
          </w:divBdr>
          <w:divsChild>
            <w:div w:id="1036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31">
      <w:marLeft w:val="0"/>
      <w:marRight w:val="0"/>
      <w:marTop w:val="0"/>
      <w:marBottom w:val="0"/>
      <w:divBdr>
        <w:top w:val="none" w:sz="0" w:space="0" w:color="auto"/>
        <w:left w:val="none" w:sz="0" w:space="0" w:color="auto"/>
        <w:bottom w:val="none" w:sz="0" w:space="0" w:color="auto"/>
        <w:right w:val="none" w:sz="0" w:space="0" w:color="auto"/>
      </w:divBdr>
    </w:div>
    <w:div w:id="103619832">
      <w:marLeft w:val="0"/>
      <w:marRight w:val="0"/>
      <w:marTop w:val="0"/>
      <w:marBottom w:val="0"/>
      <w:divBdr>
        <w:top w:val="none" w:sz="0" w:space="0" w:color="auto"/>
        <w:left w:val="none" w:sz="0" w:space="0" w:color="auto"/>
        <w:bottom w:val="none" w:sz="0" w:space="0" w:color="auto"/>
        <w:right w:val="none" w:sz="0" w:space="0" w:color="auto"/>
      </w:divBdr>
    </w:div>
    <w:div w:id="103619833">
      <w:marLeft w:val="0"/>
      <w:marRight w:val="0"/>
      <w:marTop w:val="0"/>
      <w:marBottom w:val="0"/>
      <w:divBdr>
        <w:top w:val="none" w:sz="0" w:space="0" w:color="auto"/>
        <w:left w:val="none" w:sz="0" w:space="0" w:color="auto"/>
        <w:bottom w:val="none" w:sz="0" w:space="0" w:color="auto"/>
        <w:right w:val="none" w:sz="0" w:space="0" w:color="auto"/>
      </w:divBdr>
    </w:div>
    <w:div w:id="103619834">
      <w:marLeft w:val="0"/>
      <w:marRight w:val="0"/>
      <w:marTop w:val="0"/>
      <w:marBottom w:val="0"/>
      <w:divBdr>
        <w:top w:val="none" w:sz="0" w:space="0" w:color="auto"/>
        <w:left w:val="none" w:sz="0" w:space="0" w:color="auto"/>
        <w:bottom w:val="none" w:sz="0" w:space="0" w:color="auto"/>
        <w:right w:val="none" w:sz="0" w:space="0" w:color="auto"/>
      </w:divBdr>
      <w:divsChild>
        <w:div w:id="103619836">
          <w:marLeft w:val="0"/>
          <w:marRight w:val="0"/>
          <w:marTop w:val="0"/>
          <w:marBottom w:val="0"/>
          <w:divBdr>
            <w:top w:val="none" w:sz="0" w:space="0" w:color="auto"/>
            <w:left w:val="none" w:sz="0" w:space="0" w:color="auto"/>
            <w:bottom w:val="none" w:sz="0" w:space="0" w:color="auto"/>
            <w:right w:val="none" w:sz="0" w:space="0" w:color="auto"/>
          </w:divBdr>
          <w:divsChild>
            <w:div w:id="1036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35">
      <w:marLeft w:val="0"/>
      <w:marRight w:val="0"/>
      <w:marTop w:val="0"/>
      <w:marBottom w:val="0"/>
      <w:divBdr>
        <w:top w:val="none" w:sz="0" w:space="0" w:color="auto"/>
        <w:left w:val="none" w:sz="0" w:space="0" w:color="auto"/>
        <w:bottom w:val="none" w:sz="0" w:space="0" w:color="auto"/>
        <w:right w:val="none" w:sz="0" w:space="0" w:color="auto"/>
      </w:divBdr>
    </w:div>
    <w:div w:id="229118158">
      <w:bodyDiv w:val="1"/>
      <w:marLeft w:val="0"/>
      <w:marRight w:val="0"/>
      <w:marTop w:val="0"/>
      <w:marBottom w:val="0"/>
      <w:divBdr>
        <w:top w:val="none" w:sz="0" w:space="0" w:color="auto"/>
        <w:left w:val="none" w:sz="0" w:space="0" w:color="auto"/>
        <w:bottom w:val="none" w:sz="0" w:space="0" w:color="auto"/>
        <w:right w:val="none" w:sz="0" w:space="0" w:color="auto"/>
      </w:divBdr>
      <w:divsChild>
        <w:div w:id="334579564">
          <w:marLeft w:val="0"/>
          <w:marRight w:val="0"/>
          <w:marTop w:val="0"/>
          <w:marBottom w:val="0"/>
          <w:divBdr>
            <w:top w:val="none" w:sz="0" w:space="0" w:color="auto"/>
            <w:left w:val="none" w:sz="0" w:space="0" w:color="auto"/>
            <w:bottom w:val="none" w:sz="0" w:space="0" w:color="auto"/>
            <w:right w:val="none" w:sz="0" w:space="0" w:color="auto"/>
          </w:divBdr>
          <w:divsChild>
            <w:div w:id="1133597759">
              <w:marLeft w:val="0"/>
              <w:marRight w:val="0"/>
              <w:marTop w:val="0"/>
              <w:marBottom w:val="0"/>
              <w:divBdr>
                <w:top w:val="none" w:sz="0" w:space="0" w:color="auto"/>
                <w:left w:val="none" w:sz="0" w:space="0" w:color="auto"/>
                <w:bottom w:val="none" w:sz="0" w:space="0" w:color="auto"/>
                <w:right w:val="none" w:sz="0" w:space="0" w:color="auto"/>
              </w:divBdr>
              <w:divsChild>
                <w:div w:id="1208108889">
                  <w:marLeft w:val="0"/>
                  <w:marRight w:val="0"/>
                  <w:marTop w:val="0"/>
                  <w:marBottom w:val="0"/>
                  <w:divBdr>
                    <w:top w:val="none" w:sz="0" w:space="0" w:color="auto"/>
                    <w:left w:val="none" w:sz="0" w:space="0" w:color="auto"/>
                    <w:bottom w:val="none" w:sz="0" w:space="0" w:color="auto"/>
                    <w:right w:val="none" w:sz="0" w:space="0" w:color="auto"/>
                  </w:divBdr>
                  <w:divsChild>
                    <w:div w:id="21248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4117">
      <w:bodyDiv w:val="1"/>
      <w:marLeft w:val="0"/>
      <w:marRight w:val="0"/>
      <w:marTop w:val="0"/>
      <w:marBottom w:val="0"/>
      <w:divBdr>
        <w:top w:val="none" w:sz="0" w:space="0" w:color="auto"/>
        <w:left w:val="none" w:sz="0" w:space="0" w:color="auto"/>
        <w:bottom w:val="none" w:sz="0" w:space="0" w:color="auto"/>
        <w:right w:val="none" w:sz="0" w:space="0" w:color="auto"/>
      </w:divBdr>
    </w:div>
    <w:div w:id="1063715832">
      <w:bodyDiv w:val="1"/>
      <w:marLeft w:val="0"/>
      <w:marRight w:val="0"/>
      <w:marTop w:val="0"/>
      <w:marBottom w:val="0"/>
      <w:divBdr>
        <w:top w:val="none" w:sz="0" w:space="0" w:color="auto"/>
        <w:left w:val="none" w:sz="0" w:space="0" w:color="auto"/>
        <w:bottom w:val="none" w:sz="0" w:space="0" w:color="auto"/>
        <w:right w:val="none" w:sz="0" w:space="0" w:color="auto"/>
      </w:divBdr>
    </w:div>
    <w:div w:id="1156798644">
      <w:bodyDiv w:val="1"/>
      <w:marLeft w:val="0"/>
      <w:marRight w:val="0"/>
      <w:marTop w:val="0"/>
      <w:marBottom w:val="0"/>
      <w:divBdr>
        <w:top w:val="none" w:sz="0" w:space="0" w:color="auto"/>
        <w:left w:val="none" w:sz="0" w:space="0" w:color="auto"/>
        <w:bottom w:val="none" w:sz="0" w:space="0" w:color="auto"/>
        <w:right w:val="none" w:sz="0" w:space="0" w:color="auto"/>
      </w:divBdr>
    </w:div>
    <w:div w:id="1196650023">
      <w:bodyDiv w:val="1"/>
      <w:marLeft w:val="0"/>
      <w:marRight w:val="0"/>
      <w:marTop w:val="0"/>
      <w:marBottom w:val="0"/>
      <w:divBdr>
        <w:top w:val="none" w:sz="0" w:space="0" w:color="auto"/>
        <w:left w:val="none" w:sz="0" w:space="0" w:color="auto"/>
        <w:bottom w:val="none" w:sz="0" w:space="0" w:color="auto"/>
        <w:right w:val="none" w:sz="0" w:space="0" w:color="auto"/>
      </w:divBdr>
    </w:div>
    <w:div w:id="1425028766">
      <w:bodyDiv w:val="1"/>
      <w:marLeft w:val="0"/>
      <w:marRight w:val="0"/>
      <w:marTop w:val="0"/>
      <w:marBottom w:val="0"/>
      <w:divBdr>
        <w:top w:val="none" w:sz="0" w:space="0" w:color="auto"/>
        <w:left w:val="none" w:sz="0" w:space="0" w:color="auto"/>
        <w:bottom w:val="none" w:sz="0" w:space="0" w:color="auto"/>
        <w:right w:val="none" w:sz="0" w:space="0" w:color="auto"/>
      </w:divBdr>
    </w:div>
    <w:div w:id="147333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image" Target="cid:image006.jpg@01CFD652.DC74FAF0"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C0566-135E-4455-B0E6-B236EC5B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6469</Words>
  <Characters>36875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43258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Bronwyn Byrnes</dc:creator>
  <cp:lastModifiedBy>Isobel McGarity</cp:lastModifiedBy>
  <cp:revision>9</cp:revision>
  <cp:lastPrinted>2014-06-18T23:40:00Z</cp:lastPrinted>
  <dcterms:created xsi:type="dcterms:W3CDTF">2015-02-04T23:26:00Z</dcterms:created>
  <dcterms:modified xsi:type="dcterms:W3CDTF">2015-02-05T03:20:00Z</dcterms:modified>
</cp:coreProperties>
</file>