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6BDD" w14:textId="05F7459D" w:rsidR="009537B7" w:rsidRDefault="009537B7" w:rsidP="002128CB">
      <w:pPr>
        <w:spacing w:after="120"/>
        <w:rPr>
          <w:rFonts w:cs="Arial"/>
          <w:b/>
          <w:sz w:val="36"/>
          <w:szCs w:val="36"/>
        </w:rPr>
      </w:pPr>
      <w:r w:rsidRPr="009537B7">
        <w:rPr>
          <w:rFonts w:cs="Arial"/>
          <w:b/>
          <w:noProof/>
          <w:sz w:val="36"/>
          <w:szCs w:val="36"/>
          <w:lang w:eastAsia="en-AU"/>
        </w:rPr>
        <w:drawing>
          <wp:anchor distT="0" distB="0" distL="114300" distR="114300" simplePos="0" relativeHeight="251659264" behindDoc="1" locked="0" layoutInCell="0" allowOverlap="1" wp14:anchorId="130919ED" wp14:editId="0F71B879">
            <wp:simplePos x="0" y="0"/>
            <wp:positionH relativeFrom="margin">
              <wp:posOffset>-914400</wp:posOffset>
            </wp:positionH>
            <wp:positionV relativeFrom="margin">
              <wp:posOffset>-914400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0" cy="11168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62BB07" w14:textId="7A3647E9" w:rsidR="009537B7" w:rsidRDefault="009537B7" w:rsidP="002128CB">
      <w:pPr>
        <w:spacing w:after="120"/>
        <w:rPr>
          <w:rFonts w:cs="Arial"/>
          <w:b/>
          <w:sz w:val="36"/>
          <w:szCs w:val="36"/>
        </w:rPr>
      </w:pPr>
      <w:r w:rsidRPr="009537B7">
        <w:rPr>
          <w:rFonts w:cs="Arial"/>
          <w:b/>
          <w:noProof/>
          <w:sz w:val="36"/>
          <w:szCs w:val="36"/>
          <w:lang w:eastAsia="en-AU"/>
        </w:rPr>
        <mc:AlternateContent>
          <mc:Choice Requires="wps">
            <w:drawing>
              <wp:anchor distT="0" distB="0" distL="114300" distR="114300" simplePos="0" relativeHeight="251660288" behindDoc="0" locked="0" layoutInCell="1" allowOverlap="1" wp14:anchorId="764D5F58" wp14:editId="1D4CC326">
                <wp:simplePos x="0" y="0"/>
                <wp:positionH relativeFrom="column">
                  <wp:posOffset>2574290</wp:posOffset>
                </wp:positionH>
                <wp:positionV relativeFrom="paragraph">
                  <wp:posOffset>137160</wp:posOffset>
                </wp:positionV>
                <wp:extent cx="329184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29184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CF7B96" w14:textId="494149E2" w:rsidR="009537B7" w:rsidRDefault="009537B7" w:rsidP="009537B7">
                            <w:pPr>
                              <w:spacing w:before="0"/>
                              <w:jc w:val="right"/>
                              <w:rPr>
                                <w:rFonts w:cs="Arial"/>
                                <w:b/>
                                <w:color w:val="548DD4" w:themeColor="text2" w:themeTint="99"/>
                                <w:sz w:val="48"/>
                                <w:szCs w:val="48"/>
                              </w:rPr>
                            </w:pPr>
                            <w:r>
                              <w:rPr>
                                <w:rFonts w:cs="Arial"/>
                                <w:b/>
                                <w:color w:val="548DD4" w:themeColor="text2" w:themeTint="99"/>
                                <w:sz w:val="48"/>
                                <w:szCs w:val="48"/>
                              </w:rPr>
                              <w:t>Rahimi (deceased) v</w:t>
                            </w:r>
                          </w:p>
                          <w:p w14:paraId="08C4FA58" w14:textId="77777777" w:rsidR="009537B7" w:rsidRDefault="009537B7" w:rsidP="009537B7">
                            <w:pPr>
                              <w:spacing w:before="0"/>
                              <w:jc w:val="right"/>
                              <w:rPr>
                                <w:rFonts w:cs="Arial"/>
                                <w:b/>
                                <w:color w:val="548DD4" w:themeColor="text2" w:themeTint="99"/>
                                <w:sz w:val="48"/>
                                <w:szCs w:val="48"/>
                              </w:rPr>
                            </w:pPr>
                            <w:r>
                              <w:rPr>
                                <w:rFonts w:cs="Arial"/>
                                <w:b/>
                                <w:color w:val="548DD4" w:themeColor="text2" w:themeTint="99"/>
                                <w:sz w:val="48"/>
                                <w:szCs w:val="48"/>
                              </w:rPr>
                              <w:t>Commonwealth of</w:t>
                            </w:r>
                          </w:p>
                          <w:p w14:paraId="07C4B513" w14:textId="77777777" w:rsidR="009537B7" w:rsidRPr="00833542" w:rsidRDefault="009537B7" w:rsidP="009537B7">
                            <w:pPr>
                              <w:spacing w:before="0" w:after="28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06348BC" w14:textId="78C7C7CA" w:rsidR="009537B7" w:rsidRPr="00E46837" w:rsidRDefault="009537B7" w:rsidP="009537B7">
                            <w:pPr>
                              <w:spacing w:before="0"/>
                              <w:jc w:val="right"/>
                              <w:rPr>
                                <w:rFonts w:ascii="Arial Narrow Bold" w:hAnsi="Arial Narrow Bold"/>
                                <w:sz w:val="32"/>
                                <w:szCs w:val="32"/>
                              </w:rPr>
                            </w:pPr>
                            <w:r>
                              <w:rPr>
                                <w:rFonts w:ascii="Arial Narrow Bold" w:hAnsi="Arial Narrow Bold"/>
                                <w:sz w:val="32"/>
                                <w:szCs w:val="32"/>
                              </w:rPr>
                              <w:t xml:space="preserve"> [201</w:t>
                            </w:r>
                            <w:r w:rsidR="00734F2B">
                              <w:rPr>
                                <w:rFonts w:ascii="Arial Narrow Bold" w:hAnsi="Arial Narrow Bold"/>
                                <w:sz w:val="32"/>
                                <w:szCs w:val="32"/>
                              </w:rPr>
                              <w:t>5</w:t>
                            </w:r>
                            <w:r>
                              <w:rPr>
                                <w:rFonts w:ascii="Arial Narrow Bold" w:hAnsi="Arial Narrow Bold"/>
                                <w:sz w:val="32"/>
                                <w:szCs w:val="32"/>
                              </w:rPr>
                              <w:t xml:space="preserve">] </w:t>
                            </w:r>
                            <w:proofErr w:type="spellStart"/>
                            <w:r>
                              <w:rPr>
                                <w:rFonts w:ascii="Arial Narrow Bold" w:hAnsi="Arial Narrow Bold"/>
                                <w:sz w:val="32"/>
                                <w:szCs w:val="32"/>
                              </w:rPr>
                              <w:t>AusHRC</w:t>
                            </w:r>
                            <w:proofErr w:type="spellEnd"/>
                            <w:r>
                              <w:rPr>
                                <w:rFonts w:ascii="Arial Narrow Bold" w:hAnsi="Arial Narrow Bold"/>
                                <w:sz w:val="32"/>
                                <w:szCs w:val="32"/>
                              </w:rPr>
                              <w:t xml:space="preserve"> 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D5F58" id="_x0000_t202" coordsize="21600,21600" o:spt="202" path="m,l,21600r21600,l21600,xe">
                <v:stroke joinstyle="miter"/>
                <v:path gradientshapeok="t" o:connecttype="rect"/>
              </v:shapetype>
              <v:shape id="Text Box 5" o:spid="_x0000_s1026" type="#_x0000_t202" style="position:absolute;margin-left:202.7pt;margin-top:10.8pt;width:259.2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LnrAIAAKQFAAAOAAAAZHJzL2Uyb0RvYy54bWysVMFu2zAMvQ/YPwi6p7ZTp2uMOoWbIsOA&#10;oi3WDj0rstQYs0VNUmJnw/59lGynWbdLh11sinykyEeKF5ddU5OdMLYCldPkJKZEKA5lpZ5z+uVx&#10;NTmnxDqmSlaDEjndC0svF+/fXbQ6E1PYQF0KQzCIslmrc7pxTmdRZPlGNMyegBYKjRJMwxwezXNU&#10;GtZi9KaOpnF8FrVgSm2AC2tRe90b6SLEl1JwdyelFY7UOcXcXPia8F37b7S4YNmzYXpT8SEN9g9Z&#10;NKxSeOkh1DVzjGxN9UeopuIGLEh3wqGJQMqKi1ADVpPEr6p52DAtQi1IjtUHmuz/C8tvd/eGVGVO&#10;Z5Qo1mCLHkXnyBV0ZObZabXNEPSgEeY6VGOXR71FpS+6k6bxfyyHoB153h+49cE4Kk+n8+Q8RRNH&#10;WzJPT5M4sB+9uGtj3UcBDfFCTg02L3DKdjfWYSoIHSH+NgWrqq5DA2v1mwKBvUaECei9WYapoOiR&#10;PqnQnR/L2Ydp8WE2n5wVs2SSJvH5pCji6eR6VcRFnK6W8/Tqp68XY47+keekrz1Ibl8LH7VWn4VE&#10;LgMFXhGmWCxrQ3YM549xLpQL7IUMEe1REqt4i+OAD3WE+t7i3DMy3gzKHZybSoEJfL9Ku/w6pix7&#10;PJJxVLcXXbfuhllZQ7nHUTHQPzWr+arCdt4w6+6ZwbeFI4D7wt3hR9bQ5hQGiZINmO9/03s8jjxa&#10;KWnxrebUftsyIyipPyl8DPMk9ZPlwiHFjuLBHFvWxxa1bZaA7UhwM2keRI939ShKA80TrpXC34om&#10;pjjenVM3ikvXbxBcS1wURQDhc9bM3agHzX1o3x0/rI/dEzN6mGiHE3QL46tm2avB7rHeU0GxdSCr&#10;MPWe4J7VgXhcBWEeh7Xld83xOaBeluviFwAAAP//AwBQSwMEFAAGAAgAAAAhAP0/cOjfAAAACgEA&#10;AA8AAABkcnMvZG93bnJldi54bWxMj8tOwzAQRfdI/IM1SOyo3TQNNGRSIRBbEOUhsXOTaRIRj6PY&#10;bcLfM6xgOZqje88ttrPr1YnG0HlGWC4MKOLK1x03CG+vj1c3oEK0XNveMyF8U4BteX5W2Lz2E7/Q&#10;aRcbJSEccovQxjjkWoeqJWfDwg/E8jv40dko59joerSThLteJ8Zk2tmOpaG1A923VH3tjg7h/enw&#10;+ZGa5+bBrYfJz0az22jEy4v57hZUpDn+wfCrL+pQitPeH7kOqkdIzToVFCFZZqAE2CQr2bJHWCXX&#10;Geiy0P8nlD8AAAD//wMAUEsBAi0AFAAGAAgAAAAhALaDOJL+AAAA4QEAABMAAAAAAAAAAAAAAAAA&#10;AAAAAFtDb250ZW50X1R5cGVzXS54bWxQSwECLQAUAAYACAAAACEAOP0h/9YAAACUAQAACwAAAAAA&#10;AAAAAAAAAAAvAQAAX3JlbHMvLnJlbHNQSwECLQAUAAYACAAAACEAnoji56wCAACkBQAADgAAAAAA&#10;AAAAAAAAAAAuAgAAZHJzL2Uyb0RvYy54bWxQSwECLQAUAAYACAAAACEA/T9w6N8AAAAKAQAADwAA&#10;AAAAAAAAAAAAAAAGBQAAZHJzL2Rvd25yZXYueG1sUEsFBgAAAAAEAAQA8wAAABIGAAAAAA==&#10;" filled="f" stroked="f">
                <v:textbox>
                  <w:txbxContent>
                    <w:p w14:paraId="4ECF7B96" w14:textId="494149E2" w:rsidR="009537B7" w:rsidRDefault="009537B7" w:rsidP="009537B7">
                      <w:pPr>
                        <w:spacing w:before="0"/>
                        <w:jc w:val="right"/>
                        <w:rPr>
                          <w:rFonts w:cs="Arial"/>
                          <w:b/>
                          <w:color w:val="548DD4" w:themeColor="text2" w:themeTint="99"/>
                          <w:sz w:val="48"/>
                          <w:szCs w:val="48"/>
                        </w:rPr>
                      </w:pPr>
                      <w:r>
                        <w:rPr>
                          <w:rFonts w:cs="Arial"/>
                          <w:b/>
                          <w:color w:val="548DD4" w:themeColor="text2" w:themeTint="99"/>
                          <w:sz w:val="48"/>
                          <w:szCs w:val="48"/>
                        </w:rPr>
                        <w:t>Rahimi (deceased) v</w:t>
                      </w:r>
                    </w:p>
                    <w:p w14:paraId="08C4FA58" w14:textId="77777777" w:rsidR="009537B7" w:rsidRDefault="009537B7" w:rsidP="009537B7">
                      <w:pPr>
                        <w:spacing w:before="0"/>
                        <w:jc w:val="right"/>
                        <w:rPr>
                          <w:rFonts w:cs="Arial"/>
                          <w:b/>
                          <w:color w:val="548DD4" w:themeColor="text2" w:themeTint="99"/>
                          <w:sz w:val="48"/>
                          <w:szCs w:val="48"/>
                        </w:rPr>
                      </w:pPr>
                      <w:r>
                        <w:rPr>
                          <w:rFonts w:cs="Arial"/>
                          <w:b/>
                          <w:color w:val="548DD4" w:themeColor="text2" w:themeTint="99"/>
                          <w:sz w:val="48"/>
                          <w:szCs w:val="48"/>
                        </w:rPr>
                        <w:t>Commonwealth of</w:t>
                      </w:r>
                    </w:p>
                    <w:p w14:paraId="07C4B513" w14:textId="77777777" w:rsidR="009537B7" w:rsidRPr="00833542" w:rsidRDefault="009537B7" w:rsidP="009537B7">
                      <w:pPr>
                        <w:spacing w:before="0" w:after="280"/>
                        <w:jc w:val="right"/>
                        <w:rPr>
                          <w:rFonts w:cs="Arial"/>
                          <w:b/>
                          <w:color w:val="548DD4" w:themeColor="text2" w:themeTint="99"/>
                          <w:sz w:val="48"/>
                          <w:szCs w:val="48"/>
                        </w:rPr>
                      </w:pPr>
                      <w:r>
                        <w:rPr>
                          <w:rFonts w:cs="Arial"/>
                          <w:b/>
                          <w:color w:val="548DD4" w:themeColor="text2" w:themeTint="99"/>
                          <w:sz w:val="48"/>
                          <w:szCs w:val="48"/>
                        </w:rPr>
                        <w:t xml:space="preserve"> Australia (DIBP)</w:t>
                      </w:r>
                    </w:p>
                    <w:p w14:paraId="206348BC" w14:textId="78C7C7CA" w:rsidR="009537B7" w:rsidRPr="00E46837" w:rsidRDefault="009537B7" w:rsidP="009537B7">
                      <w:pPr>
                        <w:spacing w:before="0"/>
                        <w:jc w:val="right"/>
                        <w:rPr>
                          <w:rFonts w:ascii="Arial Narrow Bold" w:hAnsi="Arial Narrow Bold"/>
                          <w:sz w:val="32"/>
                          <w:szCs w:val="32"/>
                        </w:rPr>
                      </w:pPr>
                      <w:r>
                        <w:rPr>
                          <w:rFonts w:ascii="Arial Narrow Bold" w:hAnsi="Arial Narrow Bold"/>
                          <w:sz w:val="32"/>
                          <w:szCs w:val="32"/>
                        </w:rPr>
                        <w:t xml:space="preserve"> [201</w:t>
                      </w:r>
                      <w:r w:rsidR="00734F2B">
                        <w:rPr>
                          <w:rFonts w:ascii="Arial Narrow Bold" w:hAnsi="Arial Narrow Bold"/>
                          <w:sz w:val="32"/>
                          <w:szCs w:val="32"/>
                        </w:rPr>
                        <w:t>5</w:t>
                      </w:r>
                      <w:r>
                        <w:rPr>
                          <w:rFonts w:ascii="Arial Narrow Bold" w:hAnsi="Arial Narrow Bold"/>
                          <w:sz w:val="32"/>
                          <w:szCs w:val="32"/>
                        </w:rPr>
                        <w:t xml:space="preserve">] </w:t>
                      </w:r>
                      <w:proofErr w:type="spellStart"/>
                      <w:r>
                        <w:rPr>
                          <w:rFonts w:ascii="Arial Narrow Bold" w:hAnsi="Arial Narrow Bold"/>
                          <w:sz w:val="32"/>
                          <w:szCs w:val="32"/>
                        </w:rPr>
                        <w:t>AusHRC</w:t>
                      </w:r>
                      <w:proofErr w:type="spellEnd"/>
                      <w:r>
                        <w:rPr>
                          <w:rFonts w:ascii="Arial Narrow Bold" w:hAnsi="Arial Narrow Bold"/>
                          <w:sz w:val="32"/>
                          <w:szCs w:val="32"/>
                        </w:rPr>
                        <w:t xml:space="preserve"> 94</w:t>
                      </w:r>
                    </w:p>
                  </w:txbxContent>
                </v:textbox>
                <w10:wrap type="square"/>
              </v:shape>
            </w:pict>
          </mc:Fallback>
        </mc:AlternateContent>
      </w:r>
    </w:p>
    <w:p w14:paraId="3CADC8CB" w14:textId="71FCF7FF" w:rsidR="009537B7" w:rsidRDefault="009537B7">
      <w:pPr>
        <w:spacing w:before="0" w:after="0"/>
        <w:rPr>
          <w:rFonts w:cs="Arial"/>
          <w:b/>
          <w:sz w:val="36"/>
          <w:szCs w:val="36"/>
        </w:rPr>
      </w:pPr>
      <w:r>
        <w:rPr>
          <w:rFonts w:cs="Arial"/>
          <w:b/>
          <w:sz w:val="36"/>
          <w:szCs w:val="36"/>
        </w:rPr>
        <w:br w:type="page"/>
      </w:r>
    </w:p>
    <w:p w14:paraId="10C2F331" w14:textId="77777777" w:rsidR="009537B7" w:rsidRDefault="009537B7" w:rsidP="002128CB">
      <w:pPr>
        <w:spacing w:after="120"/>
        <w:rPr>
          <w:rFonts w:cs="Arial"/>
          <w:b/>
          <w:sz w:val="36"/>
          <w:szCs w:val="36"/>
        </w:rPr>
      </w:pPr>
    </w:p>
    <w:p w14:paraId="646F11E8" w14:textId="77777777" w:rsidR="004E15D0" w:rsidRDefault="004E15D0" w:rsidP="004E15D0"/>
    <w:p w14:paraId="140EEAE5" w14:textId="77777777" w:rsidR="004E15D0" w:rsidRDefault="004E15D0" w:rsidP="004E15D0"/>
    <w:p w14:paraId="1B55FF1A" w14:textId="77777777" w:rsidR="004E15D0" w:rsidRDefault="004E15D0" w:rsidP="004E15D0"/>
    <w:p w14:paraId="4D284CDB" w14:textId="77777777" w:rsidR="004E15D0" w:rsidRDefault="004E15D0" w:rsidP="004E15D0"/>
    <w:p w14:paraId="315E46D2" w14:textId="77777777" w:rsidR="00284857" w:rsidRDefault="00284857" w:rsidP="00284857">
      <w:pPr>
        <w:spacing w:before="0" w:after="0"/>
        <w:rPr>
          <w:rFonts w:cs="Arial"/>
          <w:b/>
          <w:sz w:val="36"/>
          <w:szCs w:val="36"/>
        </w:rPr>
      </w:pPr>
    </w:p>
    <w:p w14:paraId="08CFA6BB" w14:textId="77777777" w:rsidR="00284857" w:rsidRPr="00923CD8" w:rsidRDefault="00284857" w:rsidP="00284857">
      <w:pPr>
        <w:pStyle w:val="CopyrightText"/>
        <w:spacing w:after="113"/>
        <w:rPr>
          <w:rFonts w:cs="Arial"/>
          <w:szCs w:val="20"/>
        </w:rPr>
      </w:pPr>
      <w:r w:rsidRPr="00923CD8">
        <w:rPr>
          <w:rFonts w:cs="Arial"/>
          <w:szCs w:val="20"/>
        </w:rPr>
        <w:t>© Australian Human Rights Commission 2015.</w:t>
      </w:r>
    </w:p>
    <w:p w14:paraId="213C0F81" w14:textId="77777777" w:rsidR="00284857" w:rsidRPr="00923CD8" w:rsidRDefault="00284857" w:rsidP="00284857">
      <w:pPr>
        <w:pStyle w:val="CopyrightText"/>
        <w:spacing w:after="200"/>
        <w:rPr>
          <w:rFonts w:cs="Arial"/>
          <w:szCs w:val="20"/>
        </w:rPr>
      </w:pPr>
      <w:r w:rsidRPr="00923CD8">
        <w:rPr>
          <w:rFonts w:cs="Arial"/>
          <w:szCs w:val="20"/>
        </w:rPr>
        <w:t xml:space="preserve">The Australian Human Rights Commission encourages the dissemination and exchange of information presented in this publication and endorses the use of the </w:t>
      </w:r>
      <w:r w:rsidRPr="00923CD8">
        <w:rPr>
          <w:rFonts w:cs="Arial"/>
          <w:b/>
          <w:bCs/>
          <w:szCs w:val="20"/>
        </w:rPr>
        <w:t>Australian Governments Open Access and Licensing Framework</w:t>
      </w:r>
      <w:r w:rsidRPr="00923CD8">
        <w:rPr>
          <w:rFonts w:cs="Arial"/>
          <w:szCs w:val="20"/>
        </w:rPr>
        <w:t xml:space="preserve"> (AusGOAL).</w:t>
      </w:r>
    </w:p>
    <w:p w14:paraId="182B8ADA" w14:textId="77777777" w:rsidR="00284857" w:rsidRPr="00923CD8" w:rsidRDefault="00284857" w:rsidP="00284857">
      <w:pPr>
        <w:pStyle w:val="CopyrightText"/>
        <w:spacing w:after="200"/>
        <w:rPr>
          <w:rFonts w:cs="Arial"/>
          <w:szCs w:val="20"/>
        </w:rPr>
      </w:pPr>
      <w:r>
        <w:rPr>
          <w:rFonts w:cs="Arial"/>
          <w:noProof/>
          <w:szCs w:val="20"/>
        </w:rPr>
        <w:drawing>
          <wp:inline distT="0" distB="0" distL="0" distR="0" wp14:anchorId="2BF791B7" wp14:editId="539DEC5A">
            <wp:extent cx="706755" cy="249555"/>
            <wp:effectExtent l="0" t="0" r="444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249555"/>
                    </a:xfrm>
                    <a:prstGeom prst="rect">
                      <a:avLst/>
                    </a:prstGeom>
                    <a:noFill/>
                    <a:ln>
                      <a:noFill/>
                    </a:ln>
                  </pic:spPr>
                </pic:pic>
              </a:graphicData>
            </a:graphic>
          </wp:inline>
        </w:drawing>
      </w:r>
    </w:p>
    <w:p w14:paraId="597A8F81" w14:textId="77777777" w:rsidR="00284857" w:rsidRPr="00923CD8" w:rsidRDefault="00284857" w:rsidP="00284857">
      <w:pPr>
        <w:pStyle w:val="CopyrightText"/>
        <w:spacing w:after="113"/>
        <w:rPr>
          <w:rFonts w:cs="Arial"/>
          <w:szCs w:val="20"/>
        </w:rPr>
      </w:pPr>
      <w:r w:rsidRPr="00923CD8">
        <w:rPr>
          <w:rFonts w:cs="Arial"/>
          <w:szCs w:val="20"/>
        </w:rPr>
        <w:t xml:space="preserve">All material presented in this publication is licensed under the </w:t>
      </w:r>
      <w:r w:rsidRPr="00923CD8">
        <w:rPr>
          <w:rFonts w:cs="Arial"/>
          <w:b/>
          <w:bCs/>
          <w:szCs w:val="20"/>
        </w:rPr>
        <w:t>Creative Commons Attribution 4.0 International Licence</w:t>
      </w:r>
      <w:r w:rsidRPr="00923CD8">
        <w:rPr>
          <w:rFonts w:cs="Arial"/>
          <w:szCs w:val="20"/>
        </w:rPr>
        <w:t>, with the exception of:</w:t>
      </w:r>
    </w:p>
    <w:p w14:paraId="4DE03E8D" w14:textId="77777777" w:rsidR="00284857" w:rsidRPr="00923CD8" w:rsidRDefault="00284857" w:rsidP="00284857">
      <w:pPr>
        <w:pStyle w:val="CopyrightText"/>
        <w:spacing w:after="0"/>
        <w:ind w:left="283" w:hanging="113"/>
        <w:rPr>
          <w:rFonts w:cs="Arial"/>
          <w:szCs w:val="20"/>
        </w:rPr>
      </w:pPr>
      <w:r w:rsidRPr="00923CD8">
        <w:rPr>
          <w:rFonts w:cs="Arial"/>
          <w:szCs w:val="20"/>
        </w:rPr>
        <w:t>•</w:t>
      </w:r>
      <w:r w:rsidRPr="00923CD8">
        <w:rPr>
          <w:rFonts w:cs="Arial"/>
          <w:szCs w:val="20"/>
        </w:rPr>
        <w:tab/>
        <w:t>the Commission’s logo, any branding or trademarks; and</w:t>
      </w:r>
    </w:p>
    <w:p w14:paraId="2ECC7646" w14:textId="77777777" w:rsidR="00284857" w:rsidRPr="00923CD8" w:rsidRDefault="00284857" w:rsidP="00284857">
      <w:pPr>
        <w:pStyle w:val="CopyrightText"/>
        <w:spacing w:after="113"/>
        <w:ind w:left="283" w:hanging="113"/>
        <w:rPr>
          <w:rFonts w:cs="Arial"/>
          <w:szCs w:val="20"/>
        </w:rPr>
      </w:pPr>
      <w:r w:rsidRPr="00923CD8">
        <w:rPr>
          <w:rFonts w:cs="Arial"/>
          <w:szCs w:val="20"/>
        </w:rPr>
        <w:t>•</w:t>
      </w:r>
      <w:r w:rsidRPr="00923CD8">
        <w:rPr>
          <w:rFonts w:cs="Arial"/>
          <w:szCs w:val="20"/>
        </w:rPr>
        <w:tab/>
        <w:t>where otherwise indicated.</w:t>
      </w:r>
    </w:p>
    <w:p w14:paraId="74E2271B" w14:textId="77777777" w:rsidR="00284857" w:rsidRPr="00923CD8" w:rsidRDefault="00284857" w:rsidP="00284857">
      <w:pPr>
        <w:pStyle w:val="CopyrightText"/>
        <w:spacing w:after="113"/>
        <w:rPr>
          <w:rFonts w:cs="Arial"/>
          <w:szCs w:val="20"/>
        </w:rPr>
      </w:pPr>
      <w:r w:rsidRPr="00923CD8">
        <w:rPr>
          <w:rFonts w:cs="Arial"/>
          <w:szCs w:val="20"/>
        </w:rPr>
        <w:t xml:space="preserve">To view a copy of this licence, visit </w:t>
      </w:r>
      <w:r>
        <w:fldChar w:fldCharType="begin"/>
      </w:r>
      <w:r>
        <w:instrText xml:space="preserve"> HYPERLINK "http://creativecommons.org/licenses/by/4.0/legalcode" </w:instrText>
      </w:r>
      <w:r>
        <w:fldChar w:fldCharType="separate"/>
      </w:r>
      <w:r w:rsidRPr="00923CD8">
        <w:rPr>
          <w:rStyle w:val="Hyperlink"/>
          <w:rFonts w:cs="Arial"/>
          <w:b/>
          <w:bCs/>
          <w:szCs w:val="20"/>
        </w:rPr>
        <w:t>http://creativecommons.org/licenses/by/4.0/legalcode</w:t>
      </w:r>
      <w:r>
        <w:rPr>
          <w:rStyle w:val="Hyperlink"/>
          <w:rFonts w:cs="Arial"/>
          <w:b/>
          <w:bCs/>
          <w:szCs w:val="20"/>
        </w:rPr>
        <w:fldChar w:fldCharType="end"/>
      </w:r>
      <w:r w:rsidRPr="00923CD8">
        <w:rPr>
          <w:rFonts w:cs="Arial"/>
          <w:szCs w:val="20"/>
        </w:rPr>
        <w:t>.</w:t>
      </w:r>
    </w:p>
    <w:p w14:paraId="2303222F" w14:textId="77777777" w:rsidR="00284857" w:rsidRDefault="00284857" w:rsidP="00284857">
      <w:pPr>
        <w:pStyle w:val="CopyrightText"/>
        <w:spacing w:after="400"/>
        <w:rPr>
          <w:rFonts w:cs="Arial"/>
          <w:szCs w:val="20"/>
        </w:rPr>
      </w:pPr>
      <w:r w:rsidRPr="00923CD8">
        <w:rPr>
          <w:rFonts w:cs="Arial"/>
          <w:szCs w:val="20"/>
        </w:rPr>
        <w:t>In essence, you are free to copy, communicate and adapt the publication, as long as you attribute the Australian Human Rights Commission and abide by the other licence terms.</w:t>
      </w:r>
    </w:p>
    <w:p w14:paraId="4A4323CA" w14:textId="77777777" w:rsidR="00284857" w:rsidRDefault="00284857" w:rsidP="00284857">
      <w:pPr>
        <w:pStyle w:val="CopyrightText"/>
        <w:spacing w:after="113"/>
        <w:rPr>
          <w:rFonts w:cs="Arial"/>
          <w:b/>
          <w:bCs/>
          <w:szCs w:val="20"/>
        </w:rPr>
      </w:pPr>
      <w:r>
        <w:rPr>
          <w:rFonts w:cs="Arial"/>
          <w:b/>
          <w:bCs/>
          <w:szCs w:val="20"/>
        </w:rPr>
        <w:t>Please give attribution to:</w:t>
      </w:r>
    </w:p>
    <w:p w14:paraId="0CC0D780" w14:textId="77777777" w:rsidR="00284857" w:rsidRDefault="00284857" w:rsidP="00284857">
      <w:pPr>
        <w:pStyle w:val="CopyrightText"/>
        <w:spacing w:after="400"/>
        <w:rPr>
          <w:rFonts w:cs="Arial"/>
          <w:b/>
          <w:bCs/>
          <w:szCs w:val="20"/>
        </w:rPr>
      </w:pPr>
      <w:r w:rsidRPr="00923CD8">
        <w:rPr>
          <w:rFonts w:cs="Arial"/>
          <w:szCs w:val="20"/>
        </w:rPr>
        <w:t>© Australian Human Rights Commission 2015.</w:t>
      </w:r>
    </w:p>
    <w:p w14:paraId="5D17F82E" w14:textId="77777777" w:rsidR="00284857" w:rsidRPr="00923CD8" w:rsidRDefault="00284857" w:rsidP="00284857">
      <w:pPr>
        <w:pStyle w:val="CopyrightText"/>
        <w:spacing w:after="400"/>
        <w:rPr>
          <w:rFonts w:cs="Arial"/>
          <w:b/>
          <w:bCs/>
          <w:szCs w:val="20"/>
        </w:rPr>
      </w:pPr>
      <w:r w:rsidRPr="00923CD8">
        <w:rPr>
          <w:rStyle w:val="Bold"/>
          <w:rFonts w:cs="Arial"/>
          <w:szCs w:val="20"/>
        </w:rPr>
        <w:t>ISSN 1837-1183</w:t>
      </w:r>
    </w:p>
    <w:p w14:paraId="7B98DCC4" w14:textId="77777777" w:rsidR="00284857" w:rsidRPr="00923CD8" w:rsidRDefault="00284857" w:rsidP="00284857">
      <w:pPr>
        <w:pStyle w:val="CopyrightText"/>
        <w:rPr>
          <w:rFonts w:cs="Arial"/>
          <w:szCs w:val="20"/>
        </w:rPr>
      </w:pPr>
      <w:r w:rsidRPr="00923CD8">
        <w:rPr>
          <w:rFonts w:cs="Arial"/>
          <w:b/>
          <w:bCs/>
          <w:szCs w:val="20"/>
        </w:rPr>
        <w:t>Further information</w:t>
      </w:r>
    </w:p>
    <w:p w14:paraId="325A4629" w14:textId="77777777" w:rsidR="00284857" w:rsidRPr="00923CD8" w:rsidRDefault="00284857" w:rsidP="00284857">
      <w:pPr>
        <w:pStyle w:val="CopyrightText"/>
        <w:spacing w:after="100"/>
        <w:rPr>
          <w:rFonts w:cs="Arial"/>
          <w:szCs w:val="20"/>
        </w:rPr>
      </w:pPr>
      <w:r w:rsidRPr="00923CD8">
        <w:rPr>
          <w:rFonts w:cs="Arial"/>
          <w:szCs w:val="20"/>
        </w:rPr>
        <w:t>For further information about the Australian Human Rights Commission or copyright in this publication, please contact:</w:t>
      </w:r>
    </w:p>
    <w:p w14:paraId="4C426F95" w14:textId="77777777" w:rsidR="00284857" w:rsidRPr="00923CD8" w:rsidRDefault="00284857" w:rsidP="00284857">
      <w:pPr>
        <w:pStyle w:val="CopyrightText"/>
        <w:spacing w:after="0"/>
        <w:rPr>
          <w:rFonts w:cs="Arial"/>
          <w:szCs w:val="20"/>
        </w:rPr>
      </w:pPr>
      <w:r w:rsidRPr="00923CD8">
        <w:rPr>
          <w:rFonts w:cs="Arial"/>
          <w:szCs w:val="20"/>
        </w:rPr>
        <w:t>Communications Unit</w:t>
      </w:r>
    </w:p>
    <w:p w14:paraId="2BBF750E" w14:textId="77777777" w:rsidR="00284857" w:rsidRPr="00923CD8" w:rsidRDefault="00284857" w:rsidP="00284857">
      <w:pPr>
        <w:pStyle w:val="CopyrightText"/>
        <w:spacing w:after="0"/>
        <w:rPr>
          <w:rFonts w:cs="Arial"/>
          <w:szCs w:val="20"/>
        </w:rPr>
      </w:pPr>
      <w:r w:rsidRPr="00923CD8">
        <w:rPr>
          <w:rFonts w:cs="Arial"/>
          <w:szCs w:val="20"/>
        </w:rPr>
        <w:t>Australian Human Rights Commission</w:t>
      </w:r>
    </w:p>
    <w:p w14:paraId="6AFA7053" w14:textId="77777777" w:rsidR="00284857" w:rsidRPr="00923CD8" w:rsidRDefault="00284857" w:rsidP="00284857">
      <w:pPr>
        <w:pStyle w:val="CopyrightText"/>
        <w:spacing w:after="0"/>
        <w:rPr>
          <w:rFonts w:cs="Arial"/>
          <w:szCs w:val="20"/>
        </w:rPr>
      </w:pPr>
      <w:r w:rsidRPr="00923CD8">
        <w:rPr>
          <w:rFonts w:cs="Arial"/>
          <w:szCs w:val="20"/>
        </w:rPr>
        <w:t>GPO Box 5218</w:t>
      </w:r>
    </w:p>
    <w:p w14:paraId="24B422FB" w14:textId="77777777" w:rsidR="00284857" w:rsidRPr="00923CD8" w:rsidRDefault="00284857" w:rsidP="00284857">
      <w:pPr>
        <w:pStyle w:val="CopyrightText"/>
        <w:spacing w:after="0"/>
        <w:rPr>
          <w:rFonts w:cs="Arial"/>
          <w:szCs w:val="20"/>
        </w:rPr>
      </w:pPr>
      <w:r w:rsidRPr="00923CD8">
        <w:rPr>
          <w:rFonts w:cs="Arial"/>
          <w:szCs w:val="20"/>
        </w:rPr>
        <w:t>SYDNEY NSW 2001</w:t>
      </w:r>
    </w:p>
    <w:p w14:paraId="2DAEB05B" w14:textId="77777777" w:rsidR="00284857" w:rsidRPr="00923CD8" w:rsidRDefault="00284857" w:rsidP="00284857">
      <w:pPr>
        <w:pStyle w:val="CopyrightText"/>
        <w:spacing w:after="0"/>
        <w:rPr>
          <w:rFonts w:cs="Arial"/>
          <w:szCs w:val="20"/>
        </w:rPr>
      </w:pPr>
      <w:r w:rsidRPr="00923CD8">
        <w:rPr>
          <w:rFonts w:cs="Arial"/>
          <w:szCs w:val="20"/>
        </w:rPr>
        <w:t>Telephone: (02) 9284 9600</w:t>
      </w:r>
    </w:p>
    <w:p w14:paraId="21B05D3D" w14:textId="77777777" w:rsidR="00284857" w:rsidRDefault="00284857" w:rsidP="00284857">
      <w:pPr>
        <w:pStyle w:val="CopyrightText"/>
        <w:spacing w:after="400"/>
        <w:rPr>
          <w:rFonts w:cs="Arial"/>
          <w:szCs w:val="20"/>
        </w:rPr>
      </w:pPr>
      <w:r w:rsidRPr="00923CD8">
        <w:rPr>
          <w:rFonts w:cs="Arial"/>
          <w:szCs w:val="20"/>
        </w:rPr>
        <w:t xml:space="preserve">Email: </w:t>
      </w:r>
      <w:hyperlink r:id="rId10" w:history="1">
        <w:r w:rsidRPr="00923CD8">
          <w:rPr>
            <w:rStyle w:val="Hyperlink"/>
            <w:rFonts w:cs="Arial"/>
            <w:szCs w:val="20"/>
          </w:rPr>
          <w:t>mailto:communications@humanrights.gov.au</w:t>
        </w:r>
      </w:hyperlink>
      <w:r w:rsidRPr="00923CD8">
        <w:rPr>
          <w:rFonts w:cs="Arial"/>
          <w:szCs w:val="20"/>
        </w:rPr>
        <w:t>.</w:t>
      </w:r>
    </w:p>
    <w:p w14:paraId="05F5C042" w14:textId="77777777" w:rsidR="00284857" w:rsidRPr="00923CD8" w:rsidRDefault="00284857" w:rsidP="00284857">
      <w:pPr>
        <w:pStyle w:val="CopyrightText"/>
        <w:rPr>
          <w:rFonts w:cs="Arial"/>
          <w:szCs w:val="20"/>
        </w:rPr>
      </w:pPr>
      <w:r w:rsidRPr="00923CD8">
        <w:rPr>
          <w:rFonts w:cs="Arial"/>
          <w:b/>
          <w:bCs/>
          <w:szCs w:val="20"/>
        </w:rPr>
        <w:t>Design and layout</w:t>
      </w:r>
      <w:r w:rsidRPr="00923CD8">
        <w:rPr>
          <w:rFonts w:cs="Arial"/>
          <w:szCs w:val="20"/>
        </w:rPr>
        <w:t xml:space="preserve"> Dancingirl Designs</w:t>
      </w:r>
    </w:p>
    <w:p w14:paraId="3FDD6850" w14:textId="77777777" w:rsidR="00284857" w:rsidRDefault="00284857" w:rsidP="00284857">
      <w:pPr>
        <w:spacing w:before="0" w:after="0"/>
        <w:rPr>
          <w:rFonts w:cs="Arial"/>
          <w:b/>
          <w:sz w:val="20"/>
        </w:rPr>
      </w:pPr>
      <w:r w:rsidRPr="00923CD8">
        <w:rPr>
          <w:rFonts w:cs="Arial"/>
          <w:b/>
          <w:bCs/>
          <w:sz w:val="20"/>
        </w:rPr>
        <w:t>Printing</w:t>
      </w:r>
      <w:r w:rsidRPr="00923CD8">
        <w:rPr>
          <w:rFonts w:cs="Arial"/>
          <w:sz w:val="20"/>
        </w:rPr>
        <w:t xml:space="preserve"> Masterprint Pty Limited</w:t>
      </w:r>
    </w:p>
    <w:p w14:paraId="20C25DF6" w14:textId="77777777" w:rsidR="004E15D0" w:rsidRDefault="004E15D0" w:rsidP="004E15D0">
      <w:r>
        <w:br w:type="page"/>
      </w:r>
    </w:p>
    <w:p w14:paraId="5B9B5B1E" w14:textId="77777777" w:rsidR="004E15D0" w:rsidRPr="0083279D" w:rsidRDefault="004E15D0" w:rsidP="004E15D0"/>
    <w:p w14:paraId="720362F0" w14:textId="77777777" w:rsidR="004E15D0" w:rsidRDefault="004E15D0" w:rsidP="004E15D0"/>
    <w:p w14:paraId="06F7979D" w14:textId="77777777" w:rsidR="004E15D0" w:rsidRDefault="004E15D0" w:rsidP="004E15D0"/>
    <w:p w14:paraId="6380106A" w14:textId="77777777" w:rsidR="004E15D0" w:rsidRDefault="004E15D0" w:rsidP="004E15D0"/>
    <w:p w14:paraId="43029D0E" w14:textId="77777777" w:rsidR="004E15D0" w:rsidRDefault="004E15D0" w:rsidP="004E15D0"/>
    <w:p w14:paraId="5650072A" w14:textId="77777777" w:rsidR="004E15D0" w:rsidRDefault="004E15D0" w:rsidP="004E15D0"/>
    <w:p w14:paraId="572FB15F" w14:textId="77777777" w:rsidR="004E15D0" w:rsidRDefault="004E15D0" w:rsidP="004E15D0"/>
    <w:p w14:paraId="5BB45E8E" w14:textId="77777777" w:rsidR="004E15D0" w:rsidRDefault="004E15D0" w:rsidP="004E15D0"/>
    <w:p w14:paraId="319C4DA5" w14:textId="77777777" w:rsidR="004E15D0" w:rsidRDefault="004E15D0" w:rsidP="004E15D0"/>
    <w:p w14:paraId="545B8789" w14:textId="77777777" w:rsidR="004E15D0" w:rsidRDefault="004E15D0" w:rsidP="004E15D0"/>
    <w:p w14:paraId="566B6F61" w14:textId="337410EA" w:rsidR="004E15D0" w:rsidRPr="0048756F" w:rsidRDefault="004E15D0" w:rsidP="004E15D0">
      <w:pPr>
        <w:pStyle w:val="InternalTitleBold"/>
        <w:spacing w:after="600"/>
        <w:rPr>
          <w:rFonts w:ascii="Arial" w:hAnsi="Arial" w:cs="Arial"/>
          <w:color w:val="808080" w:themeColor="background1" w:themeShade="80"/>
        </w:rPr>
      </w:pPr>
      <w:r w:rsidRPr="0048756F">
        <w:rPr>
          <w:rFonts w:ascii="Arial" w:hAnsi="Arial" w:cs="Arial"/>
          <w:color w:val="808080" w:themeColor="background1" w:themeShade="80"/>
        </w:rPr>
        <w:t>Rahimi v Commonwealth of Australia (Department of Immigration and Border Protection)</w:t>
      </w:r>
    </w:p>
    <w:p w14:paraId="08C15F44" w14:textId="5ACBD18C" w:rsidR="0048756F" w:rsidRDefault="0048756F" w:rsidP="0048756F">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36"/>
          <w:szCs w:val="36"/>
          <w:lang w:eastAsia="en-AU"/>
        </w:rPr>
      </w:pPr>
      <w:r w:rsidRPr="0048756F">
        <w:rPr>
          <w:rFonts w:cs="Arial"/>
          <w:color w:val="808080" w:themeColor="background1" w:themeShade="80"/>
          <w:sz w:val="36"/>
          <w:szCs w:val="36"/>
          <w:lang w:eastAsia="en-AU"/>
        </w:rPr>
        <w:t xml:space="preserve">[2015] </w:t>
      </w:r>
      <w:proofErr w:type="spellStart"/>
      <w:r w:rsidRPr="0048756F">
        <w:rPr>
          <w:rFonts w:cs="Arial"/>
          <w:color w:val="808080" w:themeColor="background1" w:themeShade="80"/>
          <w:sz w:val="36"/>
          <w:szCs w:val="36"/>
          <w:lang w:eastAsia="en-AU"/>
        </w:rPr>
        <w:t>AusHRC</w:t>
      </w:r>
      <w:proofErr w:type="spellEnd"/>
      <w:r w:rsidRPr="0048756F">
        <w:rPr>
          <w:rFonts w:cs="Arial"/>
          <w:color w:val="808080" w:themeColor="background1" w:themeShade="80"/>
          <w:sz w:val="36"/>
          <w:szCs w:val="36"/>
          <w:lang w:eastAsia="en-AU"/>
        </w:rPr>
        <w:t xml:space="preserve"> 94</w:t>
      </w:r>
    </w:p>
    <w:p w14:paraId="729CC98E" w14:textId="77777777" w:rsidR="004E15D0" w:rsidRPr="0048756F" w:rsidRDefault="004E15D0" w:rsidP="004E15D0">
      <w:pPr>
        <w:pStyle w:val="InternalSubTitlePlain"/>
        <w:rPr>
          <w:rFonts w:ascii="Arial" w:hAnsi="Arial" w:cs="Arial"/>
          <w:color w:val="808080" w:themeColor="background1" w:themeShade="80"/>
          <w:sz w:val="36"/>
          <w:szCs w:val="36"/>
        </w:rPr>
      </w:pPr>
      <w:r w:rsidRPr="0048756F">
        <w:rPr>
          <w:rFonts w:ascii="Arial" w:hAnsi="Arial" w:cs="Arial"/>
          <w:color w:val="808080" w:themeColor="background1" w:themeShade="80"/>
          <w:sz w:val="36"/>
          <w:szCs w:val="36"/>
        </w:rPr>
        <w:t>Report into arbitrary detention</w:t>
      </w:r>
    </w:p>
    <w:p w14:paraId="77E38BA6" w14:textId="77777777" w:rsidR="0048756F" w:rsidRPr="00A44514" w:rsidRDefault="0048756F" w:rsidP="004E15D0">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eastAsia="en-AU"/>
        </w:rPr>
      </w:pPr>
    </w:p>
    <w:p w14:paraId="47C9E718" w14:textId="41194E05" w:rsidR="004E15D0" w:rsidRPr="0048756F" w:rsidRDefault="004E15D0" w:rsidP="0048756F">
      <w:pPr>
        <w:widowControl w:val="0"/>
        <w:tabs>
          <w:tab w:val="left" w:pos="680"/>
        </w:tabs>
        <w:suppressAutoHyphens/>
        <w:autoSpaceDE w:val="0"/>
        <w:autoSpaceDN w:val="0"/>
        <w:adjustRightInd w:val="0"/>
        <w:ind w:left="283" w:hanging="283"/>
        <w:textAlignment w:val="center"/>
        <w:rPr>
          <w:rFonts w:cs="Arial"/>
          <w:b/>
          <w:bCs/>
          <w:color w:val="808080" w:themeColor="background1" w:themeShade="80"/>
          <w:lang w:eastAsia="en-AU"/>
        </w:rPr>
      </w:pPr>
      <w:r w:rsidRPr="00833542">
        <w:rPr>
          <w:rFonts w:cs="Arial"/>
          <w:b/>
          <w:bCs/>
          <w:color w:val="808080" w:themeColor="background1" w:themeShade="80"/>
          <w:lang w:eastAsia="en-AU"/>
        </w:rPr>
        <w:t>Austral</w:t>
      </w:r>
      <w:r>
        <w:rPr>
          <w:rFonts w:cs="Arial"/>
          <w:b/>
          <w:bCs/>
          <w:color w:val="808080" w:themeColor="background1" w:themeShade="80"/>
          <w:lang w:eastAsia="en-AU"/>
        </w:rPr>
        <w:t>ian Human Rights Commission 2015</w:t>
      </w:r>
    </w:p>
    <w:p w14:paraId="27B36EF1" w14:textId="77777777" w:rsidR="004E15D0" w:rsidRDefault="004E15D0" w:rsidP="004E15D0"/>
    <w:p w14:paraId="29B3EA9F" w14:textId="77777777" w:rsidR="004E15D0" w:rsidRDefault="004E15D0" w:rsidP="004E15D0">
      <w:r>
        <w:rPr>
          <w:noProof/>
          <w:lang w:eastAsia="en-AU"/>
        </w:rPr>
        <w:drawing>
          <wp:inline distT="0" distB="0" distL="0" distR="0" wp14:anchorId="2A3AB14C" wp14:editId="28B08475">
            <wp:extent cx="1696720" cy="5486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78B670E" w14:textId="4FDA86BD" w:rsidR="004E15D0" w:rsidRPr="000010F1" w:rsidRDefault="004E15D0" w:rsidP="004E15D0">
      <w:pPr>
        <w:rPr>
          <w:rFonts w:cs="Arial"/>
          <w:b/>
          <w:sz w:val="36"/>
          <w:szCs w:val="36"/>
        </w:rPr>
      </w:pPr>
      <w:r w:rsidRPr="000263C1">
        <w:rPr>
          <w:rFonts w:cs="Arial"/>
          <w:szCs w:val="24"/>
        </w:rPr>
        <w:br w:type="page"/>
      </w:r>
      <w:r w:rsidRPr="000010F1">
        <w:rPr>
          <w:rFonts w:cs="Arial"/>
          <w:b/>
          <w:sz w:val="36"/>
          <w:szCs w:val="36"/>
        </w:rPr>
        <w:lastRenderedPageBreak/>
        <w:t xml:space="preserve"> </w:t>
      </w:r>
    </w:p>
    <w:p w14:paraId="5B923F92" w14:textId="77777777" w:rsidR="008C0E4E" w:rsidRPr="00B14FF6" w:rsidRDefault="008C0E4E" w:rsidP="008C0E4E">
      <w:pPr>
        <w:spacing w:before="0" w:after="0"/>
        <w:rPr>
          <w:rFonts w:cs="Arial"/>
          <w:color w:val="auto"/>
          <w:spacing w:val="-5"/>
          <w:szCs w:val="24"/>
        </w:rPr>
      </w:pPr>
      <w:r w:rsidRPr="00B14FF6">
        <w:rPr>
          <w:rFonts w:cs="Arial"/>
          <w:color w:val="auto"/>
          <w:spacing w:val="-5"/>
          <w:szCs w:val="24"/>
        </w:rPr>
        <w:t xml:space="preserve">Contents </w:t>
      </w:r>
    </w:p>
    <w:p w14:paraId="149DB4A9" w14:textId="77777777" w:rsidR="005B31AC" w:rsidRPr="008C0E4E" w:rsidRDefault="005B31AC" w:rsidP="008C0E4E">
      <w:pPr>
        <w:spacing w:before="0" w:after="0"/>
        <w:rPr>
          <w:rFonts w:cs="Arial"/>
          <w:color w:val="auto"/>
          <w:spacing w:val="-5"/>
          <w:szCs w:val="24"/>
        </w:rPr>
      </w:pPr>
    </w:p>
    <w:p w14:paraId="01286B19" w14:textId="77777777" w:rsidR="008C0E4E" w:rsidRPr="008C0E4E" w:rsidRDefault="008C0E4E" w:rsidP="008C0E4E">
      <w:pPr>
        <w:spacing w:before="0" w:after="0"/>
        <w:rPr>
          <w:rFonts w:cs="Arial"/>
          <w:color w:val="auto"/>
          <w:spacing w:val="-5"/>
          <w:szCs w:val="24"/>
        </w:rPr>
      </w:pPr>
    </w:p>
    <w:p w14:paraId="06A15E4D" w14:textId="77777777" w:rsidR="00275E17" w:rsidRDefault="008C0E4E">
      <w:pPr>
        <w:pStyle w:val="TOC1"/>
        <w:tabs>
          <w:tab w:val="left" w:pos="373"/>
        </w:tabs>
        <w:rPr>
          <w:rFonts w:asciiTheme="minorHAnsi" w:eastAsiaTheme="minorEastAsia" w:hAnsiTheme="minorHAnsi" w:cstheme="minorBidi"/>
          <w:b w:val="0"/>
          <w:color w:val="auto"/>
          <w:szCs w:val="24"/>
          <w:lang w:eastAsia="ja-JP"/>
        </w:rPr>
      </w:pPr>
      <w:r w:rsidRPr="008C0E4E">
        <w:rPr>
          <w:rFonts w:cs="Arial"/>
          <w:color w:val="auto"/>
          <w:spacing w:val="-5"/>
          <w:szCs w:val="24"/>
        </w:rPr>
        <w:fldChar w:fldCharType="begin"/>
      </w:r>
      <w:r w:rsidRPr="008C0E4E">
        <w:rPr>
          <w:rFonts w:cs="Arial"/>
          <w:color w:val="auto"/>
          <w:spacing w:val="-5"/>
          <w:szCs w:val="24"/>
        </w:rPr>
        <w:instrText xml:space="preserve"> TOC \o "1-3" \h \z \u </w:instrText>
      </w:r>
      <w:r w:rsidRPr="008C0E4E">
        <w:rPr>
          <w:rFonts w:cs="Arial"/>
          <w:color w:val="auto"/>
          <w:spacing w:val="-5"/>
          <w:szCs w:val="24"/>
        </w:rPr>
        <w:fldChar w:fldCharType="separate"/>
      </w:r>
      <w:r w:rsidR="00275E17">
        <w:t>1</w:t>
      </w:r>
      <w:r w:rsidR="00275E17">
        <w:rPr>
          <w:rFonts w:asciiTheme="minorHAnsi" w:eastAsiaTheme="minorEastAsia" w:hAnsiTheme="minorHAnsi" w:cstheme="minorBidi"/>
          <w:b w:val="0"/>
          <w:color w:val="auto"/>
          <w:szCs w:val="24"/>
          <w:lang w:eastAsia="ja-JP"/>
        </w:rPr>
        <w:tab/>
      </w:r>
      <w:r w:rsidR="00275E17">
        <w:t>Introduction</w:t>
      </w:r>
      <w:r w:rsidR="00275E17">
        <w:tab/>
      </w:r>
      <w:r w:rsidR="00275E17">
        <w:fldChar w:fldCharType="begin"/>
      </w:r>
      <w:r w:rsidR="00275E17">
        <w:instrText xml:space="preserve"> PAGEREF _Toc297922269 \h </w:instrText>
      </w:r>
      <w:r w:rsidR="00275E17">
        <w:fldChar w:fldCharType="separate"/>
      </w:r>
      <w:r w:rsidR="009537B7">
        <w:t>1</w:t>
      </w:r>
      <w:r w:rsidR="00275E17">
        <w:fldChar w:fldCharType="end"/>
      </w:r>
    </w:p>
    <w:p w14:paraId="77AB56A2" w14:textId="77777777" w:rsidR="00275E17" w:rsidRDefault="00275E17">
      <w:pPr>
        <w:pStyle w:val="TOC1"/>
        <w:tabs>
          <w:tab w:val="left" w:pos="373"/>
        </w:tabs>
        <w:rPr>
          <w:rFonts w:asciiTheme="minorHAnsi" w:eastAsiaTheme="minorEastAsia" w:hAnsiTheme="minorHAnsi" w:cstheme="minorBidi"/>
          <w:b w:val="0"/>
          <w:color w:val="auto"/>
          <w:szCs w:val="24"/>
          <w:lang w:eastAsia="ja-JP"/>
        </w:rPr>
      </w:pPr>
      <w:r>
        <w:t>2</w:t>
      </w:r>
      <w:r>
        <w:rPr>
          <w:rFonts w:asciiTheme="minorHAnsi" w:eastAsiaTheme="minorEastAsia" w:hAnsiTheme="minorHAnsi" w:cstheme="minorBidi"/>
          <w:b w:val="0"/>
          <w:color w:val="auto"/>
          <w:szCs w:val="24"/>
          <w:lang w:eastAsia="ja-JP"/>
        </w:rPr>
        <w:tab/>
      </w:r>
      <w:r>
        <w:t>Summary of findings and recommendations</w:t>
      </w:r>
      <w:r>
        <w:tab/>
      </w:r>
      <w:r>
        <w:fldChar w:fldCharType="begin"/>
      </w:r>
      <w:r>
        <w:instrText xml:space="preserve"> PAGEREF _Toc297922270 \h </w:instrText>
      </w:r>
      <w:r>
        <w:fldChar w:fldCharType="separate"/>
      </w:r>
      <w:r w:rsidR="009537B7">
        <w:t>1</w:t>
      </w:r>
      <w:r>
        <w:fldChar w:fldCharType="end"/>
      </w:r>
    </w:p>
    <w:p w14:paraId="03278611" w14:textId="77777777" w:rsidR="00275E17" w:rsidRDefault="00275E17">
      <w:pPr>
        <w:pStyle w:val="TOC1"/>
        <w:tabs>
          <w:tab w:val="left" w:pos="373"/>
        </w:tabs>
        <w:rPr>
          <w:rFonts w:asciiTheme="minorHAnsi" w:eastAsiaTheme="minorEastAsia" w:hAnsiTheme="minorHAnsi" w:cstheme="minorBidi"/>
          <w:b w:val="0"/>
          <w:color w:val="auto"/>
          <w:szCs w:val="24"/>
          <w:lang w:eastAsia="ja-JP"/>
        </w:rPr>
      </w:pPr>
      <w:r>
        <w:t>3</w:t>
      </w:r>
      <w:r>
        <w:rPr>
          <w:rFonts w:asciiTheme="minorHAnsi" w:eastAsiaTheme="minorEastAsia" w:hAnsiTheme="minorHAnsi" w:cstheme="minorBidi"/>
          <w:b w:val="0"/>
          <w:color w:val="auto"/>
          <w:szCs w:val="24"/>
          <w:lang w:eastAsia="ja-JP"/>
        </w:rPr>
        <w:tab/>
      </w:r>
      <w:r>
        <w:t>Background</w:t>
      </w:r>
      <w:r>
        <w:tab/>
      </w:r>
      <w:r>
        <w:fldChar w:fldCharType="begin"/>
      </w:r>
      <w:r>
        <w:instrText xml:space="preserve"> PAGEREF _Toc297922271 \h </w:instrText>
      </w:r>
      <w:r>
        <w:fldChar w:fldCharType="separate"/>
      </w:r>
      <w:r w:rsidR="009537B7">
        <w:t>1</w:t>
      </w:r>
      <w:r>
        <w:fldChar w:fldCharType="end"/>
      </w:r>
    </w:p>
    <w:p w14:paraId="1E4EDC1F" w14:textId="77777777" w:rsidR="00275E17" w:rsidRDefault="00275E17">
      <w:pPr>
        <w:pStyle w:val="TOC1"/>
        <w:tabs>
          <w:tab w:val="left" w:pos="373"/>
        </w:tabs>
        <w:rPr>
          <w:rFonts w:asciiTheme="minorHAnsi" w:eastAsiaTheme="minorEastAsia" w:hAnsiTheme="minorHAnsi" w:cstheme="minorBidi"/>
          <w:b w:val="0"/>
          <w:color w:val="auto"/>
          <w:szCs w:val="24"/>
          <w:lang w:eastAsia="ja-JP"/>
        </w:rPr>
      </w:pPr>
      <w:r>
        <w:t>4</w:t>
      </w:r>
      <w:r>
        <w:rPr>
          <w:rFonts w:asciiTheme="minorHAnsi" w:eastAsiaTheme="minorEastAsia" w:hAnsiTheme="minorHAnsi" w:cstheme="minorBidi"/>
          <w:b w:val="0"/>
          <w:color w:val="auto"/>
          <w:szCs w:val="24"/>
          <w:lang w:eastAsia="ja-JP"/>
        </w:rPr>
        <w:tab/>
      </w:r>
      <w:r>
        <w:t>Legal framework</w:t>
      </w:r>
      <w:r>
        <w:tab/>
      </w:r>
      <w:r>
        <w:fldChar w:fldCharType="begin"/>
      </w:r>
      <w:r>
        <w:instrText xml:space="preserve"> PAGEREF _Toc297922272 \h </w:instrText>
      </w:r>
      <w:r>
        <w:fldChar w:fldCharType="separate"/>
      </w:r>
      <w:r w:rsidR="009537B7">
        <w:t>2</w:t>
      </w:r>
      <w:r>
        <w:fldChar w:fldCharType="end"/>
      </w:r>
    </w:p>
    <w:p w14:paraId="525F4F9B" w14:textId="77777777" w:rsidR="00275E17" w:rsidRDefault="00275E17">
      <w:pPr>
        <w:pStyle w:val="TOC1"/>
        <w:tabs>
          <w:tab w:val="left" w:pos="373"/>
        </w:tabs>
        <w:rPr>
          <w:rFonts w:asciiTheme="minorHAnsi" w:eastAsiaTheme="minorEastAsia" w:hAnsiTheme="minorHAnsi" w:cstheme="minorBidi"/>
          <w:b w:val="0"/>
          <w:color w:val="auto"/>
          <w:szCs w:val="24"/>
          <w:lang w:eastAsia="ja-JP"/>
        </w:rPr>
      </w:pPr>
      <w:r>
        <w:t>5</w:t>
      </w:r>
      <w:r>
        <w:rPr>
          <w:rFonts w:asciiTheme="minorHAnsi" w:eastAsiaTheme="minorEastAsia" w:hAnsiTheme="minorHAnsi" w:cstheme="minorBidi"/>
          <w:b w:val="0"/>
          <w:color w:val="auto"/>
          <w:szCs w:val="24"/>
          <w:lang w:eastAsia="ja-JP"/>
        </w:rPr>
        <w:tab/>
      </w:r>
      <w:r>
        <w:t>Human rights relevant to this complaint</w:t>
      </w:r>
      <w:r>
        <w:tab/>
      </w:r>
      <w:r>
        <w:fldChar w:fldCharType="begin"/>
      </w:r>
      <w:r>
        <w:instrText xml:space="preserve"> PAGEREF _Toc297922273 \h </w:instrText>
      </w:r>
      <w:r>
        <w:fldChar w:fldCharType="separate"/>
      </w:r>
      <w:r w:rsidR="009537B7">
        <w:t>3</w:t>
      </w:r>
      <w:r>
        <w:fldChar w:fldCharType="end"/>
      </w:r>
    </w:p>
    <w:p w14:paraId="2D7DBC96" w14:textId="77777777" w:rsidR="00275E17" w:rsidRDefault="00275E17">
      <w:pPr>
        <w:pStyle w:val="TOC1"/>
        <w:tabs>
          <w:tab w:val="left" w:pos="373"/>
        </w:tabs>
        <w:rPr>
          <w:rFonts w:asciiTheme="minorHAnsi" w:eastAsiaTheme="minorEastAsia" w:hAnsiTheme="minorHAnsi" w:cstheme="minorBidi"/>
          <w:b w:val="0"/>
          <w:color w:val="auto"/>
          <w:szCs w:val="24"/>
          <w:lang w:eastAsia="ja-JP"/>
        </w:rPr>
      </w:pPr>
      <w:r>
        <w:t>6</w:t>
      </w:r>
      <w:r>
        <w:rPr>
          <w:rFonts w:asciiTheme="minorHAnsi" w:eastAsiaTheme="minorEastAsia" w:hAnsiTheme="minorHAnsi" w:cstheme="minorBidi"/>
          <w:b w:val="0"/>
          <w:color w:val="auto"/>
          <w:szCs w:val="24"/>
          <w:lang w:eastAsia="ja-JP"/>
        </w:rPr>
        <w:tab/>
      </w:r>
      <w:r>
        <w:t>Assessment</w:t>
      </w:r>
      <w:r>
        <w:tab/>
      </w:r>
      <w:r>
        <w:fldChar w:fldCharType="begin"/>
      </w:r>
      <w:r>
        <w:instrText xml:space="preserve"> PAGEREF _Toc297922274 \h </w:instrText>
      </w:r>
      <w:r>
        <w:fldChar w:fldCharType="separate"/>
      </w:r>
      <w:r w:rsidR="009537B7">
        <w:t>3</w:t>
      </w:r>
      <w:r>
        <w:fldChar w:fldCharType="end"/>
      </w:r>
    </w:p>
    <w:p w14:paraId="4BB880B6" w14:textId="77777777" w:rsidR="00275E17" w:rsidRDefault="00275E17">
      <w:pPr>
        <w:pStyle w:val="TOC2"/>
        <w:tabs>
          <w:tab w:val="left" w:pos="812"/>
        </w:tabs>
        <w:rPr>
          <w:rFonts w:asciiTheme="minorHAnsi" w:eastAsiaTheme="minorEastAsia" w:hAnsiTheme="minorHAnsi" w:cstheme="minorBidi"/>
          <w:b w:val="0"/>
          <w:i w:val="0"/>
          <w:color w:val="auto"/>
          <w:szCs w:val="24"/>
          <w:lang w:eastAsia="ja-JP"/>
        </w:rPr>
      </w:pPr>
      <w:r>
        <w:t>6.1</w:t>
      </w:r>
      <w:r>
        <w:rPr>
          <w:rFonts w:asciiTheme="minorHAnsi" w:eastAsiaTheme="minorEastAsia" w:hAnsiTheme="minorHAnsi" w:cstheme="minorBidi"/>
          <w:b w:val="0"/>
          <w:i w:val="0"/>
          <w:color w:val="auto"/>
          <w:szCs w:val="24"/>
          <w:lang w:eastAsia="ja-JP"/>
        </w:rPr>
        <w:tab/>
      </w:r>
      <w:r>
        <w:t>Act or practice of the Commonwealth</w:t>
      </w:r>
      <w:r>
        <w:tab/>
      </w:r>
      <w:r>
        <w:fldChar w:fldCharType="begin"/>
      </w:r>
      <w:r>
        <w:instrText xml:space="preserve"> PAGEREF _Toc297922275 \h </w:instrText>
      </w:r>
      <w:r>
        <w:fldChar w:fldCharType="separate"/>
      </w:r>
      <w:r w:rsidR="009537B7">
        <w:t>3</w:t>
      </w:r>
      <w:r>
        <w:fldChar w:fldCharType="end"/>
      </w:r>
    </w:p>
    <w:p w14:paraId="002EA521" w14:textId="77777777" w:rsidR="00275E17" w:rsidRDefault="00275E17">
      <w:pPr>
        <w:pStyle w:val="TOC2"/>
        <w:tabs>
          <w:tab w:val="left" w:pos="812"/>
        </w:tabs>
        <w:rPr>
          <w:rFonts w:asciiTheme="minorHAnsi" w:eastAsiaTheme="minorEastAsia" w:hAnsiTheme="minorHAnsi" w:cstheme="minorBidi"/>
          <w:b w:val="0"/>
          <w:i w:val="0"/>
          <w:color w:val="auto"/>
          <w:szCs w:val="24"/>
          <w:lang w:eastAsia="ja-JP"/>
        </w:rPr>
      </w:pPr>
      <w:r>
        <w:t>6.2</w:t>
      </w:r>
      <w:r>
        <w:rPr>
          <w:rFonts w:asciiTheme="minorHAnsi" w:eastAsiaTheme="minorEastAsia" w:hAnsiTheme="minorHAnsi" w:cstheme="minorBidi"/>
          <w:b w:val="0"/>
          <w:i w:val="0"/>
          <w:color w:val="auto"/>
          <w:szCs w:val="24"/>
          <w:lang w:eastAsia="ja-JP"/>
        </w:rPr>
        <w:tab/>
      </w:r>
      <w:r>
        <w:t>Inconsistent with or contrary to human rights</w:t>
      </w:r>
      <w:r>
        <w:tab/>
      </w:r>
      <w:r>
        <w:fldChar w:fldCharType="begin"/>
      </w:r>
      <w:r>
        <w:instrText xml:space="preserve"> PAGEREF _Toc297922276 \h </w:instrText>
      </w:r>
      <w:r>
        <w:fldChar w:fldCharType="separate"/>
      </w:r>
      <w:r w:rsidR="009537B7">
        <w:t>4</w:t>
      </w:r>
      <w:r>
        <w:fldChar w:fldCharType="end"/>
      </w:r>
    </w:p>
    <w:p w14:paraId="1881A2C1" w14:textId="77777777" w:rsidR="00275E17" w:rsidRDefault="00275E17">
      <w:pPr>
        <w:pStyle w:val="TOC1"/>
        <w:tabs>
          <w:tab w:val="left" w:pos="373"/>
        </w:tabs>
        <w:rPr>
          <w:rFonts w:asciiTheme="minorHAnsi" w:eastAsiaTheme="minorEastAsia" w:hAnsiTheme="minorHAnsi" w:cstheme="minorBidi"/>
          <w:b w:val="0"/>
          <w:color w:val="auto"/>
          <w:szCs w:val="24"/>
          <w:lang w:eastAsia="ja-JP"/>
        </w:rPr>
      </w:pPr>
      <w:r>
        <w:t>7</w:t>
      </w:r>
      <w:r>
        <w:rPr>
          <w:rFonts w:asciiTheme="minorHAnsi" w:eastAsiaTheme="minorEastAsia" w:hAnsiTheme="minorHAnsi" w:cstheme="minorBidi"/>
          <w:b w:val="0"/>
          <w:color w:val="auto"/>
          <w:szCs w:val="24"/>
          <w:lang w:eastAsia="ja-JP"/>
        </w:rPr>
        <w:tab/>
      </w:r>
      <w:r>
        <w:t>Recommendation</w:t>
      </w:r>
      <w:r>
        <w:tab/>
      </w:r>
      <w:r>
        <w:fldChar w:fldCharType="begin"/>
      </w:r>
      <w:r>
        <w:instrText xml:space="preserve"> PAGEREF _Toc297922277 \h </w:instrText>
      </w:r>
      <w:r>
        <w:fldChar w:fldCharType="separate"/>
      </w:r>
      <w:r w:rsidR="009537B7">
        <w:t>5</w:t>
      </w:r>
      <w:r>
        <w:fldChar w:fldCharType="end"/>
      </w:r>
    </w:p>
    <w:p w14:paraId="404D8FB2" w14:textId="77777777" w:rsidR="00275E17" w:rsidRDefault="00275E17">
      <w:pPr>
        <w:pStyle w:val="TOC2"/>
        <w:tabs>
          <w:tab w:val="left" w:pos="812"/>
        </w:tabs>
        <w:rPr>
          <w:rFonts w:asciiTheme="minorHAnsi" w:eastAsiaTheme="minorEastAsia" w:hAnsiTheme="minorHAnsi" w:cstheme="minorBidi"/>
          <w:b w:val="0"/>
          <w:i w:val="0"/>
          <w:color w:val="auto"/>
          <w:szCs w:val="24"/>
          <w:lang w:eastAsia="ja-JP"/>
        </w:rPr>
      </w:pPr>
      <w:r>
        <w:t>7.1</w:t>
      </w:r>
      <w:r>
        <w:rPr>
          <w:rFonts w:asciiTheme="minorHAnsi" w:eastAsiaTheme="minorEastAsia" w:hAnsiTheme="minorHAnsi" w:cstheme="minorBidi"/>
          <w:b w:val="0"/>
          <w:i w:val="0"/>
          <w:color w:val="auto"/>
          <w:szCs w:val="24"/>
          <w:lang w:eastAsia="ja-JP"/>
        </w:rPr>
        <w:tab/>
      </w:r>
      <w:r>
        <w:t>Power to make recommendations</w:t>
      </w:r>
      <w:r>
        <w:tab/>
      </w:r>
      <w:r>
        <w:fldChar w:fldCharType="begin"/>
      </w:r>
      <w:r>
        <w:instrText xml:space="preserve"> PAGEREF _Toc297922278 \h </w:instrText>
      </w:r>
      <w:r>
        <w:fldChar w:fldCharType="separate"/>
      </w:r>
      <w:r w:rsidR="009537B7">
        <w:t>5</w:t>
      </w:r>
      <w:r>
        <w:fldChar w:fldCharType="end"/>
      </w:r>
    </w:p>
    <w:p w14:paraId="7A8E6FBE" w14:textId="77777777" w:rsidR="00275E17" w:rsidRDefault="00275E17">
      <w:pPr>
        <w:pStyle w:val="TOC2"/>
        <w:tabs>
          <w:tab w:val="left" w:pos="812"/>
        </w:tabs>
        <w:rPr>
          <w:rFonts w:asciiTheme="minorHAnsi" w:eastAsiaTheme="minorEastAsia" w:hAnsiTheme="minorHAnsi" w:cstheme="minorBidi"/>
          <w:b w:val="0"/>
          <w:i w:val="0"/>
          <w:color w:val="auto"/>
          <w:szCs w:val="24"/>
          <w:lang w:eastAsia="ja-JP"/>
        </w:rPr>
      </w:pPr>
      <w:r>
        <w:t>7.2</w:t>
      </w:r>
      <w:r>
        <w:rPr>
          <w:rFonts w:asciiTheme="minorHAnsi" w:eastAsiaTheme="minorEastAsia" w:hAnsiTheme="minorHAnsi" w:cstheme="minorBidi"/>
          <w:b w:val="0"/>
          <w:i w:val="0"/>
          <w:color w:val="auto"/>
          <w:szCs w:val="24"/>
          <w:lang w:eastAsia="ja-JP"/>
        </w:rPr>
        <w:tab/>
      </w:r>
      <w:r>
        <w:t>Consideration of compensation</w:t>
      </w:r>
      <w:r>
        <w:tab/>
      </w:r>
      <w:r>
        <w:fldChar w:fldCharType="begin"/>
      </w:r>
      <w:r>
        <w:instrText xml:space="preserve"> PAGEREF _Toc297922279 \h </w:instrText>
      </w:r>
      <w:r>
        <w:fldChar w:fldCharType="separate"/>
      </w:r>
      <w:r w:rsidR="009537B7">
        <w:t>6</w:t>
      </w:r>
      <w:r>
        <w:fldChar w:fldCharType="end"/>
      </w:r>
    </w:p>
    <w:p w14:paraId="4561B466" w14:textId="77777777" w:rsidR="00275E17" w:rsidRDefault="00275E17">
      <w:pPr>
        <w:pStyle w:val="TOC2"/>
        <w:tabs>
          <w:tab w:val="left" w:pos="812"/>
        </w:tabs>
        <w:rPr>
          <w:rFonts w:asciiTheme="minorHAnsi" w:eastAsiaTheme="minorEastAsia" w:hAnsiTheme="minorHAnsi" w:cstheme="minorBidi"/>
          <w:b w:val="0"/>
          <w:i w:val="0"/>
          <w:color w:val="auto"/>
          <w:szCs w:val="24"/>
          <w:lang w:eastAsia="ja-JP"/>
        </w:rPr>
      </w:pPr>
      <w:r>
        <w:t>7.3</w:t>
      </w:r>
      <w:r>
        <w:rPr>
          <w:rFonts w:asciiTheme="minorHAnsi" w:eastAsiaTheme="minorEastAsia" w:hAnsiTheme="minorHAnsi" w:cstheme="minorBidi"/>
          <w:b w:val="0"/>
          <w:i w:val="0"/>
          <w:color w:val="auto"/>
          <w:szCs w:val="24"/>
          <w:lang w:eastAsia="ja-JP"/>
        </w:rPr>
        <w:tab/>
      </w:r>
      <w:r>
        <w:t>Recommendation that compensation be paid</w:t>
      </w:r>
      <w:r>
        <w:tab/>
      </w:r>
      <w:r>
        <w:fldChar w:fldCharType="begin"/>
      </w:r>
      <w:r>
        <w:instrText xml:space="preserve"> PAGEREF _Toc297922280 \h </w:instrText>
      </w:r>
      <w:r>
        <w:fldChar w:fldCharType="separate"/>
      </w:r>
      <w:r w:rsidR="009537B7">
        <w:t>8</w:t>
      </w:r>
      <w:r>
        <w:fldChar w:fldCharType="end"/>
      </w:r>
    </w:p>
    <w:p w14:paraId="505287F1" w14:textId="77777777" w:rsidR="00275E17" w:rsidRDefault="00275E17">
      <w:pPr>
        <w:pStyle w:val="TOC2"/>
        <w:tabs>
          <w:tab w:val="left" w:pos="812"/>
        </w:tabs>
        <w:rPr>
          <w:rFonts w:asciiTheme="minorHAnsi" w:eastAsiaTheme="minorEastAsia" w:hAnsiTheme="minorHAnsi" w:cstheme="minorBidi"/>
          <w:b w:val="0"/>
          <w:i w:val="0"/>
          <w:color w:val="auto"/>
          <w:szCs w:val="24"/>
          <w:lang w:eastAsia="ja-JP"/>
        </w:rPr>
      </w:pPr>
      <w:r>
        <w:t>7.4</w:t>
      </w:r>
      <w:r>
        <w:rPr>
          <w:rFonts w:asciiTheme="minorHAnsi" w:eastAsiaTheme="minorEastAsia" w:hAnsiTheme="minorHAnsi" w:cstheme="minorBidi"/>
          <w:b w:val="0"/>
          <w:i w:val="0"/>
          <w:color w:val="auto"/>
          <w:szCs w:val="24"/>
          <w:lang w:eastAsia="ja-JP"/>
        </w:rPr>
        <w:tab/>
      </w:r>
      <w:r>
        <w:t>The Department’s response to my recommendation</w:t>
      </w:r>
      <w:r>
        <w:tab/>
      </w:r>
      <w:r>
        <w:fldChar w:fldCharType="begin"/>
      </w:r>
      <w:r>
        <w:instrText xml:space="preserve"> PAGEREF _Toc297922281 \h </w:instrText>
      </w:r>
      <w:r>
        <w:fldChar w:fldCharType="separate"/>
      </w:r>
      <w:r w:rsidR="009537B7">
        <w:t>8</w:t>
      </w:r>
      <w:r>
        <w:fldChar w:fldCharType="end"/>
      </w:r>
    </w:p>
    <w:p w14:paraId="09360F0E" w14:textId="77777777" w:rsidR="00CF2FE3" w:rsidRPr="00DF65BF" w:rsidRDefault="008C0E4E" w:rsidP="005B31AC">
      <w:pPr>
        <w:spacing w:before="0" w:after="0"/>
        <w:rPr>
          <w:rFonts w:cs="Arial"/>
          <w:color w:val="auto"/>
          <w:spacing w:val="-5"/>
          <w:szCs w:val="24"/>
        </w:rPr>
      </w:pPr>
      <w:r w:rsidRPr="008C0E4E">
        <w:rPr>
          <w:rFonts w:cs="Arial"/>
          <w:b/>
          <w:color w:val="auto"/>
          <w:spacing w:val="-5"/>
          <w:szCs w:val="24"/>
        </w:rPr>
        <w:fldChar w:fldCharType="end"/>
      </w:r>
      <w:r w:rsidRPr="008C0E4E">
        <w:rPr>
          <w:rFonts w:cs="Arial"/>
          <w:color w:val="auto"/>
          <w:spacing w:val="-5"/>
          <w:szCs w:val="24"/>
        </w:rPr>
        <w:br w:type="page"/>
      </w:r>
      <w:r w:rsidR="00E46181">
        <w:rPr>
          <w:szCs w:val="24"/>
          <w:lang w:eastAsia="en-AU"/>
        </w:rPr>
        <w:lastRenderedPageBreak/>
        <w:t>June</w:t>
      </w:r>
      <w:r w:rsidR="00CF2FE3">
        <w:rPr>
          <w:szCs w:val="24"/>
          <w:lang w:eastAsia="en-AU"/>
        </w:rPr>
        <w:t xml:space="preserve"> 2015</w:t>
      </w:r>
    </w:p>
    <w:p w14:paraId="79EC5224" w14:textId="77777777" w:rsidR="00CF2FE3" w:rsidRDefault="00CF2FE3" w:rsidP="00CF2FE3">
      <w:pPr>
        <w:keepNext/>
        <w:rPr>
          <w:szCs w:val="24"/>
          <w:lang w:eastAsia="en-AU"/>
        </w:rPr>
      </w:pPr>
      <w:r>
        <w:rPr>
          <w:szCs w:val="24"/>
          <w:lang w:eastAsia="en-AU"/>
        </w:rPr>
        <w:br/>
        <w:t>Senator t</w:t>
      </w:r>
      <w:r w:rsidRPr="00E46988">
        <w:rPr>
          <w:szCs w:val="24"/>
          <w:lang w:eastAsia="en-AU"/>
        </w:rPr>
        <w:t>he Hon</w:t>
      </w:r>
      <w:r>
        <w:rPr>
          <w:szCs w:val="24"/>
          <w:lang w:eastAsia="en-AU"/>
        </w:rPr>
        <w:t>.</w:t>
      </w:r>
      <w:r w:rsidRPr="00E46988">
        <w:rPr>
          <w:szCs w:val="24"/>
          <w:lang w:eastAsia="en-AU"/>
        </w:rPr>
        <w:t xml:space="preserve"> </w:t>
      </w:r>
      <w:r>
        <w:rPr>
          <w:szCs w:val="24"/>
          <w:lang w:eastAsia="en-AU"/>
        </w:rPr>
        <w:t>George Brandis QC</w:t>
      </w:r>
      <w:r>
        <w:rPr>
          <w:szCs w:val="24"/>
          <w:lang w:eastAsia="en-AU"/>
        </w:rPr>
        <w:br/>
        <w:t>Attorney-</w:t>
      </w:r>
      <w:r w:rsidRPr="00E46988">
        <w:rPr>
          <w:szCs w:val="24"/>
          <w:lang w:eastAsia="en-AU"/>
        </w:rPr>
        <w:t>General</w:t>
      </w:r>
      <w:r w:rsidRPr="00E46988">
        <w:rPr>
          <w:szCs w:val="24"/>
          <w:lang w:eastAsia="en-AU"/>
        </w:rPr>
        <w:br/>
        <w:t>Parliament House</w:t>
      </w:r>
      <w:r w:rsidRPr="00E46988">
        <w:rPr>
          <w:szCs w:val="24"/>
          <w:lang w:eastAsia="en-AU"/>
        </w:rPr>
        <w:br/>
      </w:r>
      <w:r>
        <w:rPr>
          <w:szCs w:val="24"/>
          <w:lang w:eastAsia="en-AU"/>
        </w:rPr>
        <w:t xml:space="preserve">Canberra </w:t>
      </w:r>
      <w:r w:rsidRPr="00E46988">
        <w:rPr>
          <w:szCs w:val="24"/>
          <w:lang w:eastAsia="en-AU"/>
        </w:rPr>
        <w:t>ACT</w:t>
      </w:r>
      <w:r>
        <w:rPr>
          <w:szCs w:val="24"/>
          <w:lang w:eastAsia="en-AU"/>
        </w:rPr>
        <w:t xml:space="preserve"> </w:t>
      </w:r>
      <w:r w:rsidRPr="00E46988">
        <w:rPr>
          <w:szCs w:val="24"/>
          <w:lang w:eastAsia="en-AU"/>
        </w:rPr>
        <w:t>2600</w:t>
      </w:r>
    </w:p>
    <w:p w14:paraId="7A1828E9" w14:textId="77777777" w:rsidR="00CF2FE3" w:rsidRPr="00E46988" w:rsidRDefault="00CF2FE3" w:rsidP="00CF2FE3">
      <w:pPr>
        <w:keepNext/>
        <w:rPr>
          <w:szCs w:val="24"/>
          <w:lang w:eastAsia="en-AU"/>
        </w:rPr>
      </w:pPr>
      <w:r w:rsidRPr="00E46988">
        <w:rPr>
          <w:szCs w:val="24"/>
          <w:lang w:eastAsia="en-AU"/>
        </w:rPr>
        <w:br/>
        <w:t>Dear Attorney</w:t>
      </w:r>
      <w:r>
        <w:rPr>
          <w:szCs w:val="24"/>
          <w:lang w:eastAsia="en-AU"/>
        </w:rPr>
        <w:t>,</w:t>
      </w:r>
      <w:r w:rsidRPr="00E46988">
        <w:rPr>
          <w:szCs w:val="24"/>
          <w:lang w:eastAsia="en-AU"/>
        </w:rPr>
        <w:br/>
      </w:r>
      <w:r w:rsidRPr="00E46988">
        <w:rPr>
          <w:szCs w:val="24"/>
          <w:lang w:eastAsia="en-AU"/>
        </w:rPr>
        <w:br/>
        <w:t xml:space="preserve">I </w:t>
      </w:r>
      <w:r>
        <w:rPr>
          <w:szCs w:val="24"/>
          <w:lang w:eastAsia="en-AU"/>
        </w:rPr>
        <w:t xml:space="preserve">have completed my </w:t>
      </w:r>
      <w:r w:rsidRPr="00E46988">
        <w:rPr>
          <w:szCs w:val="24"/>
          <w:lang w:eastAsia="en-AU"/>
        </w:rPr>
        <w:t xml:space="preserve">report </w:t>
      </w:r>
      <w:r>
        <w:rPr>
          <w:szCs w:val="24"/>
          <w:lang w:eastAsia="en-AU"/>
        </w:rPr>
        <w:t xml:space="preserve">pursuant </w:t>
      </w:r>
      <w:r w:rsidRPr="00E46988">
        <w:rPr>
          <w:szCs w:val="24"/>
          <w:lang w:eastAsia="en-AU"/>
        </w:rPr>
        <w:t xml:space="preserve">to </w:t>
      </w:r>
      <w:r>
        <w:rPr>
          <w:szCs w:val="24"/>
          <w:lang w:eastAsia="en-AU"/>
        </w:rPr>
        <w:t>s </w:t>
      </w:r>
      <w:r w:rsidRPr="00E46988">
        <w:rPr>
          <w:szCs w:val="24"/>
          <w:lang w:eastAsia="en-AU"/>
        </w:rPr>
        <w:t xml:space="preserve">11(1)(f)(ii) of the </w:t>
      </w:r>
      <w:r w:rsidRPr="00E46988">
        <w:rPr>
          <w:i/>
          <w:szCs w:val="24"/>
          <w:lang w:eastAsia="en-AU"/>
        </w:rPr>
        <w:t>Australian Human Rights Commission Act 1986</w:t>
      </w:r>
      <w:r w:rsidRPr="00E46988">
        <w:rPr>
          <w:szCs w:val="24"/>
          <w:lang w:eastAsia="en-AU"/>
        </w:rPr>
        <w:t xml:space="preserve"> (</w:t>
      </w:r>
      <w:proofErr w:type="spellStart"/>
      <w:r w:rsidRPr="00E46988">
        <w:rPr>
          <w:szCs w:val="24"/>
          <w:lang w:eastAsia="en-AU"/>
        </w:rPr>
        <w:t>Cth</w:t>
      </w:r>
      <w:proofErr w:type="spellEnd"/>
      <w:r w:rsidRPr="00E46988">
        <w:rPr>
          <w:szCs w:val="24"/>
          <w:lang w:eastAsia="en-AU"/>
        </w:rPr>
        <w:t>) into the complaint made by</w:t>
      </w:r>
      <w:r>
        <w:rPr>
          <w:szCs w:val="24"/>
          <w:lang w:eastAsia="en-AU"/>
        </w:rPr>
        <w:t xml:space="preserve"> </w:t>
      </w:r>
      <w:r w:rsidRPr="00DE05DF">
        <w:rPr>
          <w:rFonts w:cs="Arial"/>
          <w:szCs w:val="24"/>
        </w:rPr>
        <w:t xml:space="preserve">Mr </w:t>
      </w:r>
      <w:r w:rsidR="00190C71">
        <w:rPr>
          <w:rFonts w:cs="Arial"/>
          <w:szCs w:val="24"/>
        </w:rPr>
        <w:t>Rahimi</w:t>
      </w:r>
      <w:r w:rsidRPr="00DE05DF">
        <w:rPr>
          <w:rFonts w:cs="Arial"/>
          <w:szCs w:val="24"/>
        </w:rPr>
        <w:t xml:space="preserve"> against the Commonwealth of Australia – Department of Immigration and </w:t>
      </w:r>
      <w:r>
        <w:rPr>
          <w:rFonts w:cs="Arial"/>
          <w:szCs w:val="24"/>
        </w:rPr>
        <w:t>Border Protection (Department).</w:t>
      </w:r>
    </w:p>
    <w:p w14:paraId="0BE659F9" w14:textId="77777777" w:rsidR="00CF2FE3" w:rsidRPr="000934B0" w:rsidRDefault="00CF2FE3" w:rsidP="00CF2FE3">
      <w:pPr>
        <w:rPr>
          <w:szCs w:val="24"/>
        </w:rPr>
      </w:pPr>
      <w:r w:rsidRPr="000934B0">
        <w:rPr>
          <w:szCs w:val="24"/>
        </w:rPr>
        <w:t xml:space="preserve">I have found that Mr </w:t>
      </w:r>
      <w:r w:rsidR="00190C71">
        <w:rPr>
          <w:szCs w:val="24"/>
        </w:rPr>
        <w:t>Rahimi’s</w:t>
      </w:r>
      <w:r w:rsidRPr="000934B0">
        <w:rPr>
          <w:szCs w:val="24"/>
        </w:rPr>
        <w:t xml:space="preserve"> detention</w:t>
      </w:r>
      <w:r w:rsidR="00887484">
        <w:rPr>
          <w:szCs w:val="24"/>
        </w:rPr>
        <w:t xml:space="preserve"> at Villawood Immigration Detention Centre</w:t>
      </w:r>
      <w:r w:rsidRPr="000934B0">
        <w:rPr>
          <w:szCs w:val="24"/>
        </w:rPr>
        <w:t xml:space="preserve"> from </w:t>
      </w:r>
      <w:r w:rsidR="0021570F">
        <w:rPr>
          <w:szCs w:val="24"/>
        </w:rPr>
        <w:t>15 September 2010</w:t>
      </w:r>
      <w:r>
        <w:rPr>
          <w:szCs w:val="24"/>
        </w:rPr>
        <w:t xml:space="preserve"> until his </w:t>
      </w:r>
      <w:r w:rsidR="00887484">
        <w:rPr>
          <w:szCs w:val="24"/>
        </w:rPr>
        <w:t>death</w:t>
      </w:r>
      <w:r>
        <w:rPr>
          <w:szCs w:val="24"/>
        </w:rPr>
        <w:t xml:space="preserve"> on </w:t>
      </w:r>
      <w:r w:rsidR="0021570F">
        <w:rPr>
          <w:szCs w:val="24"/>
        </w:rPr>
        <w:t>27 February 2012</w:t>
      </w:r>
      <w:r>
        <w:rPr>
          <w:szCs w:val="24"/>
        </w:rPr>
        <w:t xml:space="preserve"> </w:t>
      </w:r>
      <w:r w:rsidRPr="000934B0">
        <w:rPr>
          <w:szCs w:val="24"/>
        </w:rPr>
        <w:t>was arbitrary within the meaning of article 9(1) of the</w:t>
      </w:r>
      <w:r w:rsidRPr="001A6770">
        <w:rPr>
          <w:rFonts w:cs="Arial"/>
          <w:i/>
          <w:szCs w:val="24"/>
        </w:rPr>
        <w:t xml:space="preserve"> </w:t>
      </w:r>
      <w:r w:rsidRPr="007560F1">
        <w:rPr>
          <w:rFonts w:cs="Arial"/>
          <w:i/>
          <w:szCs w:val="24"/>
        </w:rPr>
        <w:t>International Covenant on Civil and Political Rights</w:t>
      </w:r>
      <w:r w:rsidRPr="000934B0">
        <w:rPr>
          <w:szCs w:val="24"/>
        </w:rPr>
        <w:t xml:space="preserve"> </w:t>
      </w:r>
      <w:r>
        <w:rPr>
          <w:szCs w:val="24"/>
        </w:rPr>
        <w:t>(</w:t>
      </w:r>
      <w:r w:rsidRPr="000934B0">
        <w:rPr>
          <w:szCs w:val="24"/>
        </w:rPr>
        <w:t>ICCPR</w:t>
      </w:r>
      <w:r>
        <w:rPr>
          <w:szCs w:val="24"/>
        </w:rPr>
        <w:t xml:space="preserve">). </w:t>
      </w:r>
    </w:p>
    <w:p w14:paraId="1F166B84" w14:textId="71B4C02A" w:rsidR="00CF2FE3" w:rsidRDefault="00CF2FE3" w:rsidP="00CF2FE3">
      <w:pPr>
        <w:rPr>
          <w:rFonts w:cs="Arial"/>
          <w:szCs w:val="24"/>
        </w:rPr>
      </w:pPr>
      <w:r>
        <w:rPr>
          <w:rFonts w:cs="Arial"/>
          <w:szCs w:val="24"/>
        </w:rPr>
        <w:t xml:space="preserve">In light of my findings, I recommend that </w:t>
      </w:r>
      <w:r w:rsidRPr="00114A06">
        <w:rPr>
          <w:rFonts w:cs="Arial"/>
          <w:szCs w:val="24"/>
        </w:rPr>
        <w:t xml:space="preserve">the Commonwealth pay compensation to Mr </w:t>
      </w:r>
      <w:r w:rsidR="00887484">
        <w:rPr>
          <w:rFonts w:cs="Arial"/>
          <w:szCs w:val="24"/>
        </w:rPr>
        <w:t>Rahimi</w:t>
      </w:r>
      <w:r w:rsidR="00D80C49">
        <w:rPr>
          <w:rFonts w:cs="Arial"/>
          <w:szCs w:val="24"/>
        </w:rPr>
        <w:t>'s estate</w:t>
      </w:r>
      <w:r w:rsidRPr="00114A06">
        <w:rPr>
          <w:rFonts w:cs="Arial"/>
          <w:szCs w:val="24"/>
        </w:rPr>
        <w:t>.</w:t>
      </w:r>
    </w:p>
    <w:p w14:paraId="3A277A6D" w14:textId="77777777" w:rsidR="00CF2FE3" w:rsidRPr="009D5F54" w:rsidRDefault="00CF2FE3" w:rsidP="00CF2FE3">
      <w:pPr>
        <w:rPr>
          <w:rFonts w:cs="Arial"/>
          <w:szCs w:val="24"/>
        </w:rPr>
      </w:pPr>
      <w:r w:rsidRPr="009D5F54">
        <w:rPr>
          <w:szCs w:val="24"/>
          <w:lang w:eastAsia="en-AU"/>
        </w:rPr>
        <w:t xml:space="preserve">By letter dated </w:t>
      </w:r>
      <w:r w:rsidR="00887484">
        <w:rPr>
          <w:szCs w:val="24"/>
          <w:lang w:eastAsia="en-AU"/>
        </w:rPr>
        <w:t xml:space="preserve">15 May 2015 </w:t>
      </w:r>
      <w:r w:rsidRPr="009D5F54">
        <w:rPr>
          <w:szCs w:val="24"/>
          <w:lang w:eastAsia="en-AU"/>
        </w:rPr>
        <w:t xml:space="preserve">the </w:t>
      </w:r>
      <w:r>
        <w:rPr>
          <w:szCs w:val="24"/>
          <w:lang w:eastAsia="en-AU"/>
        </w:rPr>
        <w:t>D</w:t>
      </w:r>
      <w:r w:rsidRPr="009D5F54">
        <w:rPr>
          <w:szCs w:val="24"/>
          <w:lang w:eastAsia="en-AU"/>
        </w:rPr>
        <w:t>epartment pr</w:t>
      </w:r>
      <w:r>
        <w:rPr>
          <w:szCs w:val="24"/>
          <w:lang w:eastAsia="en-AU"/>
        </w:rPr>
        <w:t xml:space="preserve">ovided a response to my </w:t>
      </w:r>
      <w:r w:rsidR="005B31AC">
        <w:rPr>
          <w:szCs w:val="24"/>
          <w:lang w:eastAsia="en-AU"/>
        </w:rPr>
        <w:t>recommendation</w:t>
      </w:r>
      <w:r w:rsidR="00FC2B58">
        <w:rPr>
          <w:szCs w:val="24"/>
          <w:lang w:eastAsia="en-AU"/>
        </w:rPr>
        <w:t xml:space="preserve"> of compensation</w:t>
      </w:r>
      <w:r w:rsidRPr="009D5F54">
        <w:rPr>
          <w:szCs w:val="24"/>
          <w:lang w:eastAsia="en-AU"/>
        </w:rPr>
        <w:t xml:space="preserve">. </w:t>
      </w:r>
      <w:r>
        <w:rPr>
          <w:szCs w:val="24"/>
          <w:lang w:eastAsia="en-AU"/>
        </w:rPr>
        <w:t xml:space="preserve">I have </w:t>
      </w:r>
      <w:r w:rsidR="004F59E1">
        <w:rPr>
          <w:szCs w:val="24"/>
          <w:lang w:eastAsia="en-AU"/>
        </w:rPr>
        <w:t>set out</w:t>
      </w:r>
      <w:r>
        <w:rPr>
          <w:szCs w:val="24"/>
          <w:lang w:eastAsia="en-AU"/>
        </w:rPr>
        <w:t xml:space="preserve"> the</w:t>
      </w:r>
      <w:r w:rsidR="00887484">
        <w:rPr>
          <w:szCs w:val="24"/>
          <w:lang w:eastAsia="en-AU"/>
        </w:rPr>
        <w:t xml:space="preserve"> Department’s response in </w:t>
      </w:r>
      <w:r w:rsidR="00EB5475">
        <w:rPr>
          <w:szCs w:val="24"/>
          <w:lang w:eastAsia="en-AU"/>
        </w:rPr>
        <w:t>p</w:t>
      </w:r>
      <w:r w:rsidR="00887484">
        <w:rPr>
          <w:szCs w:val="24"/>
          <w:lang w:eastAsia="en-AU"/>
        </w:rPr>
        <w:t>art</w:t>
      </w:r>
      <w:r w:rsidR="004F59E1">
        <w:rPr>
          <w:szCs w:val="24"/>
          <w:lang w:eastAsia="en-AU"/>
        </w:rPr>
        <w:t xml:space="preserve"> </w:t>
      </w:r>
      <w:r w:rsidR="004C11BD">
        <w:rPr>
          <w:szCs w:val="24"/>
          <w:lang w:eastAsia="en-AU"/>
        </w:rPr>
        <w:t>7.4</w:t>
      </w:r>
      <w:r w:rsidR="00887484">
        <w:rPr>
          <w:szCs w:val="24"/>
          <w:lang w:eastAsia="en-AU"/>
        </w:rPr>
        <w:t xml:space="preserve"> </w:t>
      </w:r>
      <w:r>
        <w:rPr>
          <w:szCs w:val="24"/>
          <w:lang w:eastAsia="en-AU"/>
        </w:rPr>
        <w:t>of this report.</w:t>
      </w:r>
    </w:p>
    <w:p w14:paraId="1790686A" w14:textId="77777777" w:rsidR="00CF2FE3" w:rsidRDefault="00CF2FE3" w:rsidP="00CF2FE3">
      <w:pPr>
        <w:rPr>
          <w:szCs w:val="24"/>
          <w:lang w:eastAsia="en-AU"/>
        </w:rPr>
      </w:pPr>
      <w:r>
        <w:rPr>
          <w:szCs w:val="24"/>
          <w:lang w:eastAsia="en-AU"/>
        </w:rPr>
        <w:t>I enclose a copy of my report.</w:t>
      </w:r>
    </w:p>
    <w:p w14:paraId="1A02628F" w14:textId="77777777" w:rsidR="00CF2FE3" w:rsidRDefault="00CF2FE3" w:rsidP="00CF2FE3">
      <w:pPr>
        <w:keepNext/>
        <w:keepLines/>
        <w:jc w:val="both"/>
        <w:rPr>
          <w:rFonts w:cs="ArialMT"/>
          <w:szCs w:val="24"/>
          <w:lang w:val="en-US" w:bidi="en-US"/>
        </w:rPr>
      </w:pPr>
      <w:r w:rsidRPr="00E46988">
        <w:rPr>
          <w:rFonts w:cs="ArialMT"/>
          <w:szCs w:val="24"/>
          <w:lang w:val="en-US" w:bidi="en-US"/>
        </w:rPr>
        <w:t>Yours sincerely</w:t>
      </w:r>
      <w:r>
        <w:rPr>
          <w:rFonts w:cs="ArialMT"/>
          <w:szCs w:val="24"/>
          <w:lang w:val="en-US" w:bidi="en-US"/>
        </w:rPr>
        <w:t>,</w:t>
      </w:r>
    </w:p>
    <w:p w14:paraId="688BB654" w14:textId="77777777" w:rsidR="00CF2FE3" w:rsidRDefault="00872AF3" w:rsidP="00872AF3">
      <w:pPr>
        <w:ind w:left="-284"/>
      </w:pPr>
      <w:r>
        <w:rPr>
          <w:rFonts w:cs="Arial"/>
          <w:b/>
          <w:bCs/>
          <w:noProof/>
          <w:lang w:eastAsia="en-AU"/>
        </w:rPr>
        <w:drawing>
          <wp:inline distT="0" distB="0" distL="0" distR="0" wp14:anchorId="6B19CE42" wp14:editId="580AA08D">
            <wp:extent cx="1828800" cy="1079863"/>
            <wp:effectExtent l="0" t="0" r="0" b="6350"/>
            <wp:docPr id="1" name="Picture 1" descr="cid:image001.png@01D03A46.C71F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A46.C71F3F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32730" cy="1082184"/>
                    </a:xfrm>
                    <a:prstGeom prst="rect">
                      <a:avLst/>
                    </a:prstGeom>
                    <a:noFill/>
                    <a:ln>
                      <a:noFill/>
                    </a:ln>
                  </pic:spPr>
                </pic:pic>
              </a:graphicData>
            </a:graphic>
          </wp:inline>
        </w:drawing>
      </w:r>
    </w:p>
    <w:p w14:paraId="52DE9F10" w14:textId="77777777" w:rsidR="00CF2FE3" w:rsidRPr="001034C2" w:rsidRDefault="00CF2FE3" w:rsidP="00630A49">
      <w:pPr>
        <w:spacing w:before="0" w:after="0"/>
        <w:rPr>
          <w:szCs w:val="24"/>
        </w:rPr>
      </w:pPr>
      <w:r>
        <w:rPr>
          <w:szCs w:val="24"/>
        </w:rPr>
        <w:t>Gillian Triggs</w:t>
      </w:r>
    </w:p>
    <w:p w14:paraId="41890DE4" w14:textId="77777777" w:rsidR="00CF2FE3" w:rsidRPr="001034C2" w:rsidRDefault="00CF2FE3" w:rsidP="00630A49">
      <w:pPr>
        <w:spacing w:before="0" w:after="0"/>
        <w:rPr>
          <w:szCs w:val="24"/>
        </w:rPr>
      </w:pPr>
      <w:r w:rsidRPr="001034C2">
        <w:rPr>
          <w:b/>
          <w:szCs w:val="24"/>
        </w:rPr>
        <w:t>President</w:t>
      </w:r>
      <w:r w:rsidRPr="001034C2">
        <w:rPr>
          <w:szCs w:val="24"/>
        </w:rPr>
        <w:t xml:space="preserve"> </w:t>
      </w:r>
    </w:p>
    <w:p w14:paraId="41E6BEF1" w14:textId="77777777" w:rsidR="00630A49" w:rsidRDefault="00CF2FE3" w:rsidP="00630A49">
      <w:pPr>
        <w:spacing w:before="0" w:after="0"/>
        <w:rPr>
          <w:szCs w:val="24"/>
        </w:rPr>
        <w:sectPr w:rsidR="00630A49" w:rsidSect="00B65E69">
          <w:footerReference w:type="default" r:id="rId14"/>
          <w:endnotePr>
            <w:numFmt w:val="decimal"/>
          </w:endnotePr>
          <w:pgSz w:w="11906" w:h="16838" w:code="9"/>
          <w:pgMar w:top="1134" w:right="1418" w:bottom="1134" w:left="1418" w:header="709" w:footer="709" w:gutter="0"/>
          <w:pgNumType w:start="1"/>
          <w:cols w:space="708"/>
          <w:docGrid w:linePitch="360"/>
        </w:sectPr>
      </w:pPr>
      <w:r w:rsidRPr="001034C2">
        <w:rPr>
          <w:szCs w:val="24"/>
        </w:rPr>
        <w:t>Australian Human Rights Commission</w:t>
      </w:r>
    </w:p>
    <w:p w14:paraId="4C37F898" w14:textId="77777777" w:rsidR="00CF2FE3" w:rsidRPr="001034C2" w:rsidRDefault="00CF2FE3" w:rsidP="00630A49">
      <w:pPr>
        <w:spacing w:before="0" w:after="0"/>
        <w:rPr>
          <w:szCs w:val="24"/>
        </w:rPr>
      </w:pPr>
    </w:p>
    <w:p w14:paraId="1A48BF48" w14:textId="77777777" w:rsidR="008C0E4E" w:rsidRPr="005B31AC" w:rsidRDefault="00CF2FE3" w:rsidP="008C0E4E">
      <w:pPr>
        <w:pStyle w:val="Heading1"/>
      </w:pPr>
      <w:r>
        <w:br w:type="page"/>
      </w:r>
      <w:bookmarkStart w:id="0" w:name="_Toc297922269"/>
      <w:r w:rsidR="008C0E4E" w:rsidRPr="008C0E4E">
        <w:lastRenderedPageBreak/>
        <w:t>Introduction</w:t>
      </w:r>
      <w:bookmarkEnd w:id="0"/>
      <w:r w:rsidR="008C0E4E" w:rsidRPr="008C0E4E">
        <w:t xml:space="preserve"> </w:t>
      </w:r>
    </w:p>
    <w:p w14:paraId="73DEDB62"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The Australian Human Rights Commission has conducted an inquiry into a complaint by Mr Ali Rahimi, who alleged that certain acts of the Commonwealth of Australia - Department of Immigration and Border Protection, in relation to his detention, were inconsistent with his human rights, namely the rights recognised under the </w:t>
      </w:r>
      <w:r w:rsidRPr="008C0E4E">
        <w:rPr>
          <w:rFonts w:cs="Arial"/>
          <w:i/>
          <w:color w:val="auto"/>
          <w:spacing w:val="-5"/>
          <w:szCs w:val="24"/>
        </w:rPr>
        <w:t>International Covenant on Civil and Political Rights</w:t>
      </w:r>
      <w:r w:rsidRPr="008C0E4E">
        <w:rPr>
          <w:rFonts w:cs="Arial"/>
          <w:color w:val="auto"/>
          <w:spacing w:val="-5"/>
          <w:szCs w:val="24"/>
        </w:rPr>
        <w:t xml:space="preserve"> (ICCPR).</w:t>
      </w:r>
    </w:p>
    <w:p w14:paraId="47934193"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Mr Rahimi made a complaint to the Commission on 12 October 2011.  He died on 27 February 2012.  The Commission issued its preliminary view in relation to this complaint on 23 April 2013.  Subsequently, the Commission placed its inquiry into the complaint on hold as Mr Rahimi’s death was the subject of a coronial inquest.  In March 2014, the Deputy State Coroner found that Mr Rahimi died of natural causes.</w:t>
      </w:r>
    </w:p>
    <w:p w14:paraId="774791B8"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In February 2015, the Commission was informed by the late Mr Rahimi’s legal representative, Ms </w:t>
      </w:r>
      <w:proofErr w:type="spellStart"/>
      <w:r w:rsidRPr="008C0E4E">
        <w:rPr>
          <w:rFonts w:cs="Arial"/>
          <w:color w:val="auto"/>
          <w:spacing w:val="-5"/>
          <w:szCs w:val="24"/>
        </w:rPr>
        <w:t>Azam</w:t>
      </w:r>
      <w:proofErr w:type="spellEnd"/>
      <w:r w:rsidRPr="008C0E4E">
        <w:rPr>
          <w:rFonts w:cs="Arial"/>
          <w:color w:val="auto"/>
          <w:spacing w:val="-5"/>
          <w:szCs w:val="24"/>
        </w:rPr>
        <w:t xml:space="preserve"> </w:t>
      </w:r>
      <w:proofErr w:type="spellStart"/>
      <w:r w:rsidRPr="008C0E4E">
        <w:rPr>
          <w:rFonts w:cs="Arial"/>
          <w:color w:val="auto"/>
          <w:spacing w:val="-5"/>
          <w:szCs w:val="24"/>
        </w:rPr>
        <w:t>Alamshahi</w:t>
      </w:r>
      <w:proofErr w:type="spellEnd"/>
      <w:r w:rsidRPr="008C0E4E">
        <w:rPr>
          <w:rFonts w:cs="Arial"/>
          <w:color w:val="auto"/>
          <w:spacing w:val="-5"/>
          <w:szCs w:val="24"/>
        </w:rPr>
        <w:t>, that she sought the continuation of the Commission’s inquiry into Mr Rahimi’s complaint.  In these circumstances, I consider it is appropriate to continue the Commission’s inquiry.</w:t>
      </w:r>
      <w:r w:rsidRPr="008C0E4E">
        <w:rPr>
          <w:color w:val="auto"/>
          <w:spacing w:val="-5"/>
          <w:sz w:val="20"/>
          <w:szCs w:val="24"/>
          <w:vertAlign w:val="superscript"/>
        </w:rPr>
        <w:endnoteReference w:id="1"/>
      </w:r>
      <w:r w:rsidRPr="008C0E4E">
        <w:rPr>
          <w:rFonts w:cs="Arial"/>
          <w:color w:val="auto"/>
          <w:spacing w:val="-5"/>
          <w:szCs w:val="24"/>
        </w:rPr>
        <w:t xml:space="preserve"> </w:t>
      </w:r>
    </w:p>
    <w:p w14:paraId="0FAE4093"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This is a </w:t>
      </w:r>
      <w:r w:rsidR="00EB5475">
        <w:rPr>
          <w:rFonts w:cs="Arial"/>
          <w:color w:val="auto"/>
          <w:spacing w:val="-5"/>
          <w:szCs w:val="24"/>
        </w:rPr>
        <w:t>report</w:t>
      </w:r>
      <w:r w:rsidRPr="008C0E4E">
        <w:rPr>
          <w:rFonts w:cs="Arial"/>
          <w:color w:val="auto"/>
          <w:spacing w:val="-5"/>
          <w:szCs w:val="24"/>
        </w:rPr>
        <w:t xml:space="preserve"> under s 29(2) of the </w:t>
      </w:r>
      <w:r w:rsidRPr="008C0E4E">
        <w:rPr>
          <w:rFonts w:cs="Arial"/>
          <w:i/>
          <w:color w:val="auto"/>
          <w:spacing w:val="-5"/>
          <w:szCs w:val="24"/>
        </w:rPr>
        <w:t>Australian Human Rights Commission Act 1986</w:t>
      </w:r>
      <w:r w:rsidRPr="008C0E4E">
        <w:rPr>
          <w:rFonts w:cs="Arial"/>
          <w:color w:val="auto"/>
          <w:spacing w:val="-5"/>
          <w:szCs w:val="24"/>
        </w:rPr>
        <w:t xml:space="preserve"> (</w:t>
      </w:r>
      <w:proofErr w:type="spellStart"/>
      <w:r w:rsidRPr="008C0E4E">
        <w:rPr>
          <w:rFonts w:cs="Arial"/>
          <w:color w:val="auto"/>
          <w:spacing w:val="-5"/>
          <w:szCs w:val="24"/>
        </w:rPr>
        <w:t>Cth</w:t>
      </w:r>
      <w:proofErr w:type="spellEnd"/>
      <w:r w:rsidRPr="008C0E4E">
        <w:rPr>
          <w:rFonts w:cs="Arial"/>
          <w:color w:val="auto"/>
          <w:spacing w:val="-5"/>
          <w:szCs w:val="24"/>
        </w:rPr>
        <w:t>) (AHRC Act) setting out the findings of the Commission in relation to Mr Rahimi’s complaint.</w:t>
      </w:r>
    </w:p>
    <w:p w14:paraId="2AEFFD47" w14:textId="77777777" w:rsidR="008C0E4E" w:rsidRPr="00F336E1" w:rsidRDefault="008C0E4E" w:rsidP="00F336E1">
      <w:pPr>
        <w:pStyle w:val="Heading1"/>
      </w:pPr>
      <w:bookmarkStart w:id="1" w:name="_Toc297922270"/>
      <w:r w:rsidRPr="008C0E4E">
        <w:t>Summary of findings and recommendations</w:t>
      </w:r>
      <w:bookmarkEnd w:id="1"/>
      <w:r w:rsidRPr="008C0E4E">
        <w:t xml:space="preserve"> </w:t>
      </w:r>
    </w:p>
    <w:p w14:paraId="53D45745" w14:textId="2E3A8DF2" w:rsidR="008C0E4E" w:rsidRPr="008C0E4E" w:rsidRDefault="008C0E4E" w:rsidP="008C0E4E">
      <w:pPr>
        <w:numPr>
          <w:ilvl w:val="0"/>
          <w:numId w:val="7"/>
        </w:numPr>
        <w:rPr>
          <w:color w:val="auto"/>
          <w:spacing w:val="-5"/>
          <w:szCs w:val="24"/>
        </w:rPr>
      </w:pPr>
      <w:r w:rsidRPr="008C0E4E">
        <w:rPr>
          <w:color w:val="auto"/>
          <w:spacing w:val="-5"/>
          <w:szCs w:val="24"/>
        </w:rPr>
        <w:t xml:space="preserve">As a result of conducting this </w:t>
      </w:r>
      <w:r w:rsidR="00CB5978">
        <w:rPr>
          <w:color w:val="auto"/>
          <w:spacing w:val="-5"/>
          <w:szCs w:val="24"/>
        </w:rPr>
        <w:t xml:space="preserve">inquiry, I have found that </w:t>
      </w:r>
      <w:r w:rsidRPr="008C0E4E">
        <w:rPr>
          <w:color w:val="auto"/>
          <w:spacing w:val="-5"/>
          <w:szCs w:val="24"/>
        </w:rPr>
        <w:t xml:space="preserve">the detention of Mr Rahimi in Villawood Immigration Detention Centre (VIDC), from 15 September 2010 until 27 February 2012, was not necessary and not proportionate to the Commonwealth’s legitimate aim of managing its migration system and amounted to a breach of his rights under article 9 of the ICCPR. </w:t>
      </w:r>
    </w:p>
    <w:p w14:paraId="1424E10A" w14:textId="77777777" w:rsidR="008C0E4E" w:rsidRPr="008C0E4E" w:rsidRDefault="008C0E4E" w:rsidP="008C0E4E">
      <w:pPr>
        <w:numPr>
          <w:ilvl w:val="0"/>
          <w:numId w:val="7"/>
        </w:numPr>
        <w:rPr>
          <w:color w:val="auto"/>
          <w:spacing w:val="-5"/>
          <w:szCs w:val="24"/>
        </w:rPr>
      </w:pPr>
      <w:r w:rsidRPr="008C0E4E">
        <w:rPr>
          <w:color w:val="auto"/>
          <w:spacing w:val="-5"/>
          <w:szCs w:val="24"/>
        </w:rPr>
        <w:t xml:space="preserve">In light of this finding, I recommend that the Commonwealth pay an appropriate amount of compensation to Mr Rahimi’s estate, in accordance with the principles outlined in part 7.2 below. </w:t>
      </w:r>
    </w:p>
    <w:p w14:paraId="65D9F07B" w14:textId="77777777" w:rsidR="008C0E4E" w:rsidRPr="008C0E4E" w:rsidRDefault="008C0E4E" w:rsidP="00F336E1">
      <w:pPr>
        <w:pStyle w:val="Heading1"/>
      </w:pPr>
      <w:bookmarkStart w:id="2" w:name="_Toc297922271"/>
      <w:r w:rsidRPr="008C0E4E">
        <w:t>Background</w:t>
      </w:r>
      <w:bookmarkEnd w:id="2"/>
    </w:p>
    <w:p w14:paraId="74EB9332"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Mr Rahimi was a national of Iran who arrived in Australia by plane on 24 April 2010.  He presented a false passport and was not able to produce any valid evidence of his identity.  He did not hold a visa.  He was considered to be an unlawful non-citizen and was placed in VIDC.</w:t>
      </w:r>
    </w:p>
    <w:p w14:paraId="0C7AD051"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On 7 May 2010, Mr Rahimi applied for a Protection visa.  His application for a Protection visa was refused by the Minister’s Delegate and this decision was affirmed by the Refugee Review Tribunal (RRT).  Mr Rahimi sought judicial review of the RRT’s decision, however this application was dismissed as it was made out of time.</w:t>
      </w:r>
    </w:p>
    <w:p w14:paraId="5E965D4F"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lastRenderedPageBreak/>
        <w:t xml:space="preserve">Several requests for Ministerial intervention were made by Mr Rahimi.  On 28 March 2011, the Department assessed Mr Rahimi’s request for intervention under section 48B of the </w:t>
      </w:r>
      <w:r w:rsidRPr="008C0E4E">
        <w:rPr>
          <w:rFonts w:cs="Arial"/>
          <w:i/>
          <w:color w:val="auto"/>
          <w:spacing w:val="-5"/>
          <w:szCs w:val="24"/>
        </w:rPr>
        <w:t xml:space="preserve">Migration Act 1958 </w:t>
      </w:r>
      <w:r w:rsidRPr="008C0E4E">
        <w:rPr>
          <w:rFonts w:cs="Arial"/>
          <w:color w:val="auto"/>
          <w:spacing w:val="-5"/>
          <w:szCs w:val="24"/>
        </w:rPr>
        <w:t>(</w:t>
      </w:r>
      <w:proofErr w:type="spellStart"/>
      <w:r w:rsidRPr="008C0E4E">
        <w:rPr>
          <w:rFonts w:cs="Arial"/>
          <w:color w:val="auto"/>
          <w:spacing w:val="-5"/>
          <w:szCs w:val="24"/>
        </w:rPr>
        <w:t>Cth</w:t>
      </w:r>
      <w:proofErr w:type="spellEnd"/>
      <w:r w:rsidRPr="008C0E4E">
        <w:rPr>
          <w:rFonts w:cs="Arial"/>
          <w:color w:val="auto"/>
          <w:spacing w:val="-5"/>
          <w:szCs w:val="24"/>
        </w:rPr>
        <w:t xml:space="preserve">) (Migration Act) – for the Minister to lift the bar and allow him to make a further protection visa application – as not meeting the Minister’s guidelines for referral.  At this time, the Department also assessed Mr Rahimi’s request as not meeting the Ministerial guidelines under section 417 of the Migration Act, which allows the Minister to substitute a more favourable decision for a decision of the RRT. </w:t>
      </w:r>
    </w:p>
    <w:p w14:paraId="49868E25"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On 29 March 2011, the Department forwarded Mr Rahimi’s request under section 417 on a detention schedule to the Minister.  The Minister requested from the Department a further submission in relation to Mr Rahimi’s case, including a submission under section 48B.  In addition, on 24 June 2011, the Department initiated ministerial intervention requests under section 195A (to consider the grant of a bridging visa) and 197AB (to consider placement in community detention) and included these options in a submission for the Minister. </w:t>
      </w:r>
    </w:p>
    <w:p w14:paraId="4A07F13D"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On 14 July 2011, the Department provided its submission to the Minister, seeking his advice on whether he wished to exercise his public interest power under sections 48B, 417, 195A or 197AB.  On 21 July 2011, the Minister declined to exercise his powers under these provisions of the Migration Act.  </w:t>
      </w:r>
    </w:p>
    <w:p w14:paraId="2DBE9C29" w14:textId="1020E3D5" w:rsidR="008C0E4E" w:rsidRPr="008C0E4E" w:rsidRDefault="008C0E4E" w:rsidP="008C0E4E">
      <w:pPr>
        <w:numPr>
          <w:ilvl w:val="0"/>
          <w:numId w:val="7"/>
        </w:numPr>
        <w:rPr>
          <w:rFonts w:cs="Arial"/>
          <w:color w:val="auto"/>
          <w:spacing w:val="-5"/>
          <w:szCs w:val="24"/>
        </w:rPr>
      </w:pPr>
      <w:bookmarkStart w:id="3" w:name="_Ref411352559"/>
      <w:r w:rsidRPr="008C0E4E">
        <w:rPr>
          <w:rFonts w:cs="Arial"/>
          <w:color w:val="auto"/>
          <w:spacing w:val="-5"/>
          <w:szCs w:val="24"/>
        </w:rPr>
        <w:t>From about August 2011</w:t>
      </w:r>
      <w:r w:rsidR="004252B8">
        <w:rPr>
          <w:rFonts w:cs="Arial"/>
          <w:color w:val="auto"/>
          <w:spacing w:val="-5"/>
          <w:szCs w:val="24"/>
        </w:rPr>
        <w:t>,</w:t>
      </w:r>
      <w:r w:rsidRPr="008C0E4E">
        <w:rPr>
          <w:rFonts w:cs="Arial"/>
          <w:color w:val="auto"/>
          <w:spacing w:val="-5"/>
          <w:szCs w:val="24"/>
        </w:rPr>
        <w:t xml:space="preserve"> it appears that Mr Rahimi was experiencing difficulties in coping with the detention environment.  In a report dated 8 September 2011, Dr Michael Dudley and Dr Katherine Mullin diagnosed Mr Rahimi with Major Depressive Disorder and Post Traumatic Stress Disorder (PTSD) and recommended that he be ‘released from prolonged, restrictive detention into community detention’.  On receipt of this psychiatric report in mid-October 2011, the Department initiated a fresh assessment to establish whether Mr Rahimi’s circumstances met the Minister’s guidelines for referral under section 197AB.  On 15 February 2012, the Department assessed Mr Rahimi as meeting these guidelines. </w:t>
      </w:r>
      <w:bookmarkEnd w:id="3"/>
    </w:p>
    <w:p w14:paraId="0479930F" w14:textId="19D8171F"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On 27 February 2012</w:t>
      </w:r>
      <w:r w:rsidR="005A4494">
        <w:rPr>
          <w:rFonts w:cs="Arial"/>
          <w:color w:val="auto"/>
          <w:spacing w:val="-5"/>
          <w:szCs w:val="24"/>
        </w:rPr>
        <w:t>,</w:t>
      </w:r>
      <w:r w:rsidRPr="008C0E4E">
        <w:rPr>
          <w:rFonts w:cs="Arial"/>
          <w:color w:val="auto"/>
          <w:spacing w:val="-5"/>
          <w:szCs w:val="24"/>
        </w:rPr>
        <w:t xml:space="preserve"> Mr Rahimi died due to heart failure.  On 19 March 2014, Deputy State Coroner C. Forbes found that Mr Rahimi died of natural causes, due to a ruptured dissecting aorta. </w:t>
      </w:r>
    </w:p>
    <w:p w14:paraId="470B68D6" w14:textId="77777777" w:rsidR="008C0E4E" w:rsidRPr="008C0E4E" w:rsidRDefault="008C0E4E" w:rsidP="00F336E1">
      <w:pPr>
        <w:pStyle w:val="Heading1"/>
      </w:pPr>
      <w:bookmarkStart w:id="4" w:name="_Toc297922272"/>
      <w:r w:rsidRPr="008C0E4E">
        <w:t>Legal</w:t>
      </w:r>
      <w:r w:rsidR="005B31AC">
        <w:t xml:space="preserve"> f</w:t>
      </w:r>
      <w:r w:rsidRPr="008C0E4E">
        <w:t>ramework</w:t>
      </w:r>
      <w:bookmarkEnd w:id="4"/>
    </w:p>
    <w:p w14:paraId="1BC1B109"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Section 11(1)(f) of the AHRC Act provides that it is a function of the Commission to inquire into any act or practice that may be inconsistent with or contrary to any human right.</w:t>
      </w:r>
      <w:r w:rsidRPr="008C0E4E">
        <w:rPr>
          <w:color w:val="auto"/>
          <w:spacing w:val="-5"/>
          <w:sz w:val="20"/>
          <w:vertAlign w:val="superscript"/>
        </w:rPr>
        <w:endnoteReference w:id="2"/>
      </w:r>
      <w:r w:rsidRPr="008C0E4E">
        <w:rPr>
          <w:rFonts w:cs="Arial"/>
          <w:color w:val="auto"/>
          <w:spacing w:val="-5"/>
          <w:szCs w:val="24"/>
        </w:rPr>
        <w:t xml:space="preserve">  </w:t>
      </w:r>
    </w:p>
    <w:p w14:paraId="70B17132"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Section 3(1) of the AHRC Act defines ‘act’ to include an act done by or on behalf of the Commonwealth.  Section 3(3) provides that a reference to, or the doing of, an act includes a reference to the refusal or failure to do an act.</w:t>
      </w:r>
    </w:p>
    <w:p w14:paraId="62507D94"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The functions of the Commission identified in s 11(1)(f) of the AHRC Act are only engaged where an act complained of is not one required by law to be taken.</w:t>
      </w:r>
      <w:r w:rsidRPr="008C0E4E">
        <w:rPr>
          <w:color w:val="auto"/>
          <w:spacing w:val="-5"/>
          <w:sz w:val="20"/>
          <w:vertAlign w:val="superscript"/>
        </w:rPr>
        <w:endnoteReference w:id="3"/>
      </w:r>
    </w:p>
    <w:p w14:paraId="44EE7EB1" w14:textId="77777777" w:rsidR="008C0E4E" w:rsidRPr="008C0E4E" w:rsidRDefault="008C0E4E" w:rsidP="00F336E1">
      <w:pPr>
        <w:pStyle w:val="Heading1"/>
      </w:pPr>
      <w:bookmarkStart w:id="5" w:name="_Toc297922273"/>
      <w:r w:rsidRPr="008C0E4E">
        <w:lastRenderedPageBreak/>
        <w:t>Human rights relevant to this complaint</w:t>
      </w:r>
      <w:bookmarkEnd w:id="5"/>
      <w:r w:rsidRPr="008C0E4E">
        <w:t xml:space="preserve"> </w:t>
      </w:r>
    </w:p>
    <w:p w14:paraId="0C7F23AC" w14:textId="77777777" w:rsidR="008C0E4E" w:rsidRPr="008C0E4E" w:rsidRDefault="008C0E4E" w:rsidP="008C0E4E">
      <w:pPr>
        <w:numPr>
          <w:ilvl w:val="0"/>
          <w:numId w:val="7"/>
        </w:numPr>
        <w:rPr>
          <w:color w:val="auto"/>
          <w:spacing w:val="-5"/>
          <w:szCs w:val="24"/>
        </w:rPr>
      </w:pPr>
      <w:r w:rsidRPr="008C0E4E">
        <w:rPr>
          <w:rFonts w:cs="Arial"/>
          <w:color w:val="auto"/>
          <w:spacing w:val="-5"/>
          <w:szCs w:val="24"/>
        </w:rPr>
        <w:t>The</w:t>
      </w:r>
      <w:r w:rsidRPr="008C0E4E">
        <w:rPr>
          <w:color w:val="auto"/>
          <w:spacing w:val="-5"/>
          <w:szCs w:val="24"/>
        </w:rPr>
        <w:t xml:space="preserve"> rights and freedoms recognised by the ICCPR are ‘human rights’ within the meaning of the AHRC Act. </w:t>
      </w:r>
    </w:p>
    <w:p w14:paraId="04882906" w14:textId="77777777" w:rsidR="008C0E4E" w:rsidRPr="008C0E4E" w:rsidRDefault="008C0E4E" w:rsidP="008C0E4E">
      <w:pPr>
        <w:numPr>
          <w:ilvl w:val="0"/>
          <w:numId w:val="7"/>
        </w:numPr>
        <w:rPr>
          <w:color w:val="auto"/>
          <w:spacing w:val="-5"/>
          <w:szCs w:val="24"/>
        </w:rPr>
      </w:pPr>
      <w:r w:rsidRPr="008C0E4E">
        <w:rPr>
          <w:color w:val="auto"/>
          <w:spacing w:val="-5"/>
          <w:szCs w:val="24"/>
        </w:rPr>
        <w:t>The article of the ICCPR that is relevant to this complaint is article 9(1).  It provides:</w:t>
      </w:r>
    </w:p>
    <w:p w14:paraId="769A6CBF" w14:textId="77777777" w:rsidR="008C0E4E" w:rsidRPr="008C0E4E" w:rsidRDefault="008C0E4E" w:rsidP="008C0E4E">
      <w:pPr>
        <w:ind w:left="1134"/>
        <w:rPr>
          <w:color w:val="auto"/>
          <w:spacing w:val="-5"/>
          <w:szCs w:val="24"/>
        </w:rPr>
      </w:pPr>
      <w:r w:rsidRPr="008C0E4E">
        <w:rPr>
          <w:iCs/>
          <w:color w:val="auto"/>
          <w:spacing w:val="-5"/>
          <w:sz w:val="22"/>
          <w:szCs w:val="22"/>
        </w:rPr>
        <w:t xml:space="preserve">Everyone has the right to liberty and security of person. No one shall be subjected to arbitrary arrest or detention. No one shall be deprived of his liberty except on such grounds and in accordance with such procedure as are established by law. </w:t>
      </w:r>
    </w:p>
    <w:p w14:paraId="1D4AC39D" w14:textId="77777777" w:rsidR="008C0E4E" w:rsidRPr="008C0E4E" w:rsidRDefault="008C0E4E" w:rsidP="008C0E4E">
      <w:pPr>
        <w:numPr>
          <w:ilvl w:val="0"/>
          <w:numId w:val="7"/>
        </w:numPr>
        <w:rPr>
          <w:color w:val="auto"/>
          <w:spacing w:val="-5"/>
          <w:szCs w:val="24"/>
        </w:rPr>
      </w:pPr>
      <w:r w:rsidRPr="008C0E4E">
        <w:rPr>
          <w:rFonts w:cs="Arial"/>
          <w:color w:val="auto"/>
          <w:spacing w:val="-5"/>
          <w:szCs w:val="24"/>
        </w:rPr>
        <w:t>The</w:t>
      </w:r>
      <w:r w:rsidRPr="008C0E4E">
        <w:rPr>
          <w:color w:val="auto"/>
          <w:spacing w:val="-5"/>
          <w:szCs w:val="24"/>
        </w:rPr>
        <w:t xml:space="preserve"> following principles relating to arbitrary detention within the meaning of article 9 of the ICCPR arise from international human rights jurisprudence:</w:t>
      </w:r>
    </w:p>
    <w:p w14:paraId="583F2AFC" w14:textId="77777777" w:rsidR="008C0E4E" w:rsidRPr="008C0E4E" w:rsidRDefault="008C0E4E" w:rsidP="008C0E4E">
      <w:pPr>
        <w:ind w:left="720" w:firstLine="710"/>
        <w:rPr>
          <w:color w:val="auto"/>
          <w:spacing w:val="-5"/>
          <w:szCs w:val="24"/>
        </w:rPr>
      </w:pPr>
      <w:r w:rsidRPr="008C0E4E">
        <w:rPr>
          <w:color w:val="auto"/>
          <w:spacing w:val="-5"/>
          <w:szCs w:val="24"/>
        </w:rPr>
        <w:t>(a)</w:t>
      </w:r>
      <w:r w:rsidRPr="008C0E4E">
        <w:rPr>
          <w:color w:val="auto"/>
          <w:spacing w:val="-5"/>
          <w:szCs w:val="24"/>
        </w:rPr>
        <w:tab/>
        <w:t>‘detention’ includes immigration detention;</w:t>
      </w:r>
      <w:r w:rsidRPr="008C0E4E">
        <w:rPr>
          <w:color w:val="auto"/>
          <w:spacing w:val="-5"/>
          <w:sz w:val="20"/>
          <w:vertAlign w:val="superscript"/>
        </w:rPr>
        <w:endnoteReference w:id="4"/>
      </w:r>
    </w:p>
    <w:p w14:paraId="0A60F44B" w14:textId="77777777" w:rsidR="008C0E4E" w:rsidRPr="008C0E4E" w:rsidRDefault="008C0E4E" w:rsidP="008C0E4E">
      <w:pPr>
        <w:ind w:left="2160" w:hanging="730"/>
        <w:rPr>
          <w:color w:val="auto"/>
          <w:spacing w:val="-5"/>
          <w:szCs w:val="24"/>
        </w:rPr>
      </w:pPr>
      <w:r w:rsidRPr="008C0E4E">
        <w:rPr>
          <w:color w:val="auto"/>
          <w:spacing w:val="-5"/>
          <w:szCs w:val="24"/>
        </w:rPr>
        <w:t>(b)</w:t>
      </w:r>
      <w:r w:rsidRPr="008C0E4E">
        <w:rPr>
          <w:color w:val="auto"/>
          <w:spacing w:val="-5"/>
          <w:szCs w:val="24"/>
        </w:rPr>
        <w:tab/>
        <w:t>lawful detention may become arbitrary when a person’s deprivation of liberty becomes unjust, unreasonable or disproportionate to the Commonwealth’s legitimate aim of ensuring the effective operation of Australia’s migration system;</w:t>
      </w:r>
      <w:r w:rsidRPr="008C0E4E">
        <w:rPr>
          <w:color w:val="auto"/>
          <w:spacing w:val="-5"/>
          <w:sz w:val="20"/>
          <w:vertAlign w:val="superscript"/>
        </w:rPr>
        <w:endnoteReference w:id="5"/>
      </w:r>
    </w:p>
    <w:p w14:paraId="4488A68E" w14:textId="77777777" w:rsidR="008C0E4E" w:rsidRPr="008C0E4E" w:rsidRDefault="008C0E4E" w:rsidP="008C0E4E">
      <w:pPr>
        <w:ind w:left="2160" w:hanging="730"/>
        <w:rPr>
          <w:color w:val="auto"/>
          <w:spacing w:val="-5"/>
          <w:szCs w:val="24"/>
        </w:rPr>
      </w:pPr>
      <w:r w:rsidRPr="008C0E4E">
        <w:rPr>
          <w:color w:val="auto"/>
          <w:spacing w:val="-5"/>
          <w:szCs w:val="24"/>
        </w:rPr>
        <w:t>(c)</w:t>
      </w:r>
      <w:r w:rsidRPr="008C0E4E">
        <w:rPr>
          <w:color w:val="auto"/>
          <w:spacing w:val="-5"/>
          <w:szCs w:val="24"/>
        </w:rPr>
        <w:tab/>
        <w:t>arbitrariness is not to be equated with ‘against the law’; it must be interpreted more broadly to include elements of inappropriateness, injustice or lack of predictability</w:t>
      </w:r>
      <w:bookmarkStart w:id="6" w:name="_Ref316647561"/>
      <w:r w:rsidRPr="008C0E4E">
        <w:rPr>
          <w:color w:val="auto"/>
          <w:spacing w:val="-5"/>
          <w:szCs w:val="24"/>
        </w:rPr>
        <w:t>;</w:t>
      </w:r>
      <w:bookmarkEnd w:id="6"/>
      <w:r w:rsidRPr="008C0E4E">
        <w:rPr>
          <w:color w:val="auto"/>
          <w:spacing w:val="-5"/>
          <w:sz w:val="20"/>
          <w:vertAlign w:val="superscript"/>
        </w:rPr>
        <w:endnoteReference w:id="6"/>
      </w:r>
      <w:r w:rsidRPr="008C0E4E">
        <w:rPr>
          <w:color w:val="auto"/>
          <w:spacing w:val="-5"/>
          <w:szCs w:val="24"/>
        </w:rPr>
        <w:t xml:space="preserve"> and</w:t>
      </w:r>
    </w:p>
    <w:p w14:paraId="496A7019" w14:textId="77777777" w:rsidR="008C0E4E" w:rsidRPr="008C0E4E" w:rsidRDefault="008C0E4E" w:rsidP="008C0E4E">
      <w:pPr>
        <w:ind w:left="2160" w:hanging="730"/>
        <w:rPr>
          <w:color w:val="auto"/>
          <w:spacing w:val="-5"/>
          <w:szCs w:val="24"/>
        </w:rPr>
      </w:pPr>
      <w:r w:rsidRPr="008C0E4E">
        <w:rPr>
          <w:color w:val="auto"/>
          <w:spacing w:val="-5"/>
          <w:szCs w:val="24"/>
        </w:rPr>
        <w:t>(d)</w:t>
      </w:r>
      <w:r w:rsidRPr="008C0E4E">
        <w:rPr>
          <w:color w:val="auto"/>
          <w:spacing w:val="-5"/>
          <w:szCs w:val="24"/>
        </w:rPr>
        <w:tab/>
        <w:t>detention should not continue beyond the period for which a State party can provide appropriate justification.</w:t>
      </w:r>
      <w:r w:rsidRPr="008C0E4E">
        <w:rPr>
          <w:color w:val="auto"/>
          <w:spacing w:val="-5"/>
          <w:sz w:val="20"/>
          <w:vertAlign w:val="superscript"/>
        </w:rPr>
        <w:endnoteReference w:id="7"/>
      </w:r>
      <w:r w:rsidRPr="008C0E4E">
        <w:rPr>
          <w:color w:val="auto"/>
          <w:spacing w:val="-5"/>
          <w:szCs w:val="24"/>
        </w:rPr>
        <w:t xml:space="preserve"> </w:t>
      </w:r>
    </w:p>
    <w:p w14:paraId="135B591C" w14:textId="77777777" w:rsidR="008C0E4E" w:rsidRPr="008C0E4E" w:rsidRDefault="008C0E4E" w:rsidP="008C0E4E">
      <w:pPr>
        <w:numPr>
          <w:ilvl w:val="0"/>
          <w:numId w:val="7"/>
        </w:numPr>
        <w:rPr>
          <w:color w:val="auto"/>
          <w:spacing w:val="-5"/>
          <w:szCs w:val="24"/>
        </w:rPr>
      </w:pPr>
      <w:r w:rsidRPr="008C0E4E">
        <w:rPr>
          <w:color w:val="auto"/>
          <w:spacing w:val="-5"/>
          <w:szCs w:val="24"/>
        </w:rPr>
        <w:t>The United Nations Human Rights Committee has held in several cases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arbitrary.</w:t>
      </w:r>
      <w:r w:rsidRPr="008C0E4E">
        <w:rPr>
          <w:color w:val="auto"/>
          <w:spacing w:val="-5"/>
          <w:sz w:val="20"/>
          <w:szCs w:val="24"/>
          <w:vertAlign w:val="superscript"/>
        </w:rPr>
        <w:endnoteReference w:id="8"/>
      </w:r>
      <w:r w:rsidRPr="008C0E4E">
        <w:rPr>
          <w:color w:val="auto"/>
          <w:spacing w:val="-5"/>
          <w:szCs w:val="24"/>
        </w:rPr>
        <w:t xml:space="preserve">  </w:t>
      </w:r>
    </w:p>
    <w:p w14:paraId="32763B79" w14:textId="77777777" w:rsidR="008C0E4E" w:rsidRPr="008C0E4E" w:rsidRDefault="008C0E4E" w:rsidP="008C0E4E">
      <w:pPr>
        <w:numPr>
          <w:ilvl w:val="0"/>
          <w:numId w:val="7"/>
        </w:numPr>
        <w:rPr>
          <w:color w:val="auto"/>
          <w:spacing w:val="-5"/>
          <w:szCs w:val="24"/>
        </w:rPr>
      </w:pPr>
      <w:r w:rsidRPr="008C0E4E">
        <w:rPr>
          <w:color w:val="auto"/>
          <w:spacing w:val="-5"/>
          <w:szCs w:val="24"/>
        </w:rPr>
        <w:t>In the case of Mr Rahimi, it will be necessary to consider whether his prolonged detention in a closed detention facility could be justified as reasonable, necessary and proportionate on the basis of particular reasons specific to him and in light of the available alternatives to closed detention.</w:t>
      </w:r>
    </w:p>
    <w:p w14:paraId="7CD4628D" w14:textId="77777777" w:rsidR="008C0E4E" w:rsidRPr="008C0E4E" w:rsidRDefault="008C0E4E" w:rsidP="00F336E1">
      <w:pPr>
        <w:pStyle w:val="Heading1"/>
      </w:pPr>
      <w:bookmarkStart w:id="7" w:name="_Toc297922274"/>
      <w:r w:rsidRPr="008C0E4E">
        <w:t>Assessment</w:t>
      </w:r>
      <w:bookmarkEnd w:id="7"/>
    </w:p>
    <w:p w14:paraId="7AD5B401" w14:textId="77777777" w:rsidR="008C0E4E" w:rsidRPr="008C0E4E" w:rsidRDefault="008C0E4E" w:rsidP="00012CC8">
      <w:pPr>
        <w:pStyle w:val="Heading2"/>
      </w:pPr>
      <w:bookmarkStart w:id="8" w:name="_Toc297922275"/>
      <w:r w:rsidRPr="008C0E4E">
        <w:t>Act or practice of the Commonwealth</w:t>
      </w:r>
      <w:bookmarkEnd w:id="8"/>
    </w:p>
    <w:p w14:paraId="73678312"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I find that the Minister’s failure to grant Mr Rahimi a visa or place him in a less restrictive form of detention than VIDC constitutes an act under </w:t>
      </w:r>
      <w:r w:rsidRPr="008C0E4E">
        <w:rPr>
          <w:color w:val="auto"/>
          <w:spacing w:val="-5"/>
          <w:szCs w:val="24"/>
        </w:rPr>
        <w:t>the</w:t>
      </w:r>
      <w:r w:rsidRPr="008C0E4E">
        <w:rPr>
          <w:rFonts w:cs="Arial"/>
          <w:color w:val="auto"/>
          <w:spacing w:val="-5"/>
          <w:szCs w:val="24"/>
        </w:rPr>
        <w:t xml:space="preserve"> AHRC Act. </w:t>
      </w:r>
    </w:p>
    <w:p w14:paraId="651C3B5A" w14:textId="77777777" w:rsidR="008C0E4E" w:rsidRPr="008C0E4E" w:rsidRDefault="008C0E4E" w:rsidP="008C0E4E">
      <w:pPr>
        <w:numPr>
          <w:ilvl w:val="0"/>
          <w:numId w:val="7"/>
        </w:numPr>
        <w:rPr>
          <w:rFonts w:cs="Arial"/>
          <w:color w:val="auto"/>
          <w:spacing w:val="-5"/>
          <w:szCs w:val="24"/>
        </w:rPr>
      </w:pPr>
      <w:r w:rsidRPr="008C0E4E">
        <w:rPr>
          <w:color w:val="auto"/>
          <w:spacing w:val="-5"/>
          <w:szCs w:val="24"/>
        </w:rPr>
        <w:t>Section</w:t>
      </w:r>
      <w:r w:rsidRPr="008C0E4E">
        <w:rPr>
          <w:rFonts w:cs="Arial"/>
          <w:color w:val="auto"/>
          <w:spacing w:val="-5"/>
          <w:szCs w:val="24"/>
        </w:rPr>
        <w:t xml:space="preserve"> 189(1) of the Migration Act requires the detention of unlawful non-citizens. </w:t>
      </w:r>
    </w:p>
    <w:p w14:paraId="071DE89B"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lastRenderedPageBreak/>
        <w:t xml:space="preserve">However, under section 195A of the Migration Act, if the Minister thinks it is in the </w:t>
      </w:r>
      <w:r w:rsidRPr="008C0E4E">
        <w:rPr>
          <w:color w:val="auto"/>
          <w:spacing w:val="-5"/>
          <w:szCs w:val="24"/>
        </w:rPr>
        <w:t>public</w:t>
      </w:r>
      <w:r w:rsidRPr="008C0E4E">
        <w:rPr>
          <w:rFonts w:cs="Arial"/>
          <w:color w:val="auto"/>
          <w:spacing w:val="-5"/>
          <w:szCs w:val="24"/>
        </w:rPr>
        <w:t xml:space="preserve"> interest to do so, the Minister may grant a visa to a person detained under section 189 of the Migration Act.</w:t>
      </w:r>
    </w:p>
    <w:p w14:paraId="21712DEB" w14:textId="77777777" w:rsidR="008C0E4E" w:rsidRPr="008C0E4E" w:rsidRDefault="008C0E4E" w:rsidP="008C0E4E">
      <w:pPr>
        <w:numPr>
          <w:ilvl w:val="0"/>
          <w:numId w:val="7"/>
        </w:numPr>
        <w:rPr>
          <w:rFonts w:cs="Arial"/>
          <w:color w:val="auto"/>
          <w:spacing w:val="-5"/>
          <w:szCs w:val="24"/>
        </w:rPr>
      </w:pPr>
      <w:r w:rsidRPr="008C0E4E">
        <w:rPr>
          <w:color w:val="auto"/>
          <w:spacing w:val="-5"/>
          <w:szCs w:val="24"/>
        </w:rPr>
        <w:t>Under</w:t>
      </w:r>
      <w:r w:rsidRPr="008C0E4E">
        <w:rPr>
          <w:rFonts w:cs="Arial"/>
          <w:color w:val="auto"/>
          <w:spacing w:val="-5"/>
          <w:szCs w:val="24"/>
        </w:rPr>
        <w:t xml:space="preserve"> section 197AB of the Migration Act, if the Minister thinks that it is in the public interest to do so, the Minister may make a determination that particular persons are to reside at a specified place, instead of in immigration detention. </w:t>
      </w:r>
    </w:p>
    <w:p w14:paraId="0DFB5F46"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Further, the definition of ‘immigration detention’ includes ‘being held by, or on behalf of an officer in another place approved by the Minister in writing.’ </w:t>
      </w:r>
    </w:p>
    <w:p w14:paraId="7F82BE2B" w14:textId="77777777" w:rsidR="008C0E4E" w:rsidRPr="008C0E4E" w:rsidRDefault="008C0E4E" w:rsidP="008C0E4E">
      <w:pPr>
        <w:numPr>
          <w:ilvl w:val="0"/>
          <w:numId w:val="7"/>
        </w:numPr>
        <w:rPr>
          <w:rFonts w:cs="Arial"/>
          <w:color w:val="auto"/>
          <w:spacing w:val="-5"/>
          <w:szCs w:val="24"/>
        </w:rPr>
      </w:pPr>
      <w:r w:rsidRPr="008C0E4E">
        <w:rPr>
          <w:color w:val="auto"/>
          <w:spacing w:val="-5"/>
          <w:szCs w:val="24"/>
        </w:rPr>
        <w:t>Accordingly</w:t>
      </w:r>
      <w:r w:rsidRPr="008C0E4E">
        <w:rPr>
          <w:rFonts w:cs="Arial"/>
          <w:color w:val="auto"/>
          <w:spacing w:val="-5"/>
          <w:szCs w:val="24"/>
        </w:rPr>
        <w:t>, the Minister could have granted a visa to Mr Rahimi, made a residence determination in relation to him under section 197AB of the Migration Act or could have approved that Mr Rahimi reside in a place other than VIDC.</w:t>
      </w:r>
    </w:p>
    <w:p w14:paraId="55C66B3C" w14:textId="77777777" w:rsidR="008C0E4E" w:rsidRPr="008C0E4E" w:rsidRDefault="008C0E4E" w:rsidP="00F336E1">
      <w:pPr>
        <w:pStyle w:val="Heading2"/>
      </w:pPr>
      <w:bookmarkStart w:id="9" w:name="_Toc297922276"/>
      <w:r w:rsidRPr="008C0E4E">
        <w:t>Inconsistent with or contrary to human rights</w:t>
      </w:r>
      <w:bookmarkEnd w:id="9"/>
    </w:p>
    <w:p w14:paraId="380CC120"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Mr </w:t>
      </w:r>
      <w:r w:rsidRPr="008C0E4E">
        <w:rPr>
          <w:color w:val="auto"/>
          <w:spacing w:val="-5"/>
          <w:szCs w:val="24"/>
        </w:rPr>
        <w:t>Rahimi</w:t>
      </w:r>
      <w:r w:rsidRPr="008C0E4E">
        <w:rPr>
          <w:rFonts w:cs="Arial"/>
          <w:color w:val="auto"/>
          <w:spacing w:val="-5"/>
          <w:szCs w:val="24"/>
        </w:rPr>
        <w:t xml:space="preserve"> was detained in VIDC from 24 April 2010 until his death on 27 February 2012.  It is claimed on behalf of Mr Rahimi that his detention in VIDC was arbitrary.</w:t>
      </w:r>
    </w:p>
    <w:p w14:paraId="5C59CAC8" w14:textId="77777777" w:rsidR="008C0E4E" w:rsidRPr="008C0E4E" w:rsidRDefault="008C0E4E" w:rsidP="008C0E4E">
      <w:pPr>
        <w:numPr>
          <w:ilvl w:val="0"/>
          <w:numId w:val="7"/>
        </w:numPr>
        <w:rPr>
          <w:rFonts w:cs="Arial"/>
          <w:color w:val="auto"/>
          <w:spacing w:val="-5"/>
          <w:szCs w:val="24"/>
        </w:rPr>
      </w:pPr>
      <w:r w:rsidRPr="008C0E4E">
        <w:rPr>
          <w:color w:val="auto"/>
          <w:spacing w:val="-5"/>
          <w:szCs w:val="24"/>
        </w:rPr>
        <w:t>Under</w:t>
      </w:r>
      <w:r w:rsidRPr="008C0E4E">
        <w:rPr>
          <w:rFonts w:cs="Arial"/>
          <w:color w:val="auto"/>
          <w:spacing w:val="-5"/>
          <w:szCs w:val="24"/>
        </w:rPr>
        <w:t xml:space="preserve"> international law, to avoid being arbitrary, detention must be necessary and proportionate to a legitimate aim of the Commonwealth. </w:t>
      </w:r>
    </w:p>
    <w:p w14:paraId="7BC5328B" w14:textId="77777777" w:rsidR="008C0E4E" w:rsidRPr="008C0E4E" w:rsidRDefault="008C0E4E" w:rsidP="008C0E4E">
      <w:pPr>
        <w:numPr>
          <w:ilvl w:val="0"/>
          <w:numId w:val="7"/>
        </w:numPr>
        <w:rPr>
          <w:color w:val="auto"/>
          <w:spacing w:val="-5"/>
          <w:szCs w:val="24"/>
        </w:rPr>
      </w:pPr>
      <w:r w:rsidRPr="008C0E4E">
        <w:rPr>
          <w:color w:val="auto"/>
          <w:spacing w:val="-5"/>
          <w:szCs w:val="24"/>
          <w:lang w:val="en-CA"/>
        </w:rPr>
        <w:t xml:space="preserve">Detention in the course of proceedings for the control of immigration is not </w:t>
      </w:r>
      <w:r w:rsidRPr="008C0E4E">
        <w:rPr>
          <w:i/>
          <w:color w:val="auto"/>
          <w:spacing w:val="-5"/>
          <w:szCs w:val="24"/>
          <w:lang w:val="en-CA"/>
        </w:rPr>
        <w:t>per se</w:t>
      </w:r>
      <w:r w:rsidRPr="008C0E4E">
        <w:rPr>
          <w:color w:val="auto"/>
          <w:spacing w:val="-5"/>
          <w:szCs w:val="24"/>
          <w:lang w:val="en-CA"/>
        </w:rPr>
        <w:t xml:space="preserve"> arbitrary, but the detention must be justified as reasonable, necessary and proportionate in light of the circumstances, and reassessed as it extends in time.</w:t>
      </w:r>
      <w:r w:rsidRPr="008C0E4E">
        <w:rPr>
          <w:color w:val="auto"/>
          <w:spacing w:val="-5"/>
          <w:sz w:val="20"/>
          <w:szCs w:val="24"/>
          <w:vertAlign w:val="superscript"/>
          <w:lang w:val="en-CA"/>
        </w:rPr>
        <w:endnoteReference w:id="9"/>
      </w:r>
      <w:r w:rsidRPr="008C0E4E">
        <w:rPr>
          <w:color w:val="auto"/>
          <w:spacing w:val="-5"/>
          <w:szCs w:val="24"/>
          <w:lang w:val="en-CA"/>
        </w:rPr>
        <w:t xml:space="preserve">  The United </w:t>
      </w:r>
      <w:r w:rsidR="00275E17">
        <w:rPr>
          <w:color w:val="auto"/>
          <w:spacing w:val="-5"/>
          <w:szCs w:val="24"/>
          <w:lang w:val="en-CA"/>
        </w:rPr>
        <w:t>Nations</w:t>
      </w:r>
      <w:r w:rsidRPr="008C0E4E">
        <w:rPr>
          <w:color w:val="auto"/>
          <w:spacing w:val="-5"/>
          <w:szCs w:val="24"/>
          <w:lang w:val="en-CA"/>
        </w:rPr>
        <w:t xml:space="preserve"> Human Rights Committee has stated that:</w:t>
      </w:r>
    </w:p>
    <w:p w14:paraId="5731012C" w14:textId="77777777" w:rsidR="008C0E4E" w:rsidRPr="008C0E4E" w:rsidRDefault="008C0E4E" w:rsidP="008C0E4E">
      <w:pPr>
        <w:ind w:left="1134"/>
        <w:rPr>
          <w:color w:val="auto"/>
          <w:spacing w:val="-5"/>
          <w:sz w:val="22"/>
          <w:szCs w:val="22"/>
          <w:lang w:val="en-CA"/>
        </w:rPr>
      </w:pPr>
      <w:r w:rsidRPr="008C0E4E">
        <w:rPr>
          <w:color w:val="auto"/>
          <w:spacing w:val="-5"/>
          <w:sz w:val="22"/>
          <w:szCs w:val="22"/>
          <w:lang w:val="en-CA"/>
        </w:rPr>
        <w:t>Asylum-seekers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individualized likelihood of absconding, danger of crimes against others, or risk of acts against national security.</w:t>
      </w:r>
      <w:r w:rsidRPr="008C0E4E">
        <w:rPr>
          <w:color w:val="auto"/>
          <w:spacing w:val="-5"/>
          <w:sz w:val="20"/>
          <w:szCs w:val="22"/>
          <w:vertAlign w:val="superscript"/>
          <w:lang w:val="en-CA"/>
        </w:rPr>
        <w:endnoteReference w:id="10"/>
      </w:r>
      <w:r w:rsidRPr="008C0E4E">
        <w:rPr>
          <w:color w:val="auto"/>
          <w:spacing w:val="-5"/>
          <w:sz w:val="22"/>
          <w:szCs w:val="22"/>
          <w:lang w:val="en-CA"/>
        </w:rPr>
        <w:t xml:space="preserve"> </w:t>
      </w:r>
    </w:p>
    <w:p w14:paraId="0E06C66F" w14:textId="77777777" w:rsidR="008C0E4E" w:rsidRPr="008C0E4E" w:rsidRDefault="008C0E4E" w:rsidP="008C0E4E">
      <w:pPr>
        <w:ind w:left="720"/>
        <w:rPr>
          <w:color w:val="auto"/>
          <w:spacing w:val="-5"/>
          <w:szCs w:val="24"/>
        </w:rPr>
      </w:pPr>
      <w:r w:rsidRPr="008C0E4E">
        <w:rPr>
          <w:color w:val="auto"/>
          <w:spacing w:val="-5"/>
          <w:szCs w:val="24"/>
        </w:rPr>
        <w:t>Further, detention for immigration purposes without a reasonable prospect of removal may contravene article 9(1) of the ICCPR</w:t>
      </w:r>
      <w:r w:rsidRPr="008C0E4E">
        <w:rPr>
          <w:color w:val="auto"/>
          <w:spacing w:val="-5"/>
          <w:szCs w:val="24"/>
          <w:lang w:val="en"/>
        </w:rPr>
        <w:t>.</w:t>
      </w:r>
      <w:r w:rsidRPr="008C0E4E">
        <w:rPr>
          <w:color w:val="auto"/>
          <w:spacing w:val="-5"/>
          <w:szCs w:val="24"/>
          <w:vertAlign w:val="superscript"/>
          <w:lang w:val="en"/>
        </w:rPr>
        <w:endnoteReference w:id="11"/>
      </w:r>
      <w:r w:rsidRPr="008C0E4E">
        <w:rPr>
          <w:color w:val="auto"/>
          <w:spacing w:val="-5"/>
          <w:szCs w:val="24"/>
          <w:lang w:val="en"/>
        </w:rPr>
        <w:t xml:space="preserve"> </w:t>
      </w:r>
    </w:p>
    <w:p w14:paraId="34F754CF" w14:textId="00816775"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Mr Rahimi was security cleared on 15 September 2010, using the name and details he provided to the Department.  In </w:t>
      </w:r>
      <w:r w:rsidRPr="008C0E4E">
        <w:rPr>
          <w:rFonts w:cs="Arial"/>
          <w:i/>
          <w:color w:val="auto"/>
          <w:spacing w:val="-5"/>
          <w:szCs w:val="24"/>
        </w:rPr>
        <w:t xml:space="preserve">Al </w:t>
      </w:r>
      <w:proofErr w:type="spellStart"/>
      <w:r w:rsidRPr="008C0E4E">
        <w:rPr>
          <w:rFonts w:cs="Arial"/>
          <w:i/>
          <w:color w:val="auto"/>
          <w:spacing w:val="-5"/>
          <w:szCs w:val="24"/>
        </w:rPr>
        <w:t>Jenabi</w:t>
      </w:r>
      <w:proofErr w:type="spellEnd"/>
      <w:r w:rsidRPr="008C0E4E">
        <w:rPr>
          <w:rFonts w:cs="Arial"/>
          <w:i/>
          <w:color w:val="auto"/>
          <w:spacing w:val="-5"/>
          <w:szCs w:val="24"/>
        </w:rPr>
        <w:t xml:space="preserve"> v Commonwealth of Australia</w:t>
      </w:r>
      <w:r w:rsidRPr="008C0E4E">
        <w:rPr>
          <w:rFonts w:cs="Arial"/>
          <w:color w:val="auto"/>
          <w:spacing w:val="-5"/>
          <w:szCs w:val="24"/>
        </w:rPr>
        <w:t>, former Commission President</w:t>
      </w:r>
      <w:r w:rsidR="005A4494">
        <w:rPr>
          <w:rFonts w:cs="Arial"/>
          <w:color w:val="auto"/>
          <w:spacing w:val="-5"/>
          <w:szCs w:val="24"/>
        </w:rPr>
        <w:t>,</w:t>
      </w:r>
      <w:r w:rsidRPr="008C0E4E">
        <w:rPr>
          <w:rFonts w:cs="Arial"/>
          <w:color w:val="auto"/>
          <w:spacing w:val="-5"/>
          <w:szCs w:val="24"/>
        </w:rPr>
        <w:t xml:space="preserve"> Catherine Branson QC</w:t>
      </w:r>
      <w:r w:rsidR="005A4494">
        <w:rPr>
          <w:rFonts w:cs="Arial"/>
          <w:color w:val="auto"/>
          <w:spacing w:val="-5"/>
          <w:szCs w:val="24"/>
        </w:rPr>
        <w:t>,</w:t>
      </w:r>
      <w:r w:rsidRPr="008C0E4E">
        <w:rPr>
          <w:rFonts w:cs="Arial"/>
          <w:color w:val="auto"/>
          <w:spacing w:val="-5"/>
          <w:szCs w:val="24"/>
        </w:rPr>
        <w:t xml:space="preserve"> accepted that detention may be justified in order to conduct initial investigations including security checks by the Department.  </w:t>
      </w:r>
    </w:p>
    <w:p w14:paraId="0F7D63CA"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There is no information before me to suggest that it was necessary to detain Mr Rahimi in an immigration detention centre after he was security cleared.</w:t>
      </w:r>
    </w:p>
    <w:p w14:paraId="586A0703"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There is no information before me to suggest that it was necessary to detain Mr Rahimi in an immigration detention centre because he was a flight risk, or </w:t>
      </w:r>
      <w:r w:rsidRPr="008C0E4E">
        <w:rPr>
          <w:color w:val="auto"/>
          <w:spacing w:val="-5"/>
          <w:szCs w:val="24"/>
        </w:rPr>
        <w:lastRenderedPageBreak/>
        <w:t>because</w:t>
      </w:r>
      <w:r w:rsidRPr="008C0E4E">
        <w:rPr>
          <w:rFonts w:cs="Arial"/>
          <w:color w:val="auto"/>
          <w:spacing w:val="-5"/>
          <w:szCs w:val="24"/>
        </w:rPr>
        <w:t xml:space="preserve"> he posed a risk to the Australian community.  There were no incidents in detention recorded in relation to Mr Rahimi.  I note that on two separate occasions, 24 June 2011 and 15 February 2012, Mr Rahimi was assessed as meeting the guidelines for referral to the Minister to consider placement in community detention.</w:t>
      </w:r>
    </w:p>
    <w:p w14:paraId="769BD4A1"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The Commonwealth claims that Mr Rahimi’s detention was not arbitrary because the Commonwealth was attempting to remove him from Australia.  Mr Rahimi had a live application for a Protection visa from 7 May 2010 until 26 May 2010.  Mr </w:t>
      </w:r>
      <w:r w:rsidRPr="008C0E4E">
        <w:rPr>
          <w:color w:val="auto"/>
          <w:spacing w:val="-5"/>
          <w:szCs w:val="24"/>
        </w:rPr>
        <w:t>Rahimi</w:t>
      </w:r>
      <w:r w:rsidRPr="008C0E4E">
        <w:rPr>
          <w:rFonts w:cs="Arial"/>
          <w:color w:val="auto"/>
          <w:spacing w:val="-5"/>
          <w:szCs w:val="24"/>
        </w:rPr>
        <w:t xml:space="preserve"> had proceedings on foot in relation to the refusal to grant him a Protection visa from 2 June 2010 until 13 October 2010 (RRT) and from 15 September 2011 until 22 December 2011 (judicial review).  It is contrary to the Department’s policy to attempt to remove someone while their visa application is being considered or while RRT or judicial review is in progress.  However, no official explanation has been provided as to why Mr Rahimi could not have resided in the community pending the conclusion of the judicial review process.</w:t>
      </w:r>
    </w:p>
    <w:p w14:paraId="53391CD3"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Further, it appears to have been known throughout the period of Mr Rahimi’s </w:t>
      </w:r>
      <w:r w:rsidRPr="008C0E4E">
        <w:rPr>
          <w:color w:val="auto"/>
          <w:spacing w:val="-5"/>
          <w:szCs w:val="24"/>
        </w:rPr>
        <w:t>detention</w:t>
      </w:r>
      <w:r w:rsidRPr="008C0E4E">
        <w:rPr>
          <w:rFonts w:cs="Arial"/>
          <w:color w:val="auto"/>
          <w:spacing w:val="-5"/>
          <w:szCs w:val="24"/>
        </w:rPr>
        <w:t xml:space="preserve"> that there was little chance of resolving his immigration status in the short term by returning him to Iran.  The Department’s submission to the Minister of 14 July 2011 (discussed at paragraph 11 of this </w:t>
      </w:r>
      <w:r w:rsidR="0090447D">
        <w:rPr>
          <w:rFonts w:cs="Arial"/>
          <w:color w:val="auto"/>
          <w:spacing w:val="-5"/>
          <w:szCs w:val="24"/>
        </w:rPr>
        <w:t>report</w:t>
      </w:r>
      <w:r w:rsidRPr="008C0E4E">
        <w:rPr>
          <w:rFonts w:cs="Arial"/>
          <w:color w:val="auto"/>
          <w:spacing w:val="-5"/>
          <w:szCs w:val="24"/>
        </w:rPr>
        <w:t xml:space="preserve">) states: </w:t>
      </w:r>
    </w:p>
    <w:p w14:paraId="511399B3" w14:textId="77777777" w:rsidR="008C0E4E" w:rsidRPr="008C0E4E" w:rsidRDefault="008C0E4E" w:rsidP="008C0E4E">
      <w:pPr>
        <w:ind w:left="1134"/>
        <w:rPr>
          <w:rFonts w:cs="Arial"/>
          <w:color w:val="auto"/>
          <w:spacing w:val="-5"/>
          <w:sz w:val="22"/>
          <w:szCs w:val="22"/>
        </w:rPr>
      </w:pPr>
      <w:r w:rsidRPr="008C0E4E">
        <w:rPr>
          <w:rFonts w:cs="Arial"/>
          <w:color w:val="auto"/>
          <w:spacing w:val="-5"/>
          <w:sz w:val="22"/>
          <w:szCs w:val="22"/>
        </w:rPr>
        <w:t>no timeframes for issuing of travel documents for involuntary Iranian clients are available and the process is protracted.  To date, the department has not been able to obtain a travel document for an involuntary Iranian national.</w:t>
      </w:r>
    </w:p>
    <w:p w14:paraId="77FC5A11" w14:textId="77777777" w:rsidR="008C0E4E" w:rsidRDefault="008C0E4E" w:rsidP="008C0E4E">
      <w:pPr>
        <w:numPr>
          <w:ilvl w:val="0"/>
          <w:numId w:val="7"/>
        </w:numPr>
        <w:rPr>
          <w:rFonts w:cs="Arial"/>
          <w:color w:val="auto"/>
          <w:spacing w:val="-5"/>
          <w:szCs w:val="24"/>
        </w:rPr>
      </w:pPr>
      <w:r w:rsidRPr="008C0E4E">
        <w:rPr>
          <w:rFonts w:cs="Arial"/>
          <w:color w:val="auto"/>
          <w:spacing w:val="-5"/>
          <w:szCs w:val="24"/>
        </w:rPr>
        <w:t xml:space="preserve">Accordingly, I find that the detention of Mr Rahimi in VIDC, from 15 </w:t>
      </w:r>
      <w:r w:rsidRPr="008C0E4E">
        <w:rPr>
          <w:color w:val="auto"/>
          <w:spacing w:val="-5"/>
          <w:szCs w:val="24"/>
        </w:rPr>
        <w:t>September</w:t>
      </w:r>
      <w:r w:rsidRPr="008C0E4E">
        <w:rPr>
          <w:rFonts w:cs="Arial"/>
          <w:color w:val="auto"/>
          <w:spacing w:val="-5"/>
          <w:szCs w:val="24"/>
        </w:rPr>
        <w:t xml:space="preserve"> 2010 until 27 February 2012, was not necessary and not proportionate to the Commonwealth’s legitimate aim of managing its migration system.  The Department has not explained why Mr Rahimi could not reside in the community or in a less restrictive form of detention while his immigration status was resolved.</w:t>
      </w:r>
    </w:p>
    <w:p w14:paraId="2718298D" w14:textId="77777777" w:rsidR="008C0E4E" w:rsidRPr="008C0E4E" w:rsidRDefault="008C0E4E" w:rsidP="00F336E1">
      <w:pPr>
        <w:pStyle w:val="Heading1"/>
      </w:pPr>
      <w:bookmarkStart w:id="10" w:name="_Toc297922277"/>
      <w:r w:rsidRPr="008C0E4E">
        <w:t>Recommendation</w:t>
      </w:r>
      <w:bookmarkEnd w:id="10"/>
    </w:p>
    <w:p w14:paraId="64FEC4F0" w14:textId="77777777" w:rsidR="008C0E4E" w:rsidRPr="008C0E4E" w:rsidRDefault="008C0E4E" w:rsidP="00F336E1">
      <w:pPr>
        <w:pStyle w:val="Heading2"/>
      </w:pPr>
      <w:bookmarkStart w:id="11" w:name="_Toc411850678"/>
      <w:bookmarkStart w:id="12" w:name="_Toc297922278"/>
      <w:r w:rsidRPr="008C0E4E">
        <w:t>Power to make recommendations</w:t>
      </w:r>
      <w:bookmarkEnd w:id="11"/>
      <w:bookmarkEnd w:id="12"/>
    </w:p>
    <w:p w14:paraId="1CD6064E"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 xml:space="preserve">Where, after conducting an inquiry, the Commission finds that an act or practice engaged in by a respondent is inconsistent with or contrary to any human right, the </w:t>
      </w:r>
      <w:r w:rsidRPr="008C0E4E">
        <w:rPr>
          <w:color w:val="auto"/>
          <w:spacing w:val="-5"/>
          <w:szCs w:val="24"/>
        </w:rPr>
        <w:t>Commission</w:t>
      </w:r>
      <w:r w:rsidRPr="008C0E4E">
        <w:rPr>
          <w:rFonts w:cs="Arial"/>
          <w:color w:val="auto"/>
          <w:spacing w:val="-5"/>
          <w:szCs w:val="24"/>
        </w:rPr>
        <w:t xml:space="preserve"> is required to serve notice on the respondent setting out its findings and reasons for those findings.</w:t>
      </w:r>
      <w:r w:rsidRPr="008C0E4E">
        <w:rPr>
          <w:color w:val="auto"/>
          <w:spacing w:val="-5"/>
          <w:sz w:val="20"/>
          <w:szCs w:val="24"/>
          <w:vertAlign w:val="superscript"/>
        </w:rPr>
        <w:endnoteReference w:id="12"/>
      </w:r>
      <w:r w:rsidRPr="008C0E4E">
        <w:rPr>
          <w:rFonts w:cs="Arial"/>
          <w:color w:val="auto"/>
          <w:spacing w:val="-5"/>
          <w:szCs w:val="24"/>
        </w:rPr>
        <w:t xml:space="preserve">  The Commission may include in the notice any recommendations for preventing a repetition of the act or a continuation of the practice.</w:t>
      </w:r>
      <w:r w:rsidRPr="008C0E4E">
        <w:rPr>
          <w:color w:val="auto"/>
          <w:spacing w:val="-5"/>
          <w:sz w:val="20"/>
          <w:szCs w:val="24"/>
          <w:vertAlign w:val="superscript"/>
        </w:rPr>
        <w:endnoteReference w:id="13"/>
      </w:r>
      <w:r w:rsidRPr="008C0E4E">
        <w:rPr>
          <w:rFonts w:cs="Arial"/>
          <w:color w:val="auto"/>
          <w:spacing w:val="-5"/>
          <w:szCs w:val="24"/>
          <w:vertAlign w:val="superscript"/>
        </w:rPr>
        <w:t xml:space="preserve"> </w:t>
      </w:r>
    </w:p>
    <w:p w14:paraId="59BC8D04" w14:textId="77777777" w:rsidR="008C0E4E" w:rsidRPr="008C0E4E" w:rsidRDefault="008C0E4E" w:rsidP="008C0E4E">
      <w:pPr>
        <w:numPr>
          <w:ilvl w:val="0"/>
          <w:numId w:val="7"/>
        </w:numPr>
        <w:rPr>
          <w:rFonts w:cs="Arial"/>
          <w:color w:val="auto"/>
          <w:spacing w:val="-5"/>
          <w:szCs w:val="24"/>
        </w:rPr>
      </w:pPr>
      <w:r w:rsidRPr="008C0E4E">
        <w:rPr>
          <w:rFonts w:cs="Arial"/>
          <w:color w:val="auto"/>
          <w:spacing w:val="-5"/>
          <w:szCs w:val="24"/>
        </w:rPr>
        <w:t>The Commission may also recommend:</w:t>
      </w:r>
      <w:r w:rsidRPr="008C0E4E">
        <w:rPr>
          <w:color w:val="auto"/>
          <w:spacing w:val="-5"/>
          <w:sz w:val="20"/>
          <w:szCs w:val="24"/>
          <w:vertAlign w:val="superscript"/>
        </w:rPr>
        <w:endnoteReference w:id="14"/>
      </w:r>
    </w:p>
    <w:p w14:paraId="317AB283" w14:textId="77777777" w:rsidR="008C0E4E" w:rsidRPr="008C0E4E" w:rsidRDefault="008C0E4E" w:rsidP="008C0E4E">
      <w:pPr>
        <w:ind w:left="1440" w:hanging="720"/>
        <w:rPr>
          <w:rFonts w:cs="Arial"/>
          <w:color w:val="auto"/>
          <w:spacing w:val="-5"/>
          <w:szCs w:val="24"/>
        </w:rPr>
      </w:pPr>
      <w:r w:rsidRPr="008C0E4E">
        <w:rPr>
          <w:rFonts w:cs="Arial"/>
          <w:color w:val="auto"/>
          <w:spacing w:val="-5"/>
          <w:szCs w:val="24"/>
        </w:rPr>
        <w:t>(a)</w:t>
      </w:r>
      <w:r w:rsidRPr="008C0E4E">
        <w:rPr>
          <w:rFonts w:cs="Arial"/>
          <w:color w:val="auto"/>
          <w:spacing w:val="-5"/>
          <w:szCs w:val="24"/>
        </w:rPr>
        <w:tab/>
        <w:t xml:space="preserve">the payment of compensation to, or in respect of, a person who has suffered loss or damage as a result of the act or practice; and </w:t>
      </w:r>
    </w:p>
    <w:p w14:paraId="4B1F202F" w14:textId="77777777" w:rsidR="008C0E4E" w:rsidRPr="008C0E4E" w:rsidRDefault="008C0E4E" w:rsidP="008C0E4E">
      <w:pPr>
        <w:ind w:left="1440" w:hanging="720"/>
        <w:rPr>
          <w:rFonts w:cs="Arial"/>
          <w:color w:val="auto"/>
          <w:spacing w:val="-5"/>
          <w:szCs w:val="24"/>
        </w:rPr>
      </w:pPr>
      <w:r w:rsidRPr="008C0E4E">
        <w:rPr>
          <w:rFonts w:cs="Arial"/>
          <w:color w:val="auto"/>
          <w:spacing w:val="-5"/>
          <w:szCs w:val="24"/>
        </w:rPr>
        <w:lastRenderedPageBreak/>
        <w:t>(b)</w:t>
      </w:r>
      <w:r w:rsidRPr="008C0E4E">
        <w:rPr>
          <w:rFonts w:cs="Arial"/>
          <w:color w:val="auto"/>
          <w:spacing w:val="-5"/>
          <w:szCs w:val="24"/>
        </w:rPr>
        <w:tab/>
        <w:t>the taking of other action to remedy or reduce the loss or damage suffered by a person as a result of the act or practice.</w:t>
      </w:r>
    </w:p>
    <w:p w14:paraId="042287B1" w14:textId="77777777" w:rsidR="008C0E4E" w:rsidRPr="008C0E4E" w:rsidRDefault="008C0E4E" w:rsidP="00F336E1">
      <w:pPr>
        <w:pStyle w:val="Heading2"/>
      </w:pPr>
      <w:bookmarkStart w:id="13" w:name="_Toc297922279"/>
      <w:r w:rsidRPr="008C0E4E">
        <w:t>Consideration of</w:t>
      </w:r>
      <w:r w:rsidR="00275E17">
        <w:t xml:space="preserve"> c</w:t>
      </w:r>
      <w:r w:rsidRPr="008C0E4E">
        <w:t>ompensation</w:t>
      </w:r>
      <w:bookmarkEnd w:id="13"/>
    </w:p>
    <w:p w14:paraId="3BBC31E5" w14:textId="77777777" w:rsidR="008C0E4E" w:rsidRPr="008C0E4E" w:rsidRDefault="008C0E4E" w:rsidP="008C0E4E">
      <w:pPr>
        <w:numPr>
          <w:ilvl w:val="0"/>
          <w:numId w:val="7"/>
        </w:numPr>
        <w:rPr>
          <w:rFonts w:cs="Arial"/>
          <w:color w:val="auto"/>
          <w:spacing w:val="-5"/>
          <w:sz w:val="20"/>
          <w:szCs w:val="24"/>
        </w:rPr>
      </w:pPr>
      <w:r w:rsidRPr="008C0E4E">
        <w:rPr>
          <w:rFonts w:cs="Arial"/>
          <w:color w:val="auto"/>
          <w:spacing w:val="-5"/>
          <w:szCs w:val="24"/>
        </w:rPr>
        <w:t>There</w:t>
      </w:r>
      <w:r w:rsidRPr="008C0E4E">
        <w:rPr>
          <w:color w:val="auto"/>
          <w:spacing w:val="-5"/>
          <w:szCs w:val="24"/>
        </w:rPr>
        <w:t xml:space="preserve"> is </w:t>
      </w:r>
      <w:r w:rsidRPr="008C0E4E">
        <w:rPr>
          <w:rFonts w:cs="Arial"/>
          <w:color w:val="auto"/>
          <w:spacing w:val="-5"/>
          <w:szCs w:val="24"/>
        </w:rPr>
        <w:t>no</w:t>
      </w:r>
      <w:r w:rsidRPr="008C0E4E">
        <w:rPr>
          <w:color w:val="auto"/>
          <w:spacing w:val="-5"/>
          <w:szCs w:val="24"/>
        </w:rPr>
        <w:t xml:space="preserve"> judicial guidance dealing with the assessment of recommendations for financial compensation for breaches of human rights under the AHRC Act.</w:t>
      </w:r>
    </w:p>
    <w:p w14:paraId="3DD2F88E" w14:textId="77777777" w:rsidR="008C0E4E" w:rsidRPr="008C0E4E" w:rsidRDefault="008C0E4E" w:rsidP="008C0E4E">
      <w:pPr>
        <w:numPr>
          <w:ilvl w:val="0"/>
          <w:numId w:val="7"/>
        </w:numPr>
        <w:rPr>
          <w:rFonts w:cs="Arial"/>
          <w:color w:val="auto"/>
          <w:spacing w:val="-5"/>
          <w:sz w:val="20"/>
          <w:szCs w:val="24"/>
        </w:rPr>
      </w:pPr>
      <w:r w:rsidRPr="008C0E4E">
        <w:rPr>
          <w:rFonts w:cs="Arial"/>
          <w:color w:val="auto"/>
          <w:spacing w:val="-5"/>
          <w:szCs w:val="24"/>
        </w:rPr>
        <w:t>However</w:t>
      </w:r>
      <w:r w:rsidRPr="008C0E4E">
        <w:rPr>
          <w:color w:val="auto"/>
          <w:spacing w:val="-5"/>
          <w:szCs w:val="24"/>
        </w:rPr>
        <w:t xml:space="preserve">, in considering the assessment of a recommendation for </w:t>
      </w:r>
      <w:r w:rsidRPr="008C0E4E">
        <w:rPr>
          <w:rFonts w:cs="Arial"/>
          <w:color w:val="auto"/>
          <w:spacing w:val="-5"/>
          <w:szCs w:val="24"/>
        </w:rPr>
        <w:t>compensation</w:t>
      </w:r>
      <w:r w:rsidRPr="008C0E4E">
        <w:rPr>
          <w:color w:val="auto"/>
          <w:spacing w:val="-5"/>
          <w:szCs w:val="24"/>
        </w:rPr>
        <w:t xml:space="preserve"> under section 35 of the AHRC Act (relating to discrimination matters under Part II, Division 4 of the AHRC Act), the Federal Court has indicated that tort principles for the assessment of damages should be applied.  </w:t>
      </w:r>
    </w:p>
    <w:p w14:paraId="61963BAC" w14:textId="77777777" w:rsidR="008C0E4E" w:rsidRPr="008C0E4E" w:rsidRDefault="008C0E4E" w:rsidP="008C0E4E">
      <w:pPr>
        <w:numPr>
          <w:ilvl w:val="0"/>
          <w:numId w:val="7"/>
        </w:numPr>
        <w:rPr>
          <w:rFonts w:cs="Arial"/>
          <w:color w:val="auto"/>
          <w:spacing w:val="-5"/>
          <w:sz w:val="20"/>
          <w:szCs w:val="24"/>
        </w:rPr>
      </w:pPr>
      <w:r w:rsidRPr="008C0E4E">
        <w:rPr>
          <w:color w:val="auto"/>
          <w:spacing w:val="-5"/>
          <w:szCs w:val="24"/>
        </w:rPr>
        <w:t xml:space="preserve">I am of the view that this is the appropriate approach to take to the present matter. For this reason, so far as is possible in the case of a recommendation for compensation, the object should be to place the injured party in the same position as if the wrong had not occurred. </w:t>
      </w:r>
    </w:p>
    <w:p w14:paraId="5B7C1863" w14:textId="77777777" w:rsidR="008C0E4E" w:rsidRPr="008C0E4E" w:rsidRDefault="008C0E4E" w:rsidP="008C0E4E">
      <w:pPr>
        <w:numPr>
          <w:ilvl w:val="0"/>
          <w:numId w:val="7"/>
        </w:numPr>
        <w:rPr>
          <w:rFonts w:cs="Arial"/>
          <w:color w:val="auto"/>
          <w:spacing w:val="-5"/>
          <w:sz w:val="20"/>
          <w:szCs w:val="24"/>
        </w:rPr>
      </w:pPr>
      <w:r w:rsidRPr="008C0E4E">
        <w:rPr>
          <w:rFonts w:cs="Arial"/>
          <w:color w:val="auto"/>
          <w:spacing w:val="-5"/>
          <w:szCs w:val="24"/>
        </w:rPr>
        <w:t>The</w:t>
      </w:r>
      <w:r w:rsidRPr="008C0E4E">
        <w:rPr>
          <w:color w:val="auto"/>
          <w:spacing w:val="-5"/>
          <w:szCs w:val="24"/>
        </w:rPr>
        <w:t xml:space="preserv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 legality.</w:t>
      </w:r>
    </w:p>
    <w:p w14:paraId="42C0852D" w14:textId="77777777" w:rsidR="008C0E4E" w:rsidRPr="008C0E4E" w:rsidRDefault="008C0E4E" w:rsidP="008C0E4E">
      <w:pPr>
        <w:numPr>
          <w:ilvl w:val="0"/>
          <w:numId w:val="7"/>
        </w:numPr>
        <w:rPr>
          <w:rFonts w:cs="Arial"/>
          <w:color w:val="auto"/>
          <w:spacing w:val="-5"/>
          <w:sz w:val="20"/>
          <w:szCs w:val="24"/>
        </w:rPr>
      </w:pPr>
      <w:r w:rsidRPr="008C0E4E">
        <w:rPr>
          <w:rFonts w:cs="Arial"/>
          <w:color w:val="auto"/>
          <w:spacing w:val="-5"/>
          <w:szCs w:val="24"/>
        </w:rPr>
        <w:t>Notwithstanding</w:t>
      </w:r>
      <w:r w:rsidRPr="008C0E4E">
        <w:rPr>
          <w:color w:val="auto"/>
          <w:spacing w:val="-5"/>
          <w:szCs w:val="24"/>
        </w:rPr>
        <w:t xml:space="preserve">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 liberty.</w:t>
      </w:r>
    </w:p>
    <w:p w14:paraId="6EC1E8CF" w14:textId="77777777" w:rsidR="008C0E4E" w:rsidRPr="008C0E4E" w:rsidRDefault="008C0E4E" w:rsidP="008C0E4E">
      <w:pPr>
        <w:numPr>
          <w:ilvl w:val="0"/>
          <w:numId w:val="7"/>
        </w:numPr>
        <w:rPr>
          <w:rFonts w:cs="Arial"/>
          <w:color w:val="auto"/>
          <w:spacing w:val="-5"/>
          <w:sz w:val="20"/>
          <w:szCs w:val="24"/>
        </w:rPr>
      </w:pPr>
      <w:r w:rsidRPr="008C0E4E">
        <w:rPr>
          <w:rFonts w:cs="Arial"/>
          <w:color w:val="auto"/>
          <w:spacing w:val="-5"/>
          <w:szCs w:val="24"/>
        </w:rPr>
        <w:t>The</w:t>
      </w:r>
      <w:r w:rsidRPr="008C0E4E">
        <w:rPr>
          <w:color w:val="auto"/>
          <w:spacing w:val="-5"/>
          <w:szCs w:val="24"/>
        </w:rPr>
        <w:t xml:space="preserv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8C0E4E">
        <w:rPr>
          <w:color w:val="auto"/>
          <w:spacing w:val="-5"/>
          <w:szCs w:val="24"/>
          <w:vertAlign w:val="superscript"/>
        </w:rPr>
        <w:endnoteReference w:id="15"/>
      </w:r>
    </w:p>
    <w:p w14:paraId="200D48C2" w14:textId="77777777" w:rsidR="008C0E4E" w:rsidRPr="008C0E4E" w:rsidRDefault="008C0E4E" w:rsidP="008C0E4E">
      <w:pPr>
        <w:numPr>
          <w:ilvl w:val="0"/>
          <w:numId w:val="7"/>
        </w:numPr>
        <w:rPr>
          <w:rFonts w:cs="Arial"/>
          <w:color w:val="auto"/>
          <w:spacing w:val="-5"/>
          <w:sz w:val="20"/>
          <w:szCs w:val="24"/>
        </w:rPr>
      </w:pPr>
      <w:r w:rsidRPr="008C0E4E">
        <w:rPr>
          <w:rFonts w:cs="Arial"/>
          <w:color w:val="auto"/>
          <w:spacing w:val="-5"/>
          <w:szCs w:val="24"/>
        </w:rPr>
        <w:t>In</w:t>
      </w:r>
      <w:r w:rsidRPr="008C0E4E">
        <w:rPr>
          <w:color w:val="auto"/>
          <w:spacing w:val="-5"/>
          <w:szCs w:val="24"/>
        </w:rPr>
        <w:t xml:space="preserve"> the recent case of </w:t>
      </w:r>
      <w:r w:rsidRPr="008C0E4E">
        <w:rPr>
          <w:i/>
          <w:color w:val="auto"/>
          <w:spacing w:val="-5"/>
          <w:szCs w:val="24"/>
        </w:rPr>
        <w:t>Fernando v Commonwealth of Australia (No 5)</w:t>
      </w:r>
      <w:r w:rsidRPr="008C0E4E">
        <w:rPr>
          <w:color w:val="auto"/>
          <w:spacing w:val="-5"/>
          <w:szCs w:val="24"/>
        </w:rPr>
        <w:t>,</w:t>
      </w:r>
      <w:r w:rsidRPr="008C0E4E">
        <w:rPr>
          <w:color w:val="auto"/>
          <w:spacing w:val="-5"/>
          <w:szCs w:val="24"/>
          <w:vertAlign w:val="superscript"/>
        </w:rPr>
        <w:endnoteReference w:id="16"/>
      </w:r>
      <w:r w:rsidRPr="008C0E4E">
        <w:rPr>
          <w:color w:val="auto"/>
          <w:spacing w:val="-5"/>
          <w:szCs w:val="24"/>
        </w:rPr>
        <w:t xml:space="preserve"> </w:t>
      </w:r>
      <w:proofErr w:type="spellStart"/>
      <w:r w:rsidRPr="008C0E4E">
        <w:rPr>
          <w:color w:val="auto"/>
          <w:spacing w:val="-5"/>
          <w:szCs w:val="24"/>
        </w:rPr>
        <w:t>Siopis</w:t>
      </w:r>
      <w:proofErr w:type="spellEnd"/>
      <w:r w:rsidRPr="008C0E4E">
        <w:rPr>
          <w:color w:val="auto"/>
          <w:spacing w:val="-5"/>
          <w:szCs w:val="24"/>
        </w:rPr>
        <w:t xml:space="preserve"> J considered the judicial guidance available on the quantum of damages for loss of liberty for a long period arising from wrongful imprisonment.  </w:t>
      </w:r>
      <w:proofErr w:type="spellStart"/>
      <w:r w:rsidRPr="008C0E4E">
        <w:rPr>
          <w:color w:val="auto"/>
          <w:spacing w:val="-5"/>
          <w:szCs w:val="24"/>
        </w:rPr>
        <w:t>Siopis</w:t>
      </w:r>
      <w:proofErr w:type="spellEnd"/>
      <w:r w:rsidRPr="008C0E4E">
        <w:rPr>
          <w:color w:val="auto"/>
          <w:spacing w:val="-5"/>
          <w:szCs w:val="24"/>
        </w:rPr>
        <w:t xml:space="preserve"> J referred to the case of </w:t>
      </w:r>
      <w:r w:rsidRPr="008C0E4E">
        <w:rPr>
          <w:i/>
          <w:color w:val="auto"/>
          <w:spacing w:val="-5"/>
          <w:szCs w:val="24"/>
        </w:rPr>
        <w:t>Nye v State of New South Wales</w:t>
      </w:r>
      <w:r w:rsidRPr="008C0E4E">
        <w:rPr>
          <w:color w:val="auto"/>
          <w:spacing w:val="-5"/>
          <w:szCs w:val="24"/>
        </w:rPr>
        <w:t>:</w:t>
      </w:r>
      <w:r w:rsidRPr="008C0E4E">
        <w:rPr>
          <w:color w:val="auto"/>
          <w:spacing w:val="-5"/>
          <w:szCs w:val="24"/>
          <w:vertAlign w:val="superscript"/>
        </w:rPr>
        <w:endnoteReference w:id="17"/>
      </w:r>
    </w:p>
    <w:p w14:paraId="38AD022F" w14:textId="77777777" w:rsidR="008C0E4E" w:rsidRPr="008C0E4E" w:rsidRDefault="008C0E4E" w:rsidP="008C0E4E">
      <w:pPr>
        <w:ind w:left="1134"/>
        <w:rPr>
          <w:color w:val="auto"/>
          <w:spacing w:val="-5"/>
          <w:sz w:val="22"/>
          <w:szCs w:val="22"/>
          <w:lang w:val="en-US"/>
        </w:rPr>
      </w:pPr>
      <w:r w:rsidRPr="008C0E4E">
        <w:rPr>
          <w:color w:val="auto"/>
          <w:spacing w:val="-5"/>
          <w:sz w:val="22"/>
          <w:szCs w:val="22"/>
          <w:lang w:val="en-US"/>
        </w:rPr>
        <w:t xml:space="preserve">…the </w:t>
      </w:r>
      <w:r w:rsidRPr="008C0E4E">
        <w:rPr>
          <w:i/>
          <w:color w:val="auto"/>
          <w:spacing w:val="-5"/>
          <w:sz w:val="22"/>
          <w:szCs w:val="22"/>
          <w:lang w:val="en-US"/>
        </w:rPr>
        <w:t xml:space="preserve">Nye </w:t>
      </w:r>
      <w:r w:rsidRPr="008C0E4E">
        <w:rPr>
          <w:color w:val="auto"/>
          <w:spacing w:val="-5"/>
          <w:sz w:val="22"/>
          <w:szCs w:val="22"/>
          <w:lang w:val="en-US"/>
        </w:rPr>
        <w:t xml:space="preserve">case is useful in one respect, namely, that the court was required to consider the quantum of damages to be awarded to Mr Nye in respect of his loss of liberty for a period of some 16 months which he </w:t>
      </w:r>
      <w:r w:rsidRPr="008C0E4E">
        <w:rPr>
          <w:rFonts w:cs="Arial"/>
          <w:color w:val="auto"/>
          <w:spacing w:val="-5"/>
          <w:sz w:val="22"/>
          <w:szCs w:val="22"/>
        </w:rPr>
        <w:t>spent</w:t>
      </w:r>
      <w:r w:rsidRPr="008C0E4E">
        <w:rPr>
          <w:color w:val="auto"/>
          <w:spacing w:val="-5"/>
          <w:sz w:val="22"/>
          <w:szCs w:val="22"/>
          <w:lang w:val="en-US"/>
        </w:rPr>
        <w:t xml:space="preserve"> in Long Bay </w:t>
      </w:r>
      <w:proofErr w:type="spellStart"/>
      <w:r w:rsidRPr="008C0E4E">
        <w:rPr>
          <w:color w:val="auto"/>
          <w:spacing w:val="-5"/>
          <w:sz w:val="22"/>
          <w:szCs w:val="22"/>
          <w:lang w:val="en-US"/>
        </w:rPr>
        <w:t>Gaol</w:t>
      </w:r>
      <w:proofErr w:type="spellEnd"/>
      <w:r w:rsidRPr="008C0E4E">
        <w:rPr>
          <w:color w:val="auto"/>
          <w:spacing w:val="-5"/>
          <w:sz w:val="22"/>
          <w:szCs w:val="22"/>
          <w:lang w:val="en-US"/>
        </w:rPr>
        <w:t xml:space="preserve">.  In doing so, consistently with the approach recognized by </w:t>
      </w:r>
      <w:proofErr w:type="spellStart"/>
      <w:r w:rsidRPr="008C0E4E">
        <w:rPr>
          <w:color w:val="auto"/>
          <w:spacing w:val="-5"/>
          <w:sz w:val="22"/>
          <w:szCs w:val="22"/>
          <w:lang w:val="en-US"/>
        </w:rPr>
        <w:t>Spigelman</w:t>
      </w:r>
      <w:proofErr w:type="spellEnd"/>
      <w:r w:rsidRPr="008C0E4E">
        <w:rPr>
          <w:color w:val="auto"/>
          <w:spacing w:val="-5"/>
          <w:sz w:val="22"/>
          <w:szCs w:val="22"/>
          <w:lang w:val="en-US"/>
        </w:rPr>
        <w:t xml:space="preserve"> CJ in </w:t>
      </w:r>
      <w:r w:rsidRPr="008C0E4E">
        <w:rPr>
          <w:i/>
          <w:color w:val="auto"/>
          <w:spacing w:val="-5"/>
          <w:sz w:val="22"/>
          <w:szCs w:val="22"/>
          <w:lang w:val="en-US"/>
        </w:rPr>
        <w:t xml:space="preserve">Ruddock </w:t>
      </w:r>
      <w:r w:rsidRPr="008C0E4E">
        <w:rPr>
          <w:color w:val="auto"/>
          <w:spacing w:val="-5"/>
          <w:sz w:val="22"/>
          <w:szCs w:val="22"/>
          <w:lang w:val="en-US"/>
        </w:rPr>
        <w:t xml:space="preserve">(NSWCA), the Court did not assess damages by application of a daily rate, but awarded Mr Nye the sum of $100,000 in general damages.  It is also relevant to observe that in </w:t>
      </w:r>
      <w:r w:rsidRPr="008C0E4E">
        <w:rPr>
          <w:i/>
          <w:color w:val="auto"/>
          <w:spacing w:val="-5"/>
          <w:sz w:val="22"/>
          <w:szCs w:val="22"/>
          <w:lang w:val="en-US"/>
        </w:rPr>
        <w:t>Nye,</w:t>
      </w:r>
      <w:r w:rsidRPr="008C0E4E">
        <w:rPr>
          <w:color w:val="auto"/>
          <w:spacing w:val="-5"/>
          <w:sz w:val="22"/>
          <w:szCs w:val="22"/>
          <w:lang w:val="en-US"/>
        </w:rPr>
        <w:t xml:space="preserve"> the court referred to the fact that for a period of time during his detention in Long Bay </w:t>
      </w:r>
      <w:proofErr w:type="spellStart"/>
      <w:r w:rsidRPr="008C0E4E">
        <w:rPr>
          <w:color w:val="auto"/>
          <w:spacing w:val="-5"/>
          <w:sz w:val="22"/>
          <w:szCs w:val="22"/>
          <w:lang w:val="en-US"/>
        </w:rPr>
        <w:t>Gaol</w:t>
      </w:r>
      <w:proofErr w:type="spellEnd"/>
      <w:r w:rsidRPr="008C0E4E">
        <w:rPr>
          <w:color w:val="auto"/>
          <w:spacing w:val="-5"/>
          <w:sz w:val="22"/>
          <w:szCs w:val="22"/>
          <w:lang w:val="en-US"/>
        </w:rPr>
        <w:t xml:space="preserve">, Mr Nye feared for his life at the hands of other inmates of that </w:t>
      </w:r>
      <w:proofErr w:type="spellStart"/>
      <w:r w:rsidRPr="008C0E4E">
        <w:rPr>
          <w:color w:val="auto"/>
          <w:spacing w:val="-5"/>
          <w:sz w:val="22"/>
          <w:szCs w:val="22"/>
          <w:lang w:val="en-US"/>
        </w:rPr>
        <w:t>gaol</w:t>
      </w:r>
      <w:proofErr w:type="spellEnd"/>
      <w:r w:rsidRPr="008C0E4E">
        <w:rPr>
          <w:color w:val="auto"/>
          <w:spacing w:val="-5"/>
          <w:sz w:val="22"/>
          <w:szCs w:val="22"/>
          <w:lang w:val="en-US"/>
        </w:rPr>
        <w:t>.</w:t>
      </w:r>
      <w:r w:rsidRPr="008C0E4E">
        <w:rPr>
          <w:color w:val="auto"/>
          <w:spacing w:val="-5"/>
          <w:sz w:val="22"/>
          <w:szCs w:val="22"/>
          <w:vertAlign w:val="superscript"/>
          <w:lang w:val="en-US"/>
        </w:rPr>
        <w:endnoteReference w:id="18"/>
      </w:r>
    </w:p>
    <w:p w14:paraId="60399865" w14:textId="77777777" w:rsidR="008C0E4E" w:rsidRPr="008C0E4E" w:rsidRDefault="008C0E4E" w:rsidP="008C0E4E">
      <w:pPr>
        <w:numPr>
          <w:ilvl w:val="0"/>
          <w:numId w:val="7"/>
        </w:numPr>
        <w:rPr>
          <w:color w:val="auto"/>
          <w:spacing w:val="-5"/>
          <w:sz w:val="20"/>
          <w:szCs w:val="24"/>
        </w:rPr>
      </w:pPr>
      <w:proofErr w:type="spellStart"/>
      <w:r w:rsidRPr="008C0E4E">
        <w:rPr>
          <w:color w:val="auto"/>
          <w:spacing w:val="-5"/>
          <w:szCs w:val="24"/>
        </w:rPr>
        <w:lastRenderedPageBreak/>
        <w:t>Siopis</w:t>
      </w:r>
      <w:proofErr w:type="spellEnd"/>
      <w:r w:rsidRPr="008C0E4E">
        <w:rPr>
          <w:color w:val="auto"/>
          <w:spacing w:val="-5"/>
          <w:szCs w:val="24"/>
        </w:rPr>
        <w:t xml:space="preserve"> J noted that further guidance on the quantum of damages for loss of liberty for a long period arising from wrongful imprisonment can be obtained from the case of </w:t>
      </w:r>
      <w:r w:rsidRPr="008C0E4E">
        <w:rPr>
          <w:i/>
          <w:color w:val="auto"/>
          <w:spacing w:val="-5"/>
          <w:szCs w:val="24"/>
        </w:rPr>
        <w:t>Ruddock</w:t>
      </w:r>
      <w:r w:rsidRPr="008C0E4E">
        <w:rPr>
          <w:color w:val="auto"/>
          <w:spacing w:val="-5"/>
          <w:szCs w:val="24"/>
        </w:rPr>
        <w:t xml:space="preserve"> (NSWCA).</w:t>
      </w:r>
      <w:r w:rsidRPr="008C0E4E">
        <w:rPr>
          <w:color w:val="auto"/>
          <w:spacing w:val="-5"/>
          <w:szCs w:val="24"/>
          <w:vertAlign w:val="superscript"/>
        </w:rPr>
        <w:endnoteReference w:id="19"/>
      </w:r>
      <w:r w:rsidRPr="008C0E4E">
        <w:rPr>
          <w:color w:val="auto"/>
          <w:spacing w:val="-5"/>
          <w:szCs w:val="24"/>
        </w:rPr>
        <w:t xml:space="preserve">  In that case, at first instance,</w:t>
      </w:r>
      <w:r w:rsidRPr="008C0E4E">
        <w:rPr>
          <w:color w:val="auto"/>
          <w:spacing w:val="-5"/>
          <w:szCs w:val="24"/>
          <w:vertAlign w:val="superscript"/>
        </w:rPr>
        <w:endnoteReference w:id="20"/>
      </w:r>
      <w:r w:rsidRPr="008C0E4E">
        <w:rPr>
          <w:color w:val="auto"/>
          <w:spacing w:val="-5"/>
          <w:szCs w:val="24"/>
        </w:rPr>
        <w:t xml:space="preserve"> the New South Wales District Court awarded the plaintiff, Mr Taylor, the sum of $116,000 in damages in respect of wrongful imprisonment, consequent upon his detention following the cancellation of his permanent residency visa on character grounds. </w:t>
      </w:r>
    </w:p>
    <w:p w14:paraId="1C9833EF" w14:textId="77777777" w:rsidR="008C0E4E" w:rsidRPr="008C0E4E" w:rsidRDefault="008C0E4E" w:rsidP="008C0E4E">
      <w:pPr>
        <w:numPr>
          <w:ilvl w:val="0"/>
          <w:numId w:val="7"/>
        </w:numPr>
        <w:rPr>
          <w:color w:val="auto"/>
          <w:spacing w:val="-5"/>
          <w:sz w:val="20"/>
          <w:szCs w:val="24"/>
        </w:rPr>
      </w:pPr>
      <w:r w:rsidRPr="008C0E4E">
        <w:rPr>
          <w:rFonts w:cs="Arial"/>
          <w:color w:val="auto"/>
          <w:spacing w:val="-5"/>
          <w:szCs w:val="24"/>
        </w:rPr>
        <w:t>Mr</w:t>
      </w:r>
      <w:r w:rsidRPr="008C0E4E">
        <w:rPr>
          <w:color w:val="auto"/>
          <w:spacing w:val="-5"/>
          <w:szCs w:val="24"/>
        </w:rPr>
        <w:t xml:space="preserve"> Taylor was detained for two separate periods.  The first was for 161 days and the second was for 155 days.  In that case, because Mr Taylor’s convictions were in relation to sexual offences against children, Mr Taylor was detained in a state prison under a ‘strict protection’ regime and not in an immigration detention centre. The detention regime to which Mr Taylor was subjected was described as a ‘particularly harsh one’. </w:t>
      </w:r>
    </w:p>
    <w:p w14:paraId="160D181E" w14:textId="77777777" w:rsidR="008C0E4E" w:rsidRPr="008C0E4E" w:rsidRDefault="008C0E4E" w:rsidP="008C0E4E">
      <w:pPr>
        <w:numPr>
          <w:ilvl w:val="0"/>
          <w:numId w:val="7"/>
        </w:numPr>
        <w:rPr>
          <w:color w:val="auto"/>
          <w:spacing w:val="-5"/>
          <w:sz w:val="20"/>
          <w:szCs w:val="24"/>
        </w:rPr>
      </w:pPr>
      <w:r w:rsidRPr="008C0E4E">
        <w:rPr>
          <w:rFonts w:cs="Arial"/>
          <w:color w:val="auto"/>
          <w:spacing w:val="-5"/>
          <w:szCs w:val="24"/>
        </w:rPr>
        <w:t>The</w:t>
      </w:r>
      <w:r w:rsidRPr="008C0E4E">
        <w:rPr>
          <w:color w:val="auto"/>
          <w:spacing w:val="-5"/>
          <w:szCs w:val="24"/>
        </w:rPr>
        <w:t xml:space="preserve"> Court also took into account the fact that Mr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8C0E4E">
        <w:rPr>
          <w:color w:val="auto"/>
          <w:spacing w:val="-5"/>
          <w:szCs w:val="24"/>
          <w:vertAlign w:val="superscript"/>
        </w:rPr>
        <w:endnoteReference w:id="21"/>
      </w:r>
    </w:p>
    <w:p w14:paraId="0F62E488" w14:textId="77777777" w:rsidR="008C0E4E" w:rsidRPr="008C0E4E" w:rsidRDefault="008C0E4E" w:rsidP="008C0E4E">
      <w:pPr>
        <w:numPr>
          <w:ilvl w:val="0"/>
          <w:numId w:val="7"/>
        </w:numPr>
        <w:rPr>
          <w:color w:val="auto"/>
          <w:spacing w:val="-5"/>
          <w:sz w:val="20"/>
          <w:szCs w:val="24"/>
        </w:rPr>
      </w:pPr>
      <w:r w:rsidRPr="008C0E4E">
        <w:rPr>
          <w:color w:val="auto"/>
          <w:spacing w:val="-5"/>
          <w:szCs w:val="24"/>
        </w:rPr>
        <w:t>On appeal, the New South Wales Court of Appeal considered that the award was low but in the acceptable range.  The Court noted that ‘as the term of imprisonment extends, the effect upon the person falsely imprisoned does progressively diminish’.</w:t>
      </w:r>
      <w:r w:rsidRPr="008C0E4E">
        <w:rPr>
          <w:color w:val="auto"/>
          <w:spacing w:val="-5"/>
          <w:szCs w:val="24"/>
          <w:vertAlign w:val="superscript"/>
        </w:rPr>
        <w:endnoteReference w:id="22"/>
      </w:r>
    </w:p>
    <w:p w14:paraId="5FE600A2" w14:textId="77777777" w:rsidR="008C0E4E" w:rsidRPr="008C0E4E" w:rsidRDefault="008C0E4E" w:rsidP="008C0E4E">
      <w:pPr>
        <w:numPr>
          <w:ilvl w:val="0"/>
          <w:numId w:val="7"/>
        </w:numPr>
        <w:rPr>
          <w:color w:val="auto"/>
          <w:spacing w:val="-5"/>
          <w:szCs w:val="24"/>
        </w:rPr>
      </w:pPr>
      <w:r w:rsidRPr="008C0E4E">
        <w:rPr>
          <w:rFonts w:cs="Arial"/>
          <w:color w:val="auto"/>
          <w:spacing w:val="-5"/>
          <w:szCs w:val="24"/>
        </w:rPr>
        <w:t>Although</w:t>
      </w:r>
      <w:r w:rsidRPr="008C0E4E">
        <w:rPr>
          <w:color w:val="auto"/>
          <w:spacing w:val="-5"/>
          <w:szCs w:val="24"/>
        </w:rPr>
        <w:t xml:space="preserve"> in </w:t>
      </w:r>
      <w:r w:rsidRPr="008C0E4E">
        <w:rPr>
          <w:i/>
          <w:color w:val="auto"/>
          <w:spacing w:val="-5"/>
          <w:szCs w:val="24"/>
        </w:rPr>
        <w:t>Fernando v Commonwealth of Australia (No 5)</w:t>
      </w:r>
      <w:r w:rsidRPr="008C0E4E">
        <w:rPr>
          <w:color w:val="auto"/>
          <w:spacing w:val="-5"/>
          <w:szCs w:val="24"/>
        </w:rPr>
        <w:t xml:space="preserve">, </w:t>
      </w:r>
      <w:proofErr w:type="spellStart"/>
      <w:r w:rsidRPr="008C0E4E">
        <w:rPr>
          <w:color w:val="auto"/>
          <w:spacing w:val="-5"/>
          <w:szCs w:val="24"/>
        </w:rPr>
        <w:t>Siopis</w:t>
      </w:r>
      <w:proofErr w:type="spellEnd"/>
      <w:r w:rsidRPr="008C0E4E">
        <w:rPr>
          <w:color w:val="auto"/>
          <w:spacing w:val="-5"/>
          <w:szCs w:val="24"/>
        </w:rPr>
        <w:t xml:space="preserve"> J ultimately accepted the Commonwealth’s argument that Mr Fernando was only entitled to nominal damages,</w:t>
      </w:r>
      <w:r w:rsidRPr="008C0E4E">
        <w:rPr>
          <w:color w:val="auto"/>
          <w:spacing w:val="-5"/>
          <w:szCs w:val="24"/>
          <w:vertAlign w:val="superscript"/>
        </w:rPr>
        <w:endnoteReference w:id="23"/>
      </w:r>
      <w:r w:rsidRPr="008C0E4E">
        <w:rPr>
          <w:color w:val="auto"/>
          <w:spacing w:val="-5"/>
          <w:szCs w:val="24"/>
        </w:rPr>
        <w:t xml:space="preserve"> his Honour considered the sum of general damages he would have awarded in respect of Mr Fernando’s claim if his findings in respect of the Commonwealth’s argument on nominal damages were wrong.  Mr Fernando was wrongfully imprisoned for 1,203 days in an immigration detention centre.  </w:t>
      </w:r>
      <w:proofErr w:type="spellStart"/>
      <w:r w:rsidRPr="008C0E4E">
        <w:rPr>
          <w:color w:val="auto"/>
          <w:spacing w:val="-5"/>
          <w:szCs w:val="24"/>
        </w:rPr>
        <w:t>Siopis</w:t>
      </w:r>
      <w:proofErr w:type="spellEnd"/>
      <w:r w:rsidRPr="008C0E4E">
        <w:rPr>
          <w:color w:val="auto"/>
          <w:spacing w:val="-5"/>
          <w:szCs w:val="24"/>
        </w:rPr>
        <w:t xml:space="preserve"> J accepted Mr Fernando’s evidence that he suffered anxiety and stress during his detention and, also, that he was treated for depression during and after his detention and took these factors into account in assessing the quantum of damages.  His Honour also noted that Mr Fernando’s evidence did not suggest that in immigration detention he was subjected to the harsh ‘strict protection’ regime to which Mr Taylor was subjected in a state prison, nor that Mr Fernando feared for his life at the hands of inmates in the same way that Mr Nye did while he was detained at Long Bay Gaol.  Taking all of these factors into account, </w:t>
      </w:r>
      <w:proofErr w:type="spellStart"/>
      <w:r w:rsidRPr="008C0E4E">
        <w:rPr>
          <w:color w:val="auto"/>
          <w:spacing w:val="-5"/>
          <w:szCs w:val="24"/>
        </w:rPr>
        <w:t>Siopis</w:t>
      </w:r>
      <w:proofErr w:type="spellEnd"/>
      <w:r w:rsidRPr="008C0E4E">
        <w:rPr>
          <w:color w:val="auto"/>
          <w:spacing w:val="-5"/>
          <w:szCs w:val="24"/>
        </w:rPr>
        <w:t xml:space="preserve"> J stated that he would have awarded Mr Fernando the sum of $265,000 in respect of his 1,203 days in detention.</w:t>
      </w:r>
      <w:r w:rsidRPr="008C0E4E">
        <w:rPr>
          <w:color w:val="auto"/>
          <w:spacing w:val="-5"/>
          <w:szCs w:val="24"/>
          <w:vertAlign w:val="superscript"/>
        </w:rPr>
        <w:endnoteReference w:id="24"/>
      </w:r>
      <w:r w:rsidRPr="008C0E4E">
        <w:rPr>
          <w:color w:val="auto"/>
          <w:spacing w:val="-5"/>
          <w:szCs w:val="24"/>
        </w:rPr>
        <w:t xml:space="preserve">  On appeal, the Full Federal Court noted that although ‘the primary judge’s assessment seems to us to be low’, it was not so low as to indicate error.</w:t>
      </w:r>
      <w:r w:rsidRPr="008C0E4E">
        <w:rPr>
          <w:color w:val="auto"/>
          <w:spacing w:val="-5"/>
          <w:sz w:val="20"/>
          <w:szCs w:val="24"/>
          <w:vertAlign w:val="superscript"/>
        </w:rPr>
        <w:endnoteReference w:id="25"/>
      </w:r>
    </w:p>
    <w:p w14:paraId="15B32EC8" w14:textId="6B4BC1D4" w:rsidR="008C0E4E" w:rsidRPr="008C0E4E" w:rsidRDefault="008C0E4E" w:rsidP="008C0E4E">
      <w:pPr>
        <w:numPr>
          <w:ilvl w:val="0"/>
          <w:numId w:val="7"/>
        </w:numPr>
        <w:rPr>
          <w:color w:val="auto"/>
          <w:spacing w:val="-5"/>
          <w:szCs w:val="24"/>
        </w:rPr>
      </w:pPr>
      <w:r w:rsidRPr="008C0E4E">
        <w:rPr>
          <w:rFonts w:cs="Arial"/>
          <w:color w:val="auto"/>
          <w:spacing w:val="-5"/>
          <w:szCs w:val="24"/>
        </w:rPr>
        <w:t>With</w:t>
      </w:r>
      <w:r w:rsidRPr="008C0E4E">
        <w:rPr>
          <w:color w:val="auto"/>
          <w:spacing w:val="-5"/>
          <w:szCs w:val="24"/>
        </w:rPr>
        <w:t xml:space="preserve"> regard to whether a recommendation of compensation is appropriate in circumstances where the complainant is deceased, I note that</w:t>
      </w:r>
      <w:r w:rsidR="001B008C">
        <w:rPr>
          <w:color w:val="auto"/>
          <w:spacing w:val="-5"/>
          <w:szCs w:val="24"/>
        </w:rPr>
        <w:t>:</w:t>
      </w:r>
    </w:p>
    <w:p w14:paraId="16165FAA" w14:textId="77777777" w:rsidR="008C0E4E" w:rsidRPr="002866D3" w:rsidRDefault="008C0E4E" w:rsidP="002866D3">
      <w:pPr>
        <w:numPr>
          <w:ilvl w:val="2"/>
          <w:numId w:val="81"/>
        </w:numPr>
        <w:rPr>
          <w:color w:val="auto"/>
          <w:spacing w:val="-5"/>
          <w:szCs w:val="24"/>
        </w:rPr>
      </w:pPr>
      <w:r w:rsidRPr="008C0E4E">
        <w:rPr>
          <w:color w:val="auto"/>
          <w:spacing w:val="-5"/>
          <w:szCs w:val="24"/>
        </w:rPr>
        <w:t>section 29(2)(2)(</w:t>
      </w:r>
      <w:proofErr w:type="spellStart"/>
      <w:r w:rsidRPr="008C0E4E">
        <w:rPr>
          <w:color w:val="auto"/>
          <w:spacing w:val="-5"/>
          <w:szCs w:val="24"/>
        </w:rPr>
        <w:t>i</w:t>
      </w:r>
      <w:proofErr w:type="spellEnd"/>
      <w:r w:rsidRPr="008C0E4E">
        <w:rPr>
          <w:color w:val="auto"/>
          <w:spacing w:val="-5"/>
          <w:szCs w:val="24"/>
        </w:rPr>
        <w:t>) of the AHRC Act allows the Commission to recommend the payment of compensation ‘to, or in respect of, a person who has suffered loss or damage’; and</w:t>
      </w:r>
    </w:p>
    <w:p w14:paraId="7360A84A" w14:textId="77777777" w:rsidR="008C0E4E" w:rsidRPr="008C0E4E" w:rsidRDefault="008C0E4E" w:rsidP="008C0E4E">
      <w:pPr>
        <w:numPr>
          <w:ilvl w:val="2"/>
          <w:numId w:val="81"/>
        </w:numPr>
        <w:rPr>
          <w:color w:val="auto"/>
          <w:spacing w:val="-5"/>
          <w:szCs w:val="24"/>
        </w:rPr>
      </w:pPr>
      <w:r w:rsidRPr="008C0E4E">
        <w:rPr>
          <w:color w:val="auto"/>
          <w:spacing w:val="-5"/>
          <w:szCs w:val="24"/>
        </w:rPr>
        <w:lastRenderedPageBreak/>
        <w:t>there is precedent for the award of compensation to a deceased’s estate in the context of discrimination complaints</w:t>
      </w:r>
      <w:r w:rsidRPr="008C0E4E">
        <w:rPr>
          <w:color w:val="auto"/>
          <w:spacing w:val="-5"/>
          <w:sz w:val="20"/>
          <w:szCs w:val="24"/>
          <w:vertAlign w:val="superscript"/>
        </w:rPr>
        <w:endnoteReference w:id="26"/>
      </w:r>
      <w:r w:rsidRPr="008C0E4E">
        <w:rPr>
          <w:color w:val="auto"/>
          <w:spacing w:val="-5"/>
          <w:szCs w:val="24"/>
        </w:rPr>
        <w:t xml:space="preserve"> and tortious claims.</w:t>
      </w:r>
      <w:r w:rsidRPr="008C0E4E">
        <w:rPr>
          <w:color w:val="auto"/>
          <w:spacing w:val="-5"/>
          <w:sz w:val="20"/>
          <w:szCs w:val="24"/>
          <w:vertAlign w:val="superscript"/>
        </w:rPr>
        <w:endnoteReference w:id="27"/>
      </w:r>
    </w:p>
    <w:p w14:paraId="5E250D2D" w14:textId="77777777" w:rsidR="008C0E4E" w:rsidRPr="008C0E4E" w:rsidRDefault="008C0E4E" w:rsidP="008C0E4E">
      <w:pPr>
        <w:numPr>
          <w:ilvl w:val="0"/>
          <w:numId w:val="7"/>
        </w:numPr>
        <w:rPr>
          <w:color w:val="auto"/>
          <w:spacing w:val="-5"/>
          <w:szCs w:val="24"/>
        </w:rPr>
      </w:pPr>
      <w:r w:rsidRPr="008C0E4E">
        <w:rPr>
          <w:rFonts w:cs="Arial"/>
          <w:color w:val="auto"/>
          <w:spacing w:val="-5"/>
          <w:szCs w:val="24"/>
        </w:rPr>
        <w:t>Accordingly</w:t>
      </w:r>
      <w:r w:rsidRPr="008C0E4E">
        <w:rPr>
          <w:color w:val="auto"/>
          <w:spacing w:val="-5"/>
          <w:szCs w:val="24"/>
        </w:rPr>
        <w:t>, I consider that it is open to the Commission to recommend the payment of compensation to a deceased complainant’s estate where a breach of human rights has been found.</w:t>
      </w:r>
    </w:p>
    <w:p w14:paraId="4E775F93" w14:textId="77777777" w:rsidR="008C0E4E" w:rsidRPr="000A27B2" w:rsidRDefault="008C0E4E" w:rsidP="008C0E4E">
      <w:pPr>
        <w:pStyle w:val="Heading2"/>
      </w:pPr>
      <w:bookmarkStart w:id="15" w:name="_Toc394497123"/>
      <w:bookmarkStart w:id="16" w:name="_Toc297922280"/>
      <w:r w:rsidRPr="008C0E4E">
        <w:t>Recommendation that compensation be paid</w:t>
      </w:r>
      <w:bookmarkEnd w:id="15"/>
      <w:bookmarkEnd w:id="16"/>
    </w:p>
    <w:p w14:paraId="549A5747" w14:textId="77777777" w:rsidR="008C0E4E" w:rsidRPr="008C0E4E" w:rsidRDefault="008C0E4E" w:rsidP="008C0E4E">
      <w:pPr>
        <w:numPr>
          <w:ilvl w:val="0"/>
          <w:numId w:val="7"/>
        </w:numPr>
        <w:rPr>
          <w:color w:val="auto"/>
          <w:spacing w:val="-5"/>
          <w:szCs w:val="24"/>
        </w:rPr>
      </w:pPr>
      <w:r w:rsidRPr="008C0E4E">
        <w:rPr>
          <w:color w:val="auto"/>
          <w:spacing w:val="-5"/>
          <w:szCs w:val="24"/>
        </w:rPr>
        <w:t xml:space="preserve">I </w:t>
      </w:r>
      <w:r w:rsidRPr="008C0E4E">
        <w:rPr>
          <w:rFonts w:cs="Arial"/>
          <w:color w:val="auto"/>
          <w:spacing w:val="-5"/>
          <w:szCs w:val="24"/>
        </w:rPr>
        <w:t>have</w:t>
      </w:r>
      <w:r w:rsidRPr="008C0E4E">
        <w:rPr>
          <w:color w:val="auto"/>
          <w:spacing w:val="-5"/>
          <w:szCs w:val="24"/>
        </w:rPr>
        <w:t xml:space="preserve"> found that the detention of Mr Rahimi in VIDC, from 15 September 2010 until 27 February 2012, amounted to a breach of his rights under article 9 of the ICCPR.  I note that I have taken into account the psychiatric assessment conducted by Dr Dudley and Dr Mullin, discussed at paragraph 12 of this </w:t>
      </w:r>
      <w:r w:rsidR="0090447D">
        <w:rPr>
          <w:color w:val="auto"/>
          <w:spacing w:val="-5"/>
          <w:szCs w:val="24"/>
        </w:rPr>
        <w:t>report</w:t>
      </w:r>
      <w:r w:rsidRPr="008C0E4E">
        <w:rPr>
          <w:color w:val="auto"/>
          <w:spacing w:val="-5"/>
          <w:szCs w:val="24"/>
        </w:rPr>
        <w:t>.</w:t>
      </w:r>
    </w:p>
    <w:p w14:paraId="40132692" w14:textId="3D39B7D6" w:rsidR="008C0E4E" w:rsidRDefault="008C0E4E" w:rsidP="008C0E4E">
      <w:pPr>
        <w:numPr>
          <w:ilvl w:val="0"/>
          <w:numId w:val="7"/>
        </w:numPr>
        <w:rPr>
          <w:color w:val="auto"/>
          <w:spacing w:val="-5"/>
          <w:szCs w:val="24"/>
        </w:rPr>
      </w:pPr>
      <w:r w:rsidRPr="008C0E4E">
        <w:rPr>
          <w:color w:val="auto"/>
          <w:spacing w:val="-5"/>
          <w:szCs w:val="24"/>
        </w:rPr>
        <w:t>I recommend that the Commonwealth pay an appropriate amount of compensation to Mr Rahimi’s estate, in accordance with the principles ou</w:t>
      </w:r>
      <w:r w:rsidR="004C4298">
        <w:rPr>
          <w:color w:val="auto"/>
          <w:spacing w:val="-5"/>
          <w:szCs w:val="24"/>
        </w:rPr>
        <w:t>tlined in part 7.2 above.</w:t>
      </w:r>
    </w:p>
    <w:p w14:paraId="39BB7878" w14:textId="77777777" w:rsidR="00DD33CE" w:rsidRDefault="00DD33CE" w:rsidP="000A27B2">
      <w:pPr>
        <w:pStyle w:val="Heading2"/>
      </w:pPr>
      <w:bookmarkStart w:id="17" w:name="_Toc297922281"/>
      <w:r>
        <w:t>The Department’s response to my recommendation</w:t>
      </w:r>
      <w:bookmarkEnd w:id="17"/>
    </w:p>
    <w:p w14:paraId="68096DBB" w14:textId="77777777" w:rsidR="00275E17" w:rsidRPr="00275E17" w:rsidRDefault="00DD33CE" w:rsidP="008C0E4E">
      <w:pPr>
        <w:numPr>
          <w:ilvl w:val="0"/>
          <w:numId w:val="7"/>
        </w:numPr>
        <w:rPr>
          <w:color w:val="auto"/>
          <w:spacing w:val="-5"/>
          <w:szCs w:val="24"/>
        </w:rPr>
      </w:pPr>
      <w:r>
        <w:rPr>
          <w:color w:val="auto"/>
          <w:spacing w:val="-5"/>
          <w:szCs w:val="24"/>
        </w:rPr>
        <w:t xml:space="preserve">The </w:t>
      </w:r>
      <w:r w:rsidR="000A27B2">
        <w:rPr>
          <w:color w:val="auto"/>
          <w:spacing w:val="-5"/>
          <w:szCs w:val="24"/>
        </w:rPr>
        <w:t>Department did not accept my recommendation that compensation be paid. The Department states:</w:t>
      </w:r>
    </w:p>
    <w:p w14:paraId="4CC38C7A" w14:textId="77777777" w:rsidR="000A27B2" w:rsidRDefault="000A27B2" w:rsidP="002E73E3">
      <w:pPr>
        <w:ind w:left="1134"/>
        <w:rPr>
          <w:color w:val="auto"/>
          <w:spacing w:val="-5"/>
          <w:sz w:val="22"/>
          <w:szCs w:val="24"/>
        </w:rPr>
      </w:pPr>
      <w:r w:rsidRPr="000A27B2">
        <w:rPr>
          <w:color w:val="auto"/>
          <w:spacing w:val="-5"/>
          <w:sz w:val="22"/>
          <w:szCs w:val="24"/>
        </w:rPr>
        <w:t xml:space="preserve">Any monetary claim for </w:t>
      </w:r>
      <w:r>
        <w:rPr>
          <w:color w:val="auto"/>
          <w:spacing w:val="-5"/>
          <w:sz w:val="22"/>
          <w:szCs w:val="24"/>
        </w:rPr>
        <w:t xml:space="preserve">compensation against the Commonwealth can only be considered where it is consistent with the </w:t>
      </w:r>
      <w:r>
        <w:rPr>
          <w:i/>
          <w:color w:val="auto"/>
          <w:spacing w:val="-5"/>
          <w:sz w:val="22"/>
          <w:szCs w:val="24"/>
        </w:rPr>
        <w:t>Legal Services Direction</w:t>
      </w:r>
      <w:r w:rsidR="002866D3">
        <w:rPr>
          <w:i/>
          <w:color w:val="auto"/>
          <w:spacing w:val="-5"/>
          <w:sz w:val="22"/>
          <w:szCs w:val="24"/>
        </w:rPr>
        <w:t>s</w:t>
      </w:r>
      <w:r>
        <w:rPr>
          <w:i/>
          <w:color w:val="auto"/>
          <w:spacing w:val="-5"/>
          <w:sz w:val="22"/>
          <w:szCs w:val="24"/>
        </w:rPr>
        <w:t xml:space="preserve"> 2005.</w:t>
      </w:r>
      <w:r>
        <w:rPr>
          <w:color w:val="auto"/>
          <w:spacing w:val="-5"/>
          <w:sz w:val="22"/>
          <w:szCs w:val="24"/>
        </w:rPr>
        <w:t xml:space="preserve"> The </w:t>
      </w:r>
      <w:r>
        <w:rPr>
          <w:i/>
          <w:color w:val="auto"/>
          <w:spacing w:val="-5"/>
          <w:sz w:val="22"/>
          <w:szCs w:val="24"/>
        </w:rPr>
        <w:t>Legal Services Direction</w:t>
      </w:r>
      <w:r w:rsidR="002866D3">
        <w:rPr>
          <w:i/>
          <w:color w:val="auto"/>
          <w:spacing w:val="-5"/>
          <w:sz w:val="22"/>
          <w:szCs w:val="24"/>
        </w:rPr>
        <w:t>s</w:t>
      </w:r>
      <w:r>
        <w:rPr>
          <w:i/>
          <w:color w:val="auto"/>
          <w:spacing w:val="-5"/>
          <w:sz w:val="22"/>
          <w:szCs w:val="24"/>
        </w:rPr>
        <w:t xml:space="preserve"> 2005</w:t>
      </w:r>
      <w:r>
        <w:rPr>
          <w:color w:val="auto"/>
          <w:spacing w:val="-5"/>
          <w:sz w:val="22"/>
          <w:szCs w:val="24"/>
        </w:rPr>
        <w:t xml:space="preserve"> provide that a matter may only be settled where there is at least a meaningful prospect of liability being established against the Commonwealth. Furthermore, the amount of compensation that is offered must be in accordance with legal principle and practice.</w:t>
      </w:r>
    </w:p>
    <w:p w14:paraId="04F11398" w14:textId="77777777" w:rsidR="000A27B2" w:rsidRDefault="000A27B2" w:rsidP="002E73E3">
      <w:pPr>
        <w:ind w:left="1134"/>
        <w:rPr>
          <w:color w:val="auto"/>
          <w:spacing w:val="-5"/>
          <w:sz w:val="22"/>
          <w:szCs w:val="24"/>
        </w:rPr>
      </w:pPr>
      <w:r>
        <w:rPr>
          <w:color w:val="auto"/>
          <w:spacing w:val="-5"/>
          <w:sz w:val="22"/>
          <w:szCs w:val="24"/>
        </w:rPr>
        <w:t xml:space="preserve">The Department considers that Mr Rahimi’s detention as lawful and that the decisions and processes were appropriate having regard to the circumstances of his case. The Department therefore considers </w:t>
      </w:r>
      <w:r w:rsidR="0016262C">
        <w:rPr>
          <w:color w:val="auto"/>
          <w:spacing w:val="-5"/>
          <w:sz w:val="22"/>
          <w:szCs w:val="24"/>
        </w:rPr>
        <w:t>that there is no meaningful prospect of liability being established against the Commonwealth under Australian domestic law and as such no proper legal basis to consider a payment of compensation to Mr Rahimi’s estate. The Department is therefore unable to pay compensation to Mr Rahimi’s estate.</w:t>
      </w:r>
    </w:p>
    <w:p w14:paraId="2F895795" w14:textId="77777777" w:rsidR="0016262C" w:rsidRDefault="0016262C" w:rsidP="002E73E3">
      <w:pPr>
        <w:ind w:left="1134"/>
        <w:rPr>
          <w:color w:val="auto"/>
          <w:spacing w:val="-5"/>
          <w:sz w:val="22"/>
          <w:szCs w:val="24"/>
        </w:rPr>
      </w:pPr>
      <w:r>
        <w:rPr>
          <w:color w:val="auto"/>
          <w:spacing w:val="-5"/>
          <w:sz w:val="22"/>
          <w:szCs w:val="24"/>
        </w:rPr>
        <w:t xml:space="preserve">Although there are limited circumstances in which the Commonwealth may pay compensation on a discretionary basis, </w:t>
      </w:r>
      <w:r>
        <w:rPr>
          <w:i/>
          <w:color w:val="auto"/>
          <w:spacing w:val="-5"/>
          <w:sz w:val="22"/>
          <w:szCs w:val="24"/>
        </w:rPr>
        <w:t xml:space="preserve">Resource Management No. 409 </w:t>
      </w:r>
      <w:r>
        <w:rPr>
          <w:color w:val="auto"/>
          <w:spacing w:val="-5"/>
          <w:sz w:val="22"/>
          <w:szCs w:val="24"/>
        </w:rPr>
        <w:t xml:space="preserve">and </w:t>
      </w:r>
      <w:r>
        <w:rPr>
          <w:i/>
          <w:color w:val="auto"/>
          <w:spacing w:val="-5"/>
          <w:sz w:val="22"/>
          <w:szCs w:val="24"/>
        </w:rPr>
        <w:t>No. 401</w:t>
      </w:r>
      <w:r>
        <w:rPr>
          <w:color w:val="auto"/>
          <w:spacing w:val="-5"/>
          <w:sz w:val="22"/>
          <w:szCs w:val="24"/>
        </w:rPr>
        <w:t xml:space="preserve"> generally limit such payments to situations where a person has suffered some form of financial detriment or injury arising out of a defective administration on the part of the Commonwealth, or otherwise experienced an anomalous, inequitable or unintended outcome as a result of the application of Commonwealth legislation or policy. On the basis of the current information the Department is not satisfied that there is a proper basis of discretionary compensation at this time.</w:t>
      </w:r>
    </w:p>
    <w:p w14:paraId="42F1ACCC" w14:textId="77777777" w:rsidR="0016262C" w:rsidRPr="0016262C" w:rsidRDefault="0016262C" w:rsidP="002E73E3">
      <w:pPr>
        <w:ind w:left="1134"/>
        <w:rPr>
          <w:color w:val="auto"/>
          <w:spacing w:val="-5"/>
          <w:sz w:val="22"/>
          <w:szCs w:val="24"/>
        </w:rPr>
      </w:pPr>
      <w:r>
        <w:rPr>
          <w:color w:val="auto"/>
          <w:spacing w:val="-5"/>
          <w:sz w:val="22"/>
          <w:szCs w:val="24"/>
        </w:rPr>
        <w:t>The Department therefore holds the view that there is no basis for payment of compensation to Mr Rahimi’s estate and advises that it will not be taking any further action in relation to this recommendation.</w:t>
      </w:r>
    </w:p>
    <w:p w14:paraId="4C7ED464" w14:textId="77777777" w:rsidR="00275E17" w:rsidRPr="00275E17" w:rsidRDefault="00275E17" w:rsidP="00275E17">
      <w:pPr>
        <w:numPr>
          <w:ilvl w:val="0"/>
          <w:numId w:val="7"/>
        </w:numPr>
        <w:rPr>
          <w:color w:val="auto"/>
          <w:spacing w:val="-5"/>
          <w:szCs w:val="24"/>
        </w:rPr>
      </w:pPr>
      <w:r>
        <w:rPr>
          <w:noProof/>
          <w:lang w:eastAsia="en-AU"/>
        </w:rPr>
        <w:lastRenderedPageBreak/>
        <w:t>I report accordingly to the Attorney-General.</w:t>
      </w:r>
    </w:p>
    <w:p w14:paraId="38A6E8B4" w14:textId="77777777" w:rsidR="008C0E4E" w:rsidRDefault="00872AF3" w:rsidP="00872AF3">
      <w:pPr>
        <w:ind w:left="-426"/>
        <w:rPr>
          <w:rFonts w:cs="Arial"/>
          <w:color w:val="auto"/>
          <w:spacing w:val="-5"/>
          <w:szCs w:val="24"/>
        </w:rPr>
      </w:pPr>
      <w:r>
        <w:rPr>
          <w:rFonts w:cs="Arial"/>
          <w:b/>
          <w:bCs/>
          <w:noProof/>
          <w:lang w:eastAsia="en-AU"/>
        </w:rPr>
        <w:drawing>
          <wp:inline distT="0" distB="0" distL="0" distR="0" wp14:anchorId="2ABE34B0" wp14:editId="5DF81A41">
            <wp:extent cx="1828800" cy="1079863"/>
            <wp:effectExtent l="0" t="0" r="0" b="6350"/>
            <wp:docPr id="2" name="Picture 2" descr="cid:image001.png@01D03A46.C71F3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3A46.C71F3F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32730" cy="1082184"/>
                    </a:xfrm>
                    <a:prstGeom prst="rect">
                      <a:avLst/>
                    </a:prstGeom>
                    <a:noFill/>
                    <a:ln>
                      <a:noFill/>
                    </a:ln>
                  </pic:spPr>
                </pic:pic>
              </a:graphicData>
            </a:graphic>
          </wp:inline>
        </w:drawing>
      </w:r>
      <w:r>
        <w:rPr>
          <w:color w:val="auto"/>
          <w:spacing w:val="-5"/>
          <w:szCs w:val="24"/>
        </w:rPr>
        <w:br/>
      </w:r>
      <w:r>
        <w:rPr>
          <w:color w:val="auto"/>
          <w:spacing w:val="-5"/>
          <w:szCs w:val="24"/>
        </w:rPr>
        <w:tab/>
      </w:r>
      <w:r w:rsidR="008C0E4E" w:rsidRPr="008C0E4E">
        <w:rPr>
          <w:rFonts w:cs="Arial"/>
          <w:color w:val="auto"/>
          <w:spacing w:val="-5"/>
          <w:szCs w:val="24"/>
        </w:rPr>
        <w:t xml:space="preserve">Gillian Triggs </w:t>
      </w:r>
      <w:r>
        <w:rPr>
          <w:rFonts w:cs="Arial"/>
          <w:color w:val="auto"/>
          <w:spacing w:val="-5"/>
          <w:szCs w:val="24"/>
        </w:rPr>
        <w:br/>
      </w:r>
      <w:r>
        <w:rPr>
          <w:rFonts w:cs="Arial"/>
          <w:color w:val="auto"/>
          <w:spacing w:val="-5"/>
          <w:szCs w:val="24"/>
        </w:rPr>
        <w:tab/>
      </w:r>
      <w:r w:rsidR="008C0E4E" w:rsidRPr="008C0E4E">
        <w:rPr>
          <w:rFonts w:cs="Arial"/>
          <w:b/>
          <w:color w:val="auto"/>
          <w:spacing w:val="-5"/>
          <w:szCs w:val="24"/>
        </w:rPr>
        <w:t>President</w:t>
      </w:r>
      <w:r w:rsidR="008C0E4E" w:rsidRPr="008C0E4E">
        <w:rPr>
          <w:rFonts w:cs="Arial"/>
          <w:color w:val="auto"/>
          <w:spacing w:val="-5"/>
          <w:szCs w:val="24"/>
        </w:rPr>
        <w:t xml:space="preserve"> </w:t>
      </w:r>
      <w:r>
        <w:rPr>
          <w:rFonts w:cs="Arial"/>
          <w:color w:val="auto"/>
          <w:spacing w:val="-5"/>
          <w:szCs w:val="24"/>
        </w:rPr>
        <w:br/>
      </w:r>
      <w:r>
        <w:rPr>
          <w:rFonts w:cs="Arial"/>
          <w:color w:val="auto"/>
          <w:spacing w:val="-5"/>
          <w:szCs w:val="24"/>
        </w:rPr>
        <w:tab/>
      </w:r>
      <w:r w:rsidR="008C0E4E" w:rsidRPr="008C0E4E">
        <w:rPr>
          <w:rFonts w:cs="Arial"/>
          <w:color w:val="auto"/>
          <w:spacing w:val="-5"/>
          <w:szCs w:val="24"/>
        </w:rPr>
        <w:t>Australian Human Rights Commission</w:t>
      </w:r>
    </w:p>
    <w:p w14:paraId="763A1C33" w14:textId="77777777" w:rsidR="00334193" w:rsidRPr="008C0E4E" w:rsidRDefault="00334193" w:rsidP="00334193">
      <w:pPr>
        <w:spacing w:before="0" w:after="0"/>
        <w:rPr>
          <w:rFonts w:cs="Arial"/>
          <w:color w:val="auto"/>
          <w:spacing w:val="-5"/>
          <w:szCs w:val="24"/>
        </w:rPr>
      </w:pPr>
    </w:p>
    <w:p w14:paraId="2E58D66D" w14:textId="77777777" w:rsidR="008C0E4E" w:rsidRPr="008C0E4E" w:rsidRDefault="00E46181" w:rsidP="008C0E4E">
      <w:pPr>
        <w:rPr>
          <w:rFonts w:cs="Arial"/>
          <w:color w:val="auto"/>
          <w:spacing w:val="-5"/>
          <w:szCs w:val="24"/>
        </w:rPr>
      </w:pPr>
      <w:r>
        <w:rPr>
          <w:rFonts w:cs="Arial"/>
          <w:color w:val="auto"/>
          <w:spacing w:val="-5"/>
          <w:szCs w:val="24"/>
        </w:rPr>
        <w:t>June</w:t>
      </w:r>
      <w:r w:rsidR="008C0E4E" w:rsidRPr="008C0E4E">
        <w:rPr>
          <w:rFonts w:cs="Arial"/>
          <w:color w:val="auto"/>
          <w:spacing w:val="-5"/>
          <w:szCs w:val="24"/>
        </w:rPr>
        <w:t xml:space="preserve"> 2015</w:t>
      </w:r>
    </w:p>
    <w:p w14:paraId="2126DDDB" w14:textId="77777777" w:rsidR="00FF78EA" w:rsidRDefault="00FF78EA" w:rsidP="008C0E4E">
      <w:pPr>
        <w:rPr>
          <w:rFonts w:cs="Arial"/>
          <w:szCs w:val="24"/>
        </w:rPr>
      </w:pPr>
    </w:p>
    <w:sectPr w:rsidR="00FF78EA" w:rsidSect="00821329">
      <w:headerReference w:type="default" r:id="rId15"/>
      <w:footerReference w:type="default" r:id="rId16"/>
      <w:endnotePr>
        <w:numFmt w:val="decimal"/>
      </w:endnotePr>
      <w:type w:val="continuous"/>
      <w:pgSz w:w="11906" w:h="16838" w:code="9"/>
      <w:pgMar w:top="1134" w:right="1418" w:bottom="1134"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961A3" w14:textId="77777777" w:rsidR="00126B4B" w:rsidRDefault="00126B4B" w:rsidP="00F14C6D">
      <w:r>
        <w:separator/>
      </w:r>
    </w:p>
  </w:endnote>
  <w:endnote w:type="continuationSeparator" w:id="0">
    <w:p w14:paraId="1B1A4859" w14:textId="77777777" w:rsidR="00126B4B" w:rsidRDefault="00126B4B" w:rsidP="00F14C6D">
      <w:r>
        <w:continuationSeparator/>
      </w:r>
    </w:p>
  </w:endnote>
  <w:endnote w:id="1">
    <w:p w14:paraId="019C0718" w14:textId="77777777" w:rsidR="008C0E4E" w:rsidRPr="008C0E4E" w:rsidRDefault="008C0E4E" w:rsidP="00ED42DF">
      <w:pPr>
        <w:pStyle w:val="EndnoteText"/>
        <w:spacing w:before="0" w:after="0"/>
        <w:ind w:left="585" w:hanging="585"/>
        <w:rPr>
          <w:sz w:val="20"/>
        </w:rPr>
      </w:pPr>
      <w:r w:rsidRPr="008C0E4E">
        <w:rPr>
          <w:rStyle w:val="EndnoteReference"/>
        </w:rPr>
        <w:endnoteRef/>
      </w:r>
      <w:r w:rsidRPr="008C0E4E">
        <w:rPr>
          <w:sz w:val="20"/>
        </w:rPr>
        <w:t xml:space="preserve"> </w:t>
      </w:r>
      <w:r w:rsidRPr="008C0E4E">
        <w:rPr>
          <w:sz w:val="20"/>
        </w:rPr>
        <w:tab/>
      </w:r>
      <w:r w:rsidRPr="00070142">
        <w:rPr>
          <w:rStyle w:val="Emphasis"/>
          <w:sz w:val="20"/>
        </w:rPr>
        <w:t>Lydia Stephenson</w:t>
      </w:r>
      <w:r w:rsidRPr="008C0E4E">
        <w:rPr>
          <w:i/>
          <w:sz w:val="20"/>
        </w:rPr>
        <w:t xml:space="preserve"> as Executrix of the Estate of the Late </w:t>
      </w:r>
      <w:proofErr w:type="spellStart"/>
      <w:r w:rsidRPr="008C0E4E">
        <w:rPr>
          <w:i/>
          <w:sz w:val="20"/>
        </w:rPr>
        <w:t>Alyschia</w:t>
      </w:r>
      <w:proofErr w:type="spellEnd"/>
      <w:r w:rsidRPr="008C0E4E">
        <w:rPr>
          <w:i/>
          <w:sz w:val="20"/>
        </w:rPr>
        <w:t xml:space="preserve"> Dibble v Human Rights and Equal Opportunity Commission and St Vincent’s Hospital Limited </w:t>
      </w:r>
      <w:r w:rsidRPr="008C0E4E">
        <w:rPr>
          <w:sz w:val="20"/>
        </w:rPr>
        <w:t xml:space="preserve">[1996] FCA 1654. </w:t>
      </w:r>
    </w:p>
  </w:endnote>
  <w:endnote w:id="2">
    <w:p w14:paraId="59C8CE5A" w14:textId="77777777" w:rsidR="008C0E4E" w:rsidRPr="008C0E4E" w:rsidRDefault="008C0E4E" w:rsidP="00ED42DF">
      <w:pPr>
        <w:pStyle w:val="EndnoteText"/>
        <w:spacing w:before="0" w:after="0"/>
        <w:ind w:left="585" w:hanging="585"/>
        <w:rPr>
          <w:sz w:val="20"/>
        </w:rPr>
      </w:pPr>
      <w:r w:rsidRPr="008C0E4E">
        <w:rPr>
          <w:rStyle w:val="EndnoteReference"/>
        </w:rPr>
        <w:endnoteRef/>
      </w:r>
      <w:r w:rsidRPr="008C0E4E">
        <w:rPr>
          <w:sz w:val="20"/>
        </w:rPr>
        <w:t xml:space="preserve"> </w:t>
      </w:r>
      <w:r w:rsidRPr="008C0E4E">
        <w:rPr>
          <w:sz w:val="20"/>
        </w:rPr>
        <w:tab/>
        <w:t>Section 3(1) of the AHRC Act defines human rights to include the rights recognised by the ICCPR.</w:t>
      </w:r>
    </w:p>
  </w:endnote>
  <w:endnote w:id="3">
    <w:p w14:paraId="07A13A1A" w14:textId="338A02D1" w:rsidR="008C0E4E" w:rsidRPr="008C0E4E" w:rsidRDefault="008C0E4E" w:rsidP="00ED42DF">
      <w:pPr>
        <w:pStyle w:val="EndnoteText"/>
        <w:spacing w:before="0" w:after="0"/>
        <w:ind w:left="585" w:hanging="585"/>
        <w:rPr>
          <w:sz w:val="20"/>
        </w:rPr>
      </w:pPr>
      <w:r w:rsidRPr="008C0E4E">
        <w:rPr>
          <w:rStyle w:val="EndnoteReference"/>
        </w:rPr>
        <w:endnoteRef/>
      </w:r>
      <w:r w:rsidR="00A03895">
        <w:rPr>
          <w:sz w:val="20"/>
        </w:rPr>
        <w:t xml:space="preserve"> </w:t>
      </w:r>
      <w:r w:rsidR="00A03895">
        <w:rPr>
          <w:sz w:val="20"/>
        </w:rPr>
        <w:tab/>
        <w:t>See</w:t>
      </w:r>
      <w:r w:rsidRPr="008C0E4E">
        <w:rPr>
          <w:sz w:val="20"/>
        </w:rPr>
        <w:t xml:space="preserve"> </w:t>
      </w:r>
      <w:r w:rsidRPr="008C0E4E">
        <w:rPr>
          <w:i/>
          <w:sz w:val="20"/>
        </w:rPr>
        <w:t xml:space="preserve">Secretary, Department of Defence v HREOC, </w:t>
      </w:r>
      <w:proofErr w:type="gramStart"/>
      <w:r w:rsidRPr="008C0E4E">
        <w:rPr>
          <w:i/>
          <w:sz w:val="20"/>
        </w:rPr>
        <w:t>Burgess &amp;</w:t>
      </w:r>
      <w:proofErr w:type="gramEnd"/>
      <w:r w:rsidRPr="008C0E4E">
        <w:rPr>
          <w:i/>
          <w:sz w:val="20"/>
        </w:rPr>
        <w:t xml:space="preserve"> </w:t>
      </w:r>
      <w:proofErr w:type="spellStart"/>
      <w:r w:rsidRPr="008C0E4E">
        <w:rPr>
          <w:i/>
          <w:sz w:val="20"/>
        </w:rPr>
        <w:t>Ors</w:t>
      </w:r>
      <w:proofErr w:type="spellEnd"/>
      <w:r w:rsidRPr="008C0E4E">
        <w:rPr>
          <w:sz w:val="20"/>
        </w:rPr>
        <w:t xml:space="preserve"> (1997) 78 FCR 208. </w:t>
      </w:r>
    </w:p>
  </w:endnote>
  <w:endnote w:id="4">
    <w:p w14:paraId="4F3EA97F" w14:textId="077B97C6" w:rsidR="008C0E4E" w:rsidRPr="008C0E4E" w:rsidRDefault="008C0E4E" w:rsidP="00ED42DF">
      <w:pPr>
        <w:pStyle w:val="EndnoteText"/>
        <w:spacing w:before="0" w:after="0"/>
        <w:ind w:left="567" w:hanging="567"/>
        <w:rPr>
          <w:rFonts w:cs="Arial"/>
          <w:sz w:val="20"/>
        </w:rPr>
      </w:pPr>
      <w:r w:rsidRPr="008C0E4E">
        <w:rPr>
          <w:rStyle w:val="EndnoteReference"/>
          <w:rFonts w:cs="Arial"/>
        </w:rPr>
        <w:endnoteRef/>
      </w:r>
      <w:r w:rsidRPr="008C0E4E">
        <w:rPr>
          <w:rFonts w:cs="Arial"/>
          <w:sz w:val="20"/>
        </w:rPr>
        <w:t xml:space="preserve"> </w:t>
      </w:r>
      <w:r w:rsidRPr="008C0E4E">
        <w:rPr>
          <w:rFonts w:cs="Arial"/>
          <w:sz w:val="20"/>
        </w:rPr>
        <w:tab/>
      </w:r>
      <w:r w:rsidR="00FD325B" w:rsidRPr="00FD325B">
        <w:rPr>
          <w:rFonts w:cs="Arial"/>
          <w:sz w:val="20"/>
        </w:rPr>
        <w:t>United Nations Human Rights Committee,</w:t>
      </w:r>
      <w:r w:rsidRPr="008C0E4E">
        <w:rPr>
          <w:rFonts w:cs="Arial"/>
          <w:sz w:val="20"/>
        </w:rPr>
        <w:t xml:space="preserve"> General Comment 8 (1982</w:t>
      </w:r>
      <w:proofErr w:type="gramStart"/>
      <w:r w:rsidRPr="008C0E4E">
        <w:rPr>
          <w:rFonts w:cs="Arial"/>
          <w:sz w:val="20"/>
        </w:rPr>
        <w:t xml:space="preserve">) </w:t>
      </w:r>
      <w:proofErr w:type="gramEnd"/>
      <w:r w:rsidRPr="008C0E4E">
        <w:rPr>
          <w:rStyle w:val="EndnoteReference"/>
          <w:i/>
          <w:vertAlign w:val="baseline"/>
        </w:rPr>
        <w:t>Right to liberty and security of persons (Article 9)</w:t>
      </w:r>
      <w:r w:rsidRPr="008C0E4E">
        <w:rPr>
          <w:rFonts w:cs="Arial"/>
          <w:sz w:val="20"/>
        </w:rPr>
        <w:t xml:space="preserve">. See also </w:t>
      </w:r>
      <w:proofErr w:type="gramStart"/>
      <w:r w:rsidRPr="008C0E4E">
        <w:rPr>
          <w:rFonts w:cs="Arial"/>
          <w:i/>
          <w:sz w:val="20"/>
        </w:rPr>
        <w:t>A</w:t>
      </w:r>
      <w:proofErr w:type="gramEnd"/>
      <w:r w:rsidRPr="008C0E4E">
        <w:rPr>
          <w:rFonts w:cs="Arial"/>
          <w:i/>
          <w:sz w:val="20"/>
        </w:rPr>
        <w:t xml:space="preserve"> v Australia</w:t>
      </w:r>
      <w:r w:rsidRPr="008C0E4E">
        <w:rPr>
          <w:rFonts w:cs="Arial"/>
          <w:sz w:val="20"/>
        </w:rPr>
        <w:t xml:space="preserve">, Communication No. 560/1993, UN Doc CCPR/C/59/D/560/1993 (1997); </w:t>
      </w:r>
      <w:r w:rsidRPr="008C0E4E">
        <w:rPr>
          <w:rFonts w:cs="Arial"/>
          <w:i/>
          <w:sz w:val="20"/>
        </w:rPr>
        <w:t>C v Australia</w:t>
      </w:r>
      <w:r w:rsidRPr="008C0E4E">
        <w:rPr>
          <w:rFonts w:cs="Arial"/>
          <w:sz w:val="20"/>
        </w:rPr>
        <w:t xml:space="preserve">, Communication No. 900/1999, UN Doc CCPR/C/76/D/900/1999 (2002); </w:t>
      </w:r>
      <w:proofErr w:type="spellStart"/>
      <w:r w:rsidRPr="008C0E4E">
        <w:rPr>
          <w:rFonts w:cs="Arial"/>
          <w:i/>
          <w:sz w:val="20"/>
        </w:rPr>
        <w:t>Baban</w:t>
      </w:r>
      <w:proofErr w:type="spellEnd"/>
      <w:r w:rsidRPr="008C0E4E">
        <w:rPr>
          <w:rFonts w:cs="Arial"/>
          <w:i/>
          <w:sz w:val="20"/>
        </w:rPr>
        <w:t xml:space="preserve"> v Australia</w:t>
      </w:r>
      <w:r w:rsidRPr="008C0E4E">
        <w:rPr>
          <w:rFonts w:cs="Arial"/>
          <w:sz w:val="20"/>
        </w:rPr>
        <w:t>, Communication No. 1014/2001, UN Doc CCPR/C/78/D/1014/2001 (2003).</w:t>
      </w:r>
    </w:p>
  </w:endnote>
  <w:endnote w:id="5">
    <w:p w14:paraId="31F953DD" w14:textId="3D713E5A"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00FD325B" w:rsidRPr="00FD325B">
        <w:rPr>
          <w:rFonts w:cs="Arial"/>
          <w:sz w:val="20"/>
        </w:rPr>
        <w:t>United Nations Human Rights Committee,</w:t>
      </w:r>
      <w:r w:rsidRPr="008C0E4E">
        <w:rPr>
          <w:sz w:val="20"/>
        </w:rPr>
        <w:t xml:space="preserve"> General Comment 31 (2004)</w:t>
      </w:r>
      <w:r w:rsidR="001B008C">
        <w:rPr>
          <w:sz w:val="20"/>
        </w:rPr>
        <w:t xml:space="preserve">, </w:t>
      </w:r>
      <w:r w:rsidRPr="008C0E4E">
        <w:rPr>
          <w:sz w:val="20"/>
        </w:rPr>
        <w:t xml:space="preserve">[6]. See also </w:t>
      </w:r>
      <w:r w:rsidR="00301349" w:rsidRPr="00301349">
        <w:rPr>
          <w:sz w:val="20"/>
        </w:rPr>
        <w:t xml:space="preserve">S Joseph, J Schultz and M </w:t>
      </w:r>
      <w:proofErr w:type="spellStart"/>
      <w:r w:rsidR="00301349" w:rsidRPr="00301349">
        <w:rPr>
          <w:sz w:val="20"/>
        </w:rPr>
        <w:t>Castan</w:t>
      </w:r>
      <w:proofErr w:type="spellEnd"/>
      <w:r w:rsidR="00301349" w:rsidRPr="00301349">
        <w:rPr>
          <w:sz w:val="20"/>
        </w:rPr>
        <w:t xml:space="preserve">, </w:t>
      </w:r>
      <w:r w:rsidR="00301349" w:rsidRPr="00FE2F1F">
        <w:rPr>
          <w:rStyle w:val="Emphasis"/>
          <w:sz w:val="20"/>
        </w:rPr>
        <w:t>The International Covenant on Civil and Political Rights Cases, Materials and Commentary</w:t>
      </w:r>
      <w:r w:rsidR="00301349" w:rsidRPr="00301349">
        <w:rPr>
          <w:sz w:val="20"/>
        </w:rPr>
        <w:t xml:space="preserve"> (Oxford University Press, 2nd </w:t>
      </w:r>
      <w:proofErr w:type="spellStart"/>
      <w:r w:rsidR="00301349" w:rsidRPr="00301349">
        <w:rPr>
          <w:sz w:val="20"/>
        </w:rPr>
        <w:t>ed</w:t>
      </w:r>
      <w:proofErr w:type="spellEnd"/>
      <w:r w:rsidR="00301349" w:rsidRPr="00301349">
        <w:rPr>
          <w:sz w:val="20"/>
        </w:rPr>
        <w:t>, 2004) 308 [11.10].</w:t>
      </w:r>
    </w:p>
  </w:endnote>
  <w:endnote w:id="6">
    <w:p w14:paraId="45132040" w14:textId="501FAFF7" w:rsidR="008C0E4E" w:rsidRPr="008C0E4E" w:rsidRDefault="008C0E4E" w:rsidP="00ED42DF">
      <w:pPr>
        <w:pStyle w:val="EndnoteText"/>
        <w:spacing w:before="0" w:after="0"/>
        <w:ind w:left="567" w:hanging="567"/>
        <w:rPr>
          <w:rFonts w:cs="Arial"/>
          <w:sz w:val="20"/>
        </w:rPr>
      </w:pPr>
      <w:r w:rsidRPr="008C0E4E">
        <w:rPr>
          <w:rStyle w:val="EndnoteReference"/>
          <w:rFonts w:cs="Arial"/>
        </w:rPr>
        <w:endnoteRef/>
      </w:r>
      <w:r w:rsidRPr="008C0E4E">
        <w:rPr>
          <w:rFonts w:cs="Arial"/>
          <w:sz w:val="20"/>
        </w:rPr>
        <w:t xml:space="preserve"> </w:t>
      </w:r>
      <w:r w:rsidRPr="008C0E4E">
        <w:rPr>
          <w:rFonts w:cs="Arial"/>
          <w:sz w:val="20"/>
        </w:rPr>
        <w:tab/>
      </w:r>
      <w:r w:rsidRPr="008C0E4E">
        <w:rPr>
          <w:rFonts w:cs="Arial"/>
          <w:i/>
          <w:sz w:val="20"/>
        </w:rPr>
        <w:t xml:space="preserve">Manga v Attorney-General </w:t>
      </w:r>
      <w:r w:rsidRPr="008C0E4E">
        <w:rPr>
          <w:rFonts w:cs="Arial"/>
          <w:sz w:val="20"/>
        </w:rPr>
        <w:t>[2000] 2 NZLR 65</w:t>
      </w:r>
      <w:r w:rsidR="00301349">
        <w:rPr>
          <w:rFonts w:cs="Arial"/>
          <w:sz w:val="20"/>
        </w:rPr>
        <w:t>,</w:t>
      </w:r>
      <w:r w:rsidRPr="008C0E4E">
        <w:rPr>
          <w:rFonts w:cs="Arial"/>
          <w:sz w:val="20"/>
        </w:rPr>
        <w:t xml:space="preserve"> [40]-[42], (Hammond J). See also the views of the UNHRC in </w:t>
      </w:r>
      <w:r w:rsidRPr="008C0E4E">
        <w:rPr>
          <w:rFonts w:cs="Arial"/>
          <w:i/>
          <w:sz w:val="20"/>
        </w:rPr>
        <w:t>Van Alphen v The Netherlands</w:t>
      </w:r>
      <w:r w:rsidRPr="008C0E4E">
        <w:rPr>
          <w:rFonts w:cs="Arial"/>
          <w:sz w:val="20"/>
        </w:rPr>
        <w:t xml:space="preserve">, Communication No. 305/1988, UN Doc CCPR/C/39/D/305/1988 (1990); </w:t>
      </w:r>
      <w:proofErr w:type="gramStart"/>
      <w:r w:rsidRPr="008C0E4E">
        <w:rPr>
          <w:rFonts w:cs="Arial"/>
          <w:i/>
          <w:sz w:val="20"/>
        </w:rPr>
        <w:t>A</w:t>
      </w:r>
      <w:proofErr w:type="gramEnd"/>
      <w:r w:rsidRPr="008C0E4E">
        <w:rPr>
          <w:rFonts w:cs="Arial"/>
          <w:i/>
          <w:sz w:val="20"/>
        </w:rPr>
        <w:t xml:space="preserve"> v Australia</w:t>
      </w:r>
      <w:r w:rsidRPr="008C0E4E">
        <w:rPr>
          <w:rFonts w:cs="Arial"/>
          <w:sz w:val="20"/>
        </w:rPr>
        <w:t>, Communication No. 560/1993, UN Doc CCPR/C/59/D/560/1993 (1997);</w:t>
      </w:r>
      <w:r w:rsidRPr="008C0E4E">
        <w:rPr>
          <w:rFonts w:cs="Arial"/>
          <w:i/>
          <w:sz w:val="20"/>
        </w:rPr>
        <w:t xml:space="preserve"> </w:t>
      </w:r>
      <w:proofErr w:type="spellStart"/>
      <w:r w:rsidRPr="008C0E4E">
        <w:rPr>
          <w:rFonts w:cs="Arial"/>
          <w:i/>
          <w:sz w:val="20"/>
        </w:rPr>
        <w:t>Spakmo</w:t>
      </w:r>
      <w:proofErr w:type="spellEnd"/>
      <w:r w:rsidRPr="008C0E4E">
        <w:rPr>
          <w:rFonts w:cs="Arial"/>
          <w:i/>
          <w:sz w:val="20"/>
        </w:rPr>
        <w:t xml:space="preserve"> v Norway</w:t>
      </w:r>
      <w:r w:rsidRPr="008C0E4E">
        <w:rPr>
          <w:rFonts w:cs="Arial"/>
          <w:sz w:val="20"/>
        </w:rPr>
        <w:t xml:space="preserve">, Communication No. 631/1995, UN Doc CCPR/C/67/D/631/1995 (1999). </w:t>
      </w:r>
    </w:p>
  </w:endnote>
  <w:endnote w:id="7">
    <w:p w14:paraId="09C8FE5C" w14:textId="214166BC" w:rsidR="008C0E4E" w:rsidRPr="008C0E4E" w:rsidRDefault="008C0E4E" w:rsidP="00ED42DF">
      <w:pPr>
        <w:pStyle w:val="EndnoteText"/>
        <w:spacing w:before="0" w:after="0"/>
        <w:ind w:left="567" w:hanging="567"/>
        <w:rPr>
          <w:rFonts w:cs="Arial"/>
          <w:sz w:val="20"/>
        </w:rPr>
      </w:pPr>
      <w:r w:rsidRPr="008C0E4E">
        <w:rPr>
          <w:rStyle w:val="EndnoteReference"/>
          <w:rFonts w:cs="Arial"/>
        </w:rPr>
        <w:endnoteRef/>
      </w:r>
      <w:r w:rsidRPr="008C0E4E">
        <w:rPr>
          <w:rFonts w:cs="Arial"/>
          <w:sz w:val="20"/>
        </w:rPr>
        <w:t xml:space="preserve"> </w:t>
      </w:r>
      <w:r w:rsidRPr="008C0E4E">
        <w:rPr>
          <w:rFonts w:cs="Arial"/>
          <w:sz w:val="20"/>
        </w:rPr>
        <w:tab/>
      </w:r>
      <w:r w:rsidRPr="008C0E4E">
        <w:rPr>
          <w:rFonts w:cs="Arial"/>
          <w:i/>
          <w:sz w:val="20"/>
        </w:rPr>
        <w:t>A v Australia</w:t>
      </w:r>
      <w:r w:rsidRPr="008C0E4E">
        <w:rPr>
          <w:rFonts w:cs="Arial"/>
          <w:sz w:val="20"/>
        </w:rPr>
        <w:t>, Communication No. 900/1993,</w:t>
      </w:r>
      <w:r w:rsidRPr="008C0E4E">
        <w:rPr>
          <w:rFonts w:cs="Arial"/>
          <w:i/>
          <w:sz w:val="20"/>
        </w:rPr>
        <w:t xml:space="preserve"> </w:t>
      </w:r>
      <w:r w:rsidRPr="008C0E4E">
        <w:rPr>
          <w:rFonts w:cs="Arial"/>
          <w:sz w:val="20"/>
        </w:rPr>
        <w:t>UN Doc CCPR/C/76/D/900/1993</w:t>
      </w:r>
      <w:r w:rsidRPr="008C0E4E">
        <w:rPr>
          <w:rFonts w:cs="Arial"/>
          <w:i/>
          <w:sz w:val="20"/>
        </w:rPr>
        <w:t xml:space="preserve"> </w:t>
      </w:r>
      <w:r w:rsidRPr="008C0E4E">
        <w:rPr>
          <w:rFonts w:cs="Arial"/>
          <w:sz w:val="20"/>
        </w:rPr>
        <w:t xml:space="preserve">(1997) (the fact that the author may abscond if released into the community </w:t>
      </w:r>
      <w:r w:rsidR="001A5729">
        <w:rPr>
          <w:rFonts w:cs="Arial"/>
          <w:sz w:val="20"/>
        </w:rPr>
        <w:t>was</w:t>
      </w:r>
      <w:r w:rsidRPr="008C0E4E">
        <w:rPr>
          <w:rFonts w:cs="Arial"/>
          <w:sz w:val="20"/>
        </w:rPr>
        <w:t xml:space="preserve"> not</w:t>
      </w:r>
      <w:r w:rsidR="001A5729">
        <w:rPr>
          <w:rFonts w:cs="Arial"/>
          <w:sz w:val="20"/>
        </w:rPr>
        <w:t xml:space="preserve"> a</w:t>
      </w:r>
      <w:r w:rsidRPr="008C0E4E">
        <w:rPr>
          <w:rFonts w:cs="Arial"/>
          <w:sz w:val="20"/>
        </w:rPr>
        <w:t xml:space="preserve"> sufficient reason to justify holding the author in immigration detention for four years);</w:t>
      </w:r>
      <w:r w:rsidRPr="008C0E4E">
        <w:rPr>
          <w:rFonts w:cs="Arial"/>
          <w:i/>
          <w:sz w:val="20"/>
        </w:rPr>
        <w:t xml:space="preserve"> C v Australia</w:t>
      </w:r>
      <w:r w:rsidRPr="008C0E4E">
        <w:rPr>
          <w:rFonts w:cs="Arial"/>
          <w:sz w:val="20"/>
        </w:rPr>
        <w:t>, Communication No. 900/1999, UN Doc CCPR/C/76/D/900/1999 (2002).</w:t>
      </w:r>
    </w:p>
  </w:endnote>
  <w:endnote w:id="8">
    <w:p w14:paraId="7ED2D15B" w14:textId="54CFA256"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i/>
          <w:sz w:val="20"/>
        </w:rPr>
        <w:t>C v Australia</w:t>
      </w:r>
      <w:r w:rsidRPr="008C0E4E">
        <w:rPr>
          <w:sz w:val="20"/>
        </w:rPr>
        <w:t>, Communication No. 900</w:t>
      </w:r>
      <w:r w:rsidR="000F158E">
        <w:rPr>
          <w:sz w:val="20"/>
        </w:rPr>
        <w:t>/</w:t>
      </w:r>
      <w:r w:rsidRPr="008C0E4E">
        <w:rPr>
          <w:sz w:val="20"/>
        </w:rPr>
        <w:t xml:space="preserve">1999, UN Doc CCPR/C/76/D/900/1999 (2002); </w:t>
      </w:r>
      <w:r w:rsidRPr="008C0E4E">
        <w:rPr>
          <w:i/>
          <w:sz w:val="20"/>
        </w:rPr>
        <w:t xml:space="preserve">Shams &amp; </w:t>
      </w:r>
      <w:proofErr w:type="spellStart"/>
      <w:r w:rsidRPr="008C0E4E">
        <w:rPr>
          <w:i/>
          <w:sz w:val="20"/>
        </w:rPr>
        <w:t>Ors</w:t>
      </w:r>
      <w:proofErr w:type="spellEnd"/>
      <w:r w:rsidRPr="008C0E4E">
        <w:rPr>
          <w:i/>
          <w:sz w:val="20"/>
        </w:rPr>
        <w:t xml:space="preserve"> v Australia</w:t>
      </w:r>
      <w:r w:rsidRPr="008C0E4E">
        <w:rPr>
          <w:sz w:val="20"/>
        </w:rPr>
        <w:t xml:space="preserve">, </w:t>
      </w:r>
      <w:r w:rsidRPr="008C0E4E">
        <w:rPr>
          <w:rFonts w:cs="Arial"/>
          <w:sz w:val="20"/>
        </w:rPr>
        <w:t>Communication</w:t>
      </w:r>
      <w:r w:rsidRPr="008C0E4E">
        <w:rPr>
          <w:sz w:val="20"/>
        </w:rPr>
        <w:t xml:space="preserve"> No. 1255 of 2004, UN Doc CCPR/C/90/D/1255/2004 (2007); </w:t>
      </w:r>
      <w:proofErr w:type="spellStart"/>
      <w:r w:rsidRPr="008C0E4E">
        <w:rPr>
          <w:i/>
          <w:sz w:val="20"/>
        </w:rPr>
        <w:t>Baban</w:t>
      </w:r>
      <w:proofErr w:type="spellEnd"/>
      <w:r w:rsidRPr="008C0E4E">
        <w:rPr>
          <w:i/>
          <w:sz w:val="20"/>
        </w:rPr>
        <w:t xml:space="preserve"> v Australia</w:t>
      </w:r>
      <w:r w:rsidRPr="008C0E4E">
        <w:rPr>
          <w:sz w:val="20"/>
        </w:rPr>
        <w:t>, Communication No. 1014 of 2001, UN Doc CCPR/C/78/D/1014/2001 (2003);</w:t>
      </w:r>
      <w:r w:rsidRPr="008C0E4E">
        <w:rPr>
          <w:i/>
          <w:sz w:val="20"/>
        </w:rPr>
        <w:t xml:space="preserve"> D and E v </w:t>
      </w:r>
      <w:r w:rsidRPr="008C0E4E">
        <w:rPr>
          <w:sz w:val="20"/>
        </w:rPr>
        <w:t>Australia, Communication No. 1050 of 2002, UN Doc CCPR/C/87/D/1050/2002 (2006).</w:t>
      </w:r>
    </w:p>
  </w:endnote>
  <w:endnote w:id="9">
    <w:p w14:paraId="78B68A43" w14:textId="314394FD"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0063674F" w:rsidRPr="0063674F">
        <w:rPr>
          <w:sz w:val="20"/>
        </w:rPr>
        <w:t>United Nations Human Rights Committee,</w:t>
      </w:r>
      <w:r w:rsidRPr="008C0E4E">
        <w:rPr>
          <w:sz w:val="20"/>
        </w:rPr>
        <w:t xml:space="preserve"> General Comment 35 (2014) </w:t>
      </w:r>
      <w:r w:rsidRPr="008C0E4E">
        <w:rPr>
          <w:i/>
          <w:sz w:val="20"/>
        </w:rPr>
        <w:t>Article 9: Liberty and security of person (Advance Unedited Version)</w:t>
      </w:r>
      <w:r w:rsidRPr="008C0E4E">
        <w:rPr>
          <w:sz w:val="20"/>
        </w:rPr>
        <w:t>, UN Doc</w:t>
      </w:r>
      <w:r w:rsidRPr="008C0E4E">
        <w:rPr>
          <w:i/>
          <w:sz w:val="20"/>
        </w:rPr>
        <w:t xml:space="preserve"> </w:t>
      </w:r>
      <w:r w:rsidR="00FE2F1F">
        <w:rPr>
          <w:sz w:val="20"/>
        </w:rPr>
        <w:t xml:space="preserve">CCPR/C/GC/35 (2014), </w:t>
      </w:r>
      <w:r w:rsidRPr="008C0E4E">
        <w:rPr>
          <w:sz w:val="20"/>
        </w:rPr>
        <w:t>[18].</w:t>
      </w:r>
    </w:p>
  </w:endnote>
  <w:endnote w:id="10">
    <w:p w14:paraId="0DE33670" w14:textId="03F0E1A6"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0063674F" w:rsidRPr="0063674F">
        <w:rPr>
          <w:sz w:val="20"/>
        </w:rPr>
        <w:t>United Nations Human Rights Committee,</w:t>
      </w:r>
      <w:r w:rsidRPr="008C0E4E">
        <w:rPr>
          <w:sz w:val="20"/>
        </w:rPr>
        <w:t xml:space="preserve"> General Comment 35 (2014) </w:t>
      </w:r>
      <w:r w:rsidRPr="008C0E4E">
        <w:rPr>
          <w:i/>
          <w:sz w:val="20"/>
        </w:rPr>
        <w:t>Article 9: Liberty and security of person (Advance Unedited Version)</w:t>
      </w:r>
      <w:r w:rsidRPr="008C0E4E">
        <w:rPr>
          <w:sz w:val="20"/>
        </w:rPr>
        <w:t>, UN Doc</w:t>
      </w:r>
      <w:r w:rsidRPr="008C0E4E">
        <w:rPr>
          <w:i/>
          <w:sz w:val="20"/>
        </w:rPr>
        <w:t xml:space="preserve"> </w:t>
      </w:r>
      <w:r w:rsidR="00FE2F1F">
        <w:rPr>
          <w:sz w:val="20"/>
        </w:rPr>
        <w:t xml:space="preserve">CCPR/C/GC/35 (2014), </w:t>
      </w:r>
      <w:r w:rsidRPr="008C0E4E">
        <w:rPr>
          <w:sz w:val="20"/>
        </w:rPr>
        <w:t>[18].</w:t>
      </w:r>
    </w:p>
  </w:endnote>
  <w:endnote w:id="11">
    <w:p w14:paraId="60AC112C" w14:textId="53080BA8" w:rsidR="008C0E4E" w:rsidRPr="008C0E4E" w:rsidRDefault="008C0E4E" w:rsidP="00ED42DF">
      <w:pPr>
        <w:pStyle w:val="EndnoteText"/>
        <w:spacing w:before="0" w:after="0"/>
        <w:ind w:left="567" w:hanging="567"/>
        <w:rPr>
          <w:rFonts w:cs="Arial"/>
          <w:sz w:val="20"/>
        </w:rPr>
      </w:pPr>
      <w:r w:rsidRPr="008C0E4E">
        <w:rPr>
          <w:rStyle w:val="EndnoteReference"/>
          <w:rFonts w:cs="Arial"/>
        </w:rPr>
        <w:endnoteRef/>
      </w:r>
      <w:r w:rsidRPr="008C0E4E">
        <w:rPr>
          <w:rFonts w:cs="Arial"/>
          <w:sz w:val="20"/>
        </w:rPr>
        <w:t xml:space="preserve"> </w:t>
      </w:r>
      <w:r w:rsidRPr="008C0E4E">
        <w:rPr>
          <w:rFonts w:cs="Arial"/>
          <w:sz w:val="20"/>
        </w:rPr>
        <w:tab/>
      </w:r>
      <w:proofErr w:type="spellStart"/>
      <w:r w:rsidRPr="008C0E4E">
        <w:rPr>
          <w:rFonts w:cs="Arial"/>
          <w:i/>
          <w:sz w:val="20"/>
        </w:rPr>
        <w:t>Jalloh</w:t>
      </w:r>
      <w:proofErr w:type="spellEnd"/>
      <w:r w:rsidRPr="008C0E4E">
        <w:rPr>
          <w:rFonts w:cs="Arial"/>
          <w:i/>
          <w:sz w:val="20"/>
        </w:rPr>
        <w:t xml:space="preserve"> v The Netherlands</w:t>
      </w:r>
      <w:r w:rsidRPr="008C0E4E">
        <w:rPr>
          <w:rFonts w:cs="Arial"/>
          <w:sz w:val="20"/>
        </w:rPr>
        <w:t xml:space="preserve"> Communication No 794 of 1998</w:t>
      </w:r>
      <w:r w:rsidR="002760E9">
        <w:rPr>
          <w:rFonts w:cs="Arial"/>
          <w:sz w:val="20"/>
        </w:rPr>
        <w:t xml:space="preserve"> (2002)</w:t>
      </w:r>
      <w:r w:rsidRPr="008C0E4E">
        <w:rPr>
          <w:rFonts w:cs="Arial"/>
          <w:sz w:val="20"/>
        </w:rPr>
        <w:t xml:space="preserve">, UN Doc CCPR/C/74/D/794/1998; </w:t>
      </w:r>
      <w:proofErr w:type="spellStart"/>
      <w:r w:rsidRPr="008C0E4E">
        <w:rPr>
          <w:rFonts w:cs="Arial"/>
          <w:i/>
          <w:sz w:val="20"/>
          <w:lang w:val="en-US"/>
        </w:rPr>
        <w:t>Baban</w:t>
      </w:r>
      <w:proofErr w:type="spellEnd"/>
      <w:r w:rsidRPr="008C0E4E">
        <w:rPr>
          <w:rFonts w:cs="Arial"/>
          <w:i/>
          <w:sz w:val="20"/>
          <w:lang w:val="en-US"/>
        </w:rPr>
        <w:t xml:space="preserve"> v Australia </w:t>
      </w:r>
      <w:r w:rsidRPr="008C0E4E">
        <w:rPr>
          <w:rFonts w:cs="Arial"/>
          <w:sz w:val="20"/>
        </w:rPr>
        <w:t xml:space="preserve">Communication No 1014 of 2001, </w:t>
      </w:r>
      <w:r w:rsidRPr="008C0E4E">
        <w:rPr>
          <w:rFonts w:cs="Arial"/>
          <w:sz w:val="20"/>
          <w:lang w:val="en-US"/>
        </w:rPr>
        <w:t>UN Doc CCPR/C/78/D/1014/2001</w:t>
      </w:r>
      <w:r w:rsidR="002760E9">
        <w:rPr>
          <w:rFonts w:cs="Arial"/>
          <w:sz w:val="20"/>
          <w:lang w:val="en-US"/>
        </w:rPr>
        <w:t xml:space="preserve"> (2003)</w:t>
      </w:r>
      <w:r w:rsidRPr="008C0E4E">
        <w:rPr>
          <w:rFonts w:cs="Arial"/>
          <w:sz w:val="20"/>
          <w:lang w:val="en-US"/>
        </w:rPr>
        <w:t>.</w:t>
      </w:r>
    </w:p>
  </w:endnote>
  <w:endnote w:id="12">
    <w:p w14:paraId="441B9E73" w14:textId="77777777" w:rsidR="008C0E4E" w:rsidRPr="008C0E4E" w:rsidRDefault="008C0E4E" w:rsidP="00ED42DF">
      <w:pPr>
        <w:pStyle w:val="EndnoteText"/>
        <w:spacing w:before="0" w:after="0"/>
        <w:ind w:left="567" w:hanging="567"/>
        <w:rPr>
          <w:rStyle w:val="EndnoteReference"/>
          <w:rFonts w:cs="Arial"/>
          <w:vertAlign w:val="baseline"/>
        </w:rPr>
      </w:pPr>
      <w:r w:rsidRPr="008C0E4E">
        <w:rPr>
          <w:rStyle w:val="EndnoteReference"/>
          <w:rFonts w:cs="Arial"/>
        </w:rPr>
        <w:endnoteRef/>
      </w:r>
      <w:r w:rsidRPr="008C0E4E">
        <w:rPr>
          <w:rStyle w:val="EndnoteReference"/>
          <w:rFonts w:cs="Arial"/>
        </w:rPr>
        <w:t xml:space="preserve"> </w:t>
      </w:r>
      <w:r w:rsidRPr="008C0E4E">
        <w:rPr>
          <w:rStyle w:val="EndnoteReference"/>
          <w:rFonts w:cs="Arial"/>
        </w:rPr>
        <w:tab/>
      </w:r>
      <w:r w:rsidRPr="008C0E4E">
        <w:rPr>
          <w:rStyle w:val="EndnoteReference"/>
          <w:rFonts w:cs="Arial"/>
          <w:vertAlign w:val="baseline"/>
        </w:rPr>
        <w:t>AHRC Act s 29(2)(a).</w:t>
      </w:r>
    </w:p>
  </w:endnote>
  <w:endnote w:id="13">
    <w:p w14:paraId="729A76F8" w14:textId="77777777" w:rsidR="008C0E4E" w:rsidRPr="008C0E4E" w:rsidRDefault="008C0E4E" w:rsidP="00ED42DF">
      <w:pPr>
        <w:pStyle w:val="EndnoteText"/>
        <w:spacing w:before="0" w:after="0"/>
        <w:ind w:left="567" w:hanging="567"/>
        <w:rPr>
          <w:rStyle w:val="EndnoteReference"/>
          <w:rFonts w:cs="Arial"/>
          <w:vertAlign w:val="baseline"/>
        </w:rPr>
      </w:pPr>
      <w:r w:rsidRPr="008C0E4E">
        <w:rPr>
          <w:rStyle w:val="EndnoteReference"/>
          <w:rFonts w:cs="Arial"/>
        </w:rPr>
        <w:endnoteRef/>
      </w:r>
      <w:r w:rsidRPr="008C0E4E">
        <w:rPr>
          <w:rStyle w:val="EndnoteReference"/>
          <w:rFonts w:cs="Arial"/>
        </w:rPr>
        <w:t xml:space="preserve"> </w:t>
      </w:r>
      <w:r w:rsidRPr="008C0E4E">
        <w:rPr>
          <w:rStyle w:val="EndnoteReference"/>
          <w:rFonts w:cs="Arial"/>
        </w:rPr>
        <w:tab/>
      </w:r>
      <w:r w:rsidRPr="008C0E4E">
        <w:rPr>
          <w:rStyle w:val="EndnoteReference"/>
          <w:rFonts w:cs="Arial"/>
          <w:vertAlign w:val="baseline"/>
        </w:rPr>
        <w:t>AHRC Act s 29(2)(b).</w:t>
      </w:r>
    </w:p>
  </w:endnote>
  <w:endnote w:id="14">
    <w:p w14:paraId="2AD2F617" w14:textId="77777777" w:rsidR="008C0E4E" w:rsidRPr="008C0E4E" w:rsidRDefault="008C0E4E" w:rsidP="00ED42DF">
      <w:pPr>
        <w:pStyle w:val="EndnoteText"/>
        <w:spacing w:before="0" w:after="0"/>
        <w:ind w:left="567" w:hanging="567"/>
        <w:rPr>
          <w:rStyle w:val="EndnoteReference"/>
          <w:rFonts w:cs="Arial"/>
          <w:vertAlign w:val="baseline"/>
        </w:rPr>
      </w:pPr>
      <w:r w:rsidRPr="008C0E4E">
        <w:rPr>
          <w:rStyle w:val="EndnoteReference"/>
          <w:rFonts w:cs="Arial"/>
        </w:rPr>
        <w:endnoteRef/>
      </w:r>
      <w:r w:rsidRPr="008C0E4E">
        <w:rPr>
          <w:rStyle w:val="EndnoteReference"/>
          <w:rFonts w:cs="Arial"/>
        </w:rPr>
        <w:t xml:space="preserve"> </w:t>
      </w:r>
      <w:r w:rsidRPr="008C0E4E">
        <w:rPr>
          <w:rStyle w:val="EndnoteReference"/>
          <w:rFonts w:cs="Arial"/>
        </w:rPr>
        <w:tab/>
      </w:r>
      <w:r w:rsidRPr="008C0E4E">
        <w:rPr>
          <w:rStyle w:val="EndnoteReference"/>
          <w:rFonts w:cs="Arial"/>
          <w:vertAlign w:val="baseline"/>
        </w:rPr>
        <w:t>AHRC Act s 29(2)(c).</w:t>
      </w:r>
    </w:p>
  </w:endnote>
  <w:endnote w:id="15">
    <w:p w14:paraId="7A379CB4" w14:textId="77777777"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proofErr w:type="spellStart"/>
      <w:r w:rsidRPr="008C0E4E">
        <w:rPr>
          <w:i/>
          <w:sz w:val="20"/>
        </w:rPr>
        <w:t>Cassell</w:t>
      </w:r>
      <w:proofErr w:type="spellEnd"/>
      <w:r w:rsidRPr="008C0E4E">
        <w:rPr>
          <w:i/>
          <w:sz w:val="20"/>
        </w:rPr>
        <w:t xml:space="preserve"> &amp; Co Ltd v Broome</w:t>
      </w:r>
      <w:r w:rsidRPr="008C0E4E">
        <w:rPr>
          <w:sz w:val="20"/>
        </w:rPr>
        <w:t xml:space="preserve"> (1972) AC 1027, 1124; </w:t>
      </w:r>
      <w:proofErr w:type="spellStart"/>
      <w:r w:rsidRPr="008C0E4E">
        <w:rPr>
          <w:i/>
          <w:sz w:val="20"/>
        </w:rPr>
        <w:t>Spautz</w:t>
      </w:r>
      <w:proofErr w:type="spellEnd"/>
      <w:r w:rsidRPr="008C0E4E">
        <w:rPr>
          <w:i/>
          <w:sz w:val="20"/>
        </w:rPr>
        <w:t xml:space="preserve"> v Butterworth &amp; Anor</w:t>
      </w:r>
      <w:r w:rsidRPr="008C0E4E">
        <w:rPr>
          <w:sz w:val="20"/>
        </w:rPr>
        <w:t xml:space="preserve"> (1996) 41 NSWLR 1 (</w:t>
      </w:r>
      <w:r w:rsidRPr="008C0E4E">
        <w:rPr>
          <w:rFonts w:cs="Arial"/>
          <w:i/>
          <w:sz w:val="20"/>
        </w:rPr>
        <w:t>Clarke</w:t>
      </w:r>
      <w:r w:rsidRPr="008C0E4E">
        <w:rPr>
          <w:sz w:val="20"/>
        </w:rPr>
        <w:t xml:space="preserve"> JA); </w:t>
      </w:r>
      <w:proofErr w:type="spellStart"/>
      <w:r w:rsidRPr="008C0E4E">
        <w:rPr>
          <w:i/>
          <w:sz w:val="20"/>
        </w:rPr>
        <w:t>Vignoli</w:t>
      </w:r>
      <w:proofErr w:type="spellEnd"/>
      <w:r w:rsidRPr="008C0E4E">
        <w:rPr>
          <w:i/>
          <w:sz w:val="20"/>
        </w:rPr>
        <w:t xml:space="preserve"> v Sydney Harbour Casino</w:t>
      </w:r>
      <w:r w:rsidRPr="008C0E4E">
        <w:rPr>
          <w:sz w:val="20"/>
        </w:rPr>
        <w:t xml:space="preserve"> [1999] NSWSC 1113 (22 November 1999), [87].</w:t>
      </w:r>
    </w:p>
  </w:endnote>
  <w:endnote w:id="16">
    <w:p w14:paraId="4283A91D" w14:textId="77777777"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t xml:space="preserve">[2013] </w:t>
      </w:r>
      <w:r w:rsidRPr="008C0E4E">
        <w:rPr>
          <w:rFonts w:cs="Arial"/>
          <w:i/>
          <w:sz w:val="20"/>
        </w:rPr>
        <w:t>FCA</w:t>
      </w:r>
      <w:r w:rsidRPr="008C0E4E">
        <w:rPr>
          <w:sz w:val="20"/>
        </w:rPr>
        <w:t xml:space="preserve"> 901.</w:t>
      </w:r>
    </w:p>
  </w:endnote>
  <w:endnote w:id="17">
    <w:p w14:paraId="4FFBA3F6" w14:textId="77777777"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t xml:space="preserve">[2003] </w:t>
      </w:r>
      <w:r w:rsidRPr="008C0E4E">
        <w:rPr>
          <w:rFonts w:cs="Arial"/>
          <w:i/>
          <w:sz w:val="20"/>
        </w:rPr>
        <w:t>NSWSC</w:t>
      </w:r>
      <w:r w:rsidRPr="008C0E4E">
        <w:rPr>
          <w:sz w:val="20"/>
        </w:rPr>
        <w:t xml:space="preserve"> 1212.</w:t>
      </w:r>
    </w:p>
  </w:endnote>
  <w:endnote w:id="18">
    <w:p w14:paraId="03CDF9D3" w14:textId="16409DC6" w:rsidR="008C0E4E" w:rsidRPr="008C0E4E" w:rsidRDefault="008C0E4E" w:rsidP="00ED42DF">
      <w:pPr>
        <w:pStyle w:val="EndnoteText"/>
        <w:spacing w:before="0" w:after="0"/>
        <w:ind w:left="567" w:hanging="567"/>
        <w:rPr>
          <w:sz w:val="20"/>
        </w:rPr>
      </w:pPr>
      <w:r w:rsidRPr="008C0E4E">
        <w:rPr>
          <w:rStyle w:val="EndnoteReference"/>
        </w:rPr>
        <w:endnoteRef/>
      </w:r>
      <w:r w:rsidR="008D6DDA">
        <w:rPr>
          <w:sz w:val="20"/>
        </w:rPr>
        <w:t xml:space="preserve"> </w:t>
      </w:r>
      <w:r w:rsidR="008D6DDA">
        <w:rPr>
          <w:sz w:val="20"/>
        </w:rPr>
        <w:tab/>
        <w:t>[2013] FCA 901,</w:t>
      </w:r>
      <w:r w:rsidRPr="008C0E4E">
        <w:rPr>
          <w:sz w:val="20"/>
        </w:rPr>
        <w:t xml:space="preserve"> [121].</w:t>
      </w:r>
    </w:p>
  </w:endnote>
  <w:endnote w:id="19">
    <w:p w14:paraId="0FF5C4E2" w14:textId="77777777"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rFonts w:cs="Arial"/>
          <w:i/>
          <w:sz w:val="20"/>
        </w:rPr>
        <w:t>Ruddock</w:t>
      </w:r>
      <w:r w:rsidRPr="008C0E4E">
        <w:rPr>
          <w:i/>
          <w:sz w:val="20"/>
        </w:rPr>
        <w:t xml:space="preserve"> v Taylor </w:t>
      </w:r>
      <w:r w:rsidRPr="008C0E4E">
        <w:rPr>
          <w:sz w:val="20"/>
        </w:rPr>
        <w:t>(2003) 58 NSWLR 269.</w:t>
      </w:r>
    </w:p>
  </w:endnote>
  <w:endnote w:id="20">
    <w:p w14:paraId="628ED28A" w14:textId="77777777"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i/>
          <w:sz w:val="20"/>
        </w:rPr>
        <w:t xml:space="preserve">Taylor v </w:t>
      </w:r>
      <w:r w:rsidRPr="008C0E4E">
        <w:rPr>
          <w:rFonts w:cs="Arial"/>
          <w:i/>
          <w:sz w:val="20"/>
        </w:rPr>
        <w:t>Ruddock</w:t>
      </w:r>
      <w:r w:rsidRPr="008C0E4E">
        <w:rPr>
          <w:sz w:val="20"/>
        </w:rPr>
        <w:t xml:space="preserve"> (unreported, 18 December 2002, NSW District Court (Murrell DCJ)).</w:t>
      </w:r>
    </w:p>
  </w:endnote>
  <w:endnote w:id="21">
    <w:p w14:paraId="1C2FDA11" w14:textId="733AB8ED"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i/>
          <w:sz w:val="20"/>
        </w:rPr>
        <w:t xml:space="preserve">Taylor v </w:t>
      </w:r>
      <w:r w:rsidRPr="008C0E4E">
        <w:rPr>
          <w:rFonts w:cs="Arial"/>
          <w:i/>
          <w:sz w:val="20"/>
        </w:rPr>
        <w:t>Ruddock</w:t>
      </w:r>
      <w:r w:rsidRPr="008C0E4E">
        <w:rPr>
          <w:sz w:val="20"/>
        </w:rPr>
        <w:t xml:space="preserve"> (unreported, 18 December 2002, NSW District Court (Murrell DCJ))</w:t>
      </w:r>
      <w:r w:rsidR="00447FE9">
        <w:rPr>
          <w:sz w:val="20"/>
        </w:rPr>
        <w:t>,</w:t>
      </w:r>
      <w:r w:rsidRPr="008C0E4E">
        <w:rPr>
          <w:sz w:val="20"/>
        </w:rPr>
        <w:t xml:space="preserve"> [140].</w:t>
      </w:r>
    </w:p>
  </w:endnote>
  <w:endnote w:id="22">
    <w:p w14:paraId="72CD8129" w14:textId="77777777"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i/>
          <w:sz w:val="20"/>
        </w:rPr>
        <w:t>Ruddock v Taylor</w:t>
      </w:r>
      <w:r w:rsidRPr="008C0E4E">
        <w:rPr>
          <w:sz w:val="20"/>
        </w:rPr>
        <w:t xml:space="preserve"> [2003] 58 NSWLR 269, 279.</w:t>
      </w:r>
    </w:p>
  </w:endnote>
  <w:endnote w:id="23">
    <w:p w14:paraId="50E0EA92" w14:textId="77777777" w:rsidR="008C0E4E" w:rsidRPr="008C0E4E" w:rsidRDefault="008C0E4E" w:rsidP="00ED42DF">
      <w:pPr>
        <w:pStyle w:val="EndnoteText"/>
        <w:spacing w:before="0" w:after="0"/>
        <w:ind w:left="582" w:hangingChars="291" w:hanging="582"/>
        <w:rPr>
          <w:i/>
          <w:sz w:val="20"/>
        </w:rPr>
      </w:pPr>
      <w:r w:rsidRPr="008C0E4E">
        <w:rPr>
          <w:rStyle w:val="EndnoteReference"/>
        </w:rPr>
        <w:endnoteRef/>
      </w:r>
      <w:r w:rsidRPr="008C0E4E">
        <w:rPr>
          <w:sz w:val="20"/>
        </w:rPr>
        <w:t xml:space="preserve"> </w:t>
      </w:r>
      <w:r w:rsidRPr="008C0E4E">
        <w:rPr>
          <w:sz w:val="20"/>
        </w:rPr>
        <w:tab/>
      </w:r>
      <w:r w:rsidRPr="008C0E4E">
        <w:rPr>
          <w:i/>
          <w:sz w:val="20"/>
        </w:rPr>
        <w:t>Ruddock v Taylor</w:t>
      </w:r>
      <w:r w:rsidRPr="008C0E4E">
        <w:rPr>
          <w:sz w:val="20"/>
        </w:rPr>
        <w:t xml:space="preserve"> [2003] 58 NSWLR 269, 279.</w:t>
      </w:r>
    </w:p>
  </w:endnote>
  <w:endnote w:id="24">
    <w:p w14:paraId="5F93B36F" w14:textId="1F4BA7BB" w:rsidR="008C0E4E" w:rsidRPr="008C0E4E" w:rsidRDefault="008C0E4E" w:rsidP="00ED42DF">
      <w:pPr>
        <w:pStyle w:val="EndnoteText"/>
        <w:spacing w:before="0" w:after="0"/>
        <w:ind w:left="582" w:hangingChars="291" w:hanging="582"/>
        <w:rPr>
          <w:sz w:val="20"/>
        </w:rPr>
      </w:pPr>
      <w:r w:rsidRPr="008C0E4E">
        <w:rPr>
          <w:rStyle w:val="EndnoteReference"/>
        </w:rPr>
        <w:endnoteRef/>
      </w:r>
      <w:r w:rsidRPr="008C0E4E">
        <w:rPr>
          <w:sz w:val="20"/>
        </w:rPr>
        <w:t xml:space="preserve"> </w:t>
      </w:r>
      <w:r w:rsidRPr="008C0E4E">
        <w:rPr>
          <w:sz w:val="20"/>
        </w:rPr>
        <w:tab/>
      </w:r>
      <w:r w:rsidRPr="008C0E4E">
        <w:rPr>
          <w:sz w:val="20"/>
          <w:lang w:val="en-US" w:eastAsia="en-AU"/>
        </w:rPr>
        <w:t xml:space="preserve">The court awarded nominal damages of one dollar for the unlawful detention of Mr Fernando because as a non-citizen, once he committed a serious crime, he was always liable to have his visa cancelled: </w:t>
      </w:r>
      <w:r w:rsidRPr="008C0E4E">
        <w:rPr>
          <w:rStyle w:val="EndnoteReference"/>
          <w:vertAlign w:val="baseline"/>
        </w:rPr>
        <w:t>Fernando</w:t>
      </w:r>
      <w:r w:rsidRPr="008C0E4E">
        <w:rPr>
          <w:i/>
          <w:sz w:val="20"/>
          <w:lang w:val="en-US" w:eastAsia="en-AU"/>
        </w:rPr>
        <w:t xml:space="preserve"> v Commonwealth of Australia</w:t>
      </w:r>
      <w:r w:rsidRPr="008C0E4E">
        <w:rPr>
          <w:sz w:val="20"/>
          <w:lang w:val="en-US" w:eastAsia="en-AU"/>
        </w:rPr>
        <w:t xml:space="preserve"> (No 5)</w:t>
      </w:r>
      <w:r w:rsidRPr="008C0E4E">
        <w:rPr>
          <w:sz w:val="20"/>
          <w:lang w:eastAsia="en-AU"/>
        </w:rPr>
        <w:t xml:space="preserve"> [2013] FCA 901</w:t>
      </w:r>
      <w:r w:rsidR="00AE5D4D">
        <w:rPr>
          <w:sz w:val="20"/>
          <w:lang w:eastAsia="en-AU"/>
        </w:rPr>
        <w:t>,</w:t>
      </w:r>
      <w:r w:rsidRPr="008C0E4E">
        <w:rPr>
          <w:sz w:val="20"/>
          <w:lang w:eastAsia="en-AU"/>
        </w:rPr>
        <w:t xml:space="preserve"> [98]-[99].</w:t>
      </w:r>
    </w:p>
  </w:endnote>
  <w:endnote w:id="25">
    <w:p w14:paraId="4057A5B5" w14:textId="0A75A10B" w:rsidR="008C0E4E" w:rsidRPr="008C0E4E" w:rsidRDefault="008C0E4E" w:rsidP="00ED42DF">
      <w:pPr>
        <w:pStyle w:val="EndnoteText"/>
        <w:spacing w:before="0" w:after="0"/>
        <w:ind w:left="567" w:hanging="567"/>
        <w:rPr>
          <w:sz w:val="20"/>
        </w:rPr>
      </w:pPr>
      <w:r w:rsidRPr="008C0E4E">
        <w:rPr>
          <w:rStyle w:val="EndnoteReference"/>
        </w:rPr>
        <w:endnoteRef/>
      </w:r>
      <w:r w:rsidR="004C4298">
        <w:rPr>
          <w:rFonts w:cs="Arial"/>
          <w:i/>
          <w:sz w:val="20"/>
        </w:rPr>
        <w:tab/>
      </w:r>
      <w:r w:rsidRPr="008C0E4E">
        <w:rPr>
          <w:rFonts w:cs="Arial"/>
          <w:i/>
          <w:sz w:val="20"/>
        </w:rPr>
        <w:t>Fernando</w:t>
      </w:r>
      <w:r w:rsidRPr="008C0E4E">
        <w:rPr>
          <w:i/>
          <w:sz w:val="20"/>
        </w:rPr>
        <w:t xml:space="preserve"> v Commonwealth of Australia </w:t>
      </w:r>
      <w:r w:rsidR="004139B1">
        <w:rPr>
          <w:sz w:val="20"/>
        </w:rPr>
        <w:t>[2014] FCAFC 181</w:t>
      </w:r>
      <w:r w:rsidR="00AE5D4D">
        <w:rPr>
          <w:sz w:val="20"/>
        </w:rPr>
        <w:t>,</w:t>
      </w:r>
      <w:r w:rsidR="004139B1">
        <w:rPr>
          <w:sz w:val="20"/>
        </w:rPr>
        <w:t xml:space="preserve"> [113].</w:t>
      </w:r>
    </w:p>
  </w:endnote>
  <w:endnote w:id="26">
    <w:p w14:paraId="7D7CD84F" w14:textId="63BE46E2"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i/>
          <w:sz w:val="20"/>
        </w:rPr>
        <w:t xml:space="preserve">Bligh, Coutts, Coutts, Foster, </w:t>
      </w:r>
      <w:proofErr w:type="spellStart"/>
      <w:r w:rsidRPr="008C0E4E">
        <w:rPr>
          <w:i/>
          <w:sz w:val="20"/>
        </w:rPr>
        <w:t>Lenoy</w:t>
      </w:r>
      <w:proofErr w:type="spellEnd"/>
      <w:r w:rsidRPr="008C0E4E">
        <w:rPr>
          <w:i/>
          <w:sz w:val="20"/>
        </w:rPr>
        <w:t xml:space="preserve">, Sibley, Sibley and Palmer v State of Queensland </w:t>
      </w:r>
      <w:r w:rsidRPr="008C0E4E">
        <w:rPr>
          <w:sz w:val="20"/>
        </w:rPr>
        <w:t xml:space="preserve">[1996] </w:t>
      </w:r>
      <w:r w:rsidRPr="008C0E4E">
        <w:rPr>
          <w:rFonts w:cs="Arial"/>
          <w:sz w:val="20"/>
        </w:rPr>
        <w:t>HREOC</w:t>
      </w:r>
      <w:r w:rsidR="004139B1">
        <w:rPr>
          <w:sz w:val="20"/>
        </w:rPr>
        <w:t xml:space="preserve"> 28.</w:t>
      </w:r>
    </w:p>
  </w:endnote>
  <w:endnote w:id="27">
    <w:p w14:paraId="39833A72" w14:textId="3EB342D3" w:rsidR="008C0E4E" w:rsidRPr="008C0E4E" w:rsidRDefault="008C0E4E" w:rsidP="00ED42DF">
      <w:pPr>
        <w:pStyle w:val="EndnoteText"/>
        <w:spacing w:before="0" w:after="0"/>
        <w:ind w:left="567" w:hanging="567"/>
        <w:rPr>
          <w:sz w:val="20"/>
        </w:rPr>
      </w:pPr>
      <w:r w:rsidRPr="008C0E4E">
        <w:rPr>
          <w:rStyle w:val="EndnoteReference"/>
        </w:rPr>
        <w:endnoteRef/>
      </w:r>
      <w:r w:rsidRPr="008C0E4E">
        <w:rPr>
          <w:sz w:val="20"/>
        </w:rPr>
        <w:t xml:space="preserve"> </w:t>
      </w:r>
      <w:r w:rsidRPr="008C0E4E">
        <w:rPr>
          <w:sz w:val="20"/>
        </w:rPr>
        <w:tab/>
      </w:r>
      <w:r w:rsidRPr="008C0E4E">
        <w:rPr>
          <w:i/>
          <w:sz w:val="20"/>
        </w:rPr>
        <w:t xml:space="preserve">AW &amp; </w:t>
      </w:r>
      <w:proofErr w:type="spellStart"/>
      <w:r w:rsidRPr="008C0E4E">
        <w:rPr>
          <w:i/>
          <w:sz w:val="20"/>
        </w:rPr>
        <w:t>Ors</w:t>
      </w:r>
      <w:proofErr w:type="spellEnd"/>
      <w:r w:rsidRPr="008C0E4E">
        <w:rPr>
          <w:i/>
          <w:sz w:val="20"/>
        </w:rPr>
        <w:t xml:space="preserve"> v State of New South Wales </w:t>
      </w:r>
      <w:r w:rsidR="004139B1">
        <w:rPr>
          <w:sz w:val="20"/>
        </w:rPr>
        <w:t>[2005] NSWSC</w:t>
      </w:r>
      <w:bookmarkStart w:id="14" w:name="_GoBack"/>
      <w:bookmarkEnd w:id="14"/>
      <w:r w:rsidR="004139B1">
        <w:rPr>
          <w:sz w:val="20"/>
        </w:rPr>
        <w:t xml:space="preserve"> 534.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CYPlain">
    <w:altName w:val="Helvetica CY"/>
    <w:panose1 w:val="00000000000000000000"/>
    <w:charset w:val="CD"/>
    <w:family w:val="auto"/>
    <w:notTrueType/>
    <w:pitch w:val="default"/>
    <w:sig w:usb0="00000001" w:usb1="00000000" w:usb2="00000000" w:usb3="00000000" w:csb0="00000000"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7C80" w14:textId="77777777" w:rsidR="00126B4B" w:rsidRDefault="00126B4B">
    <w:pPr>
      <w:pStyle w:val="Footer"/>
    </w:pPr>
  </w:p>
  <w:p w14:paraId="28660F2C" w14:textId="77777777" w:rsidR="00126B4B" w:rsidRDefault="00126B4B" w:rsidP="00087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06323"/>
      <w:docPartObj>
        <w:docPartGallery w:val="Page Numbers (Bottom of Page)"/>
        <w:docPartUnique/>
      </w:docPartObj>
    </w:sdtPr>
    <w:sdtEndPr>
      <w:rPr>
        <w:noProof/>
      </w:rPr>
    </w:sdtEndPr>
    <w:sdtContent>
      <w:p w14:paraId="42DFDE44" w14:textId="77777777" w:rsidR="00821329" w:rsidRDefault="00821329">
        <w:pPr>
          <w:pStyle w:val="Footer"/>
        </w:pPr>
        <w:r>
          <w:fldChar w:fldCharType="begin"/>
        </w:r>
        <w:r>
          <w:instrText xml:space="preserve"> PAGE   \* MERGEFORMAT </w:instrText>
        </w:r>
        <w:r>
          <w:fldChar w:fldCharType="separate"/>
        </w:r>
        <w:r w:rsidR="00ED42DF">
          <w:rPr>
            <w:noProof/>
          </w:rPr>
          <w:t>10</w:t>
        </w:r>
        <w:r>
          <w:rPr>
            <w:noProof/>
          </w:rPr>
          <w:fldChar w:fldCharType="end"/>
        </w:r>
      </w:p>
    </w:sdtContent>
  </w:sdt>
  <w:p w14:paraId="215EA501" w14:textId="77777777" w:rsidR="00630A49" w:rsidRDefault="00630A49" w:rsidP="00087C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130C" w14:textId="77777777" w:rsidR="00126B4B" w:rsidRDefault="00126B4B" w:rsidP="00F14C6D">
      <w:r>
        <w:separator/>
      </w:r>
    </w:p>
  </w:footnote>
  <w:footnote w:type="continuationSeparator" w:id="0">
    <w:p w14:paraId="474B8EF5" w14:textId="77777777" w:rsidR="00126B4B" w:rsidRDefault="00126B4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D35BB" w14:textId="77777777" w:rsidR="00821329" w:rsidRDefault="0082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B76A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 w15:restartNumberingAfterBreak="0">
    <w:nsid w:val="02CE3BA9"/>
    <w:multiLevelType w:val="hybridMultilevel"/>
    <w:tmpl w:val="0F523E4A"/>
    <w:lvl w:ilvl="0" w:tplc="1278F81A">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15:restartNumberingAfterBreak="0">
    <w:nsid w:val="056520E0"/>
    <w:multiLevelType w:val="hybridMultilevel"/>
    <w:tmpl w:val="C2A60352"/>
    <w:lvl w:ilvl="0" w:tplc="1278F8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59F55DC"/>
    <w:multiLevelType w:val="hybridMultilevel"/>
    <w:tmpl w:val="1CF663B0"/>
    <w:lvl w:ilvl="0" w:tplc="0C090001">
      <w:start w:val="1"/>
      <w:numFmt w:val="decimal"/>
      <w:lvlText w:val="%1."/>
      <w:lvlJc w:val="left"/>
      <w:pPr>
        <w:tabs>
          <w:tab w:val="num" w:pos="720"/>
        </w:tabs>
        <w:ind w:left="720" w:hanging="720"/>
      </w:pPr>
      <w:rPr>
        <w:rFonts w:cs="Times New Roman" w:hint="default"/>
        <w:b w:val="0"/>
        <w:i w:val="0"/>
      </w:rPr>
    </w:lvl>
    <w:lvl w:ilvl="1" w:tplc="0C090019">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2074F"/>
    <w:multiLevelType w:val="hybridMultilevel"/>
    <w:tmpl w:val="36FA8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A412F1"/>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04069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E36AA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B01F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15:restartNumberingAfterBreak="0">
    <w:nsid w:val="297817C3"/>
    <w:multiLevelType w:val="multilevel"/>
    <w:tmpl w:val="95986B3E"/>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091"/>
        </w:tabs>
        <w:ind w:left="1091" w:hanging="851"/>
      </w:pPr>
      <w:rPr>
        <w:rFonts w:cs="Times New Roman"/>
      </w:rPr>
    </w:lvl>
    <w:lvl w:ilvl="2">
      <w:start w:val="1"/>
      <w:numFmt w:val="lowerLetter"/>
      <w:lvlText w:val="(%3)"/>
      <w:lvlJc w:val="left"/>
      <w:pPr>
        <w:tabs>
          <w:tab w:val="num" w:pos="851"/>
        </w:tabs>
        <w:ind w:left="851" w:hanging="851"/>
      </w:pPr>
      <w:rPr>
        <w:rFonts w:ascii="Arial" w:hAnsi="Arial" w:cs="Times New Roman" w:hint="default"/>
        <w:b w:val="0"/>
        <w:i w:val="0"/>
        <w:sz w:val="22"/>
        <w:szCs w:val="22"/>
      </w:rPr>
    </w:lvl>
    <w:lvl w:ilvl="3">
      <w:start w:val="1"/>
      <w:numFmt w:val="lowerRoman"/>
      <w:lvlText w:val="(%4)"/>
      <w:lvlJc w:val="left"/>
      <w:pPr>
        <w:tabs>
          <w:tab w:val="num" w:pos="851"/>
        </w:tabs>
        <w:ind w:left="851" w:hanging="851"/>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D2B7C8C"/>
    <w:multiLevelType w:val="hybridMultilevel"/>
    <w:tmpl w:val="5A223304"/>
    <w:lvl w:ilvl="0" w:tplc="1278F81A">
      <w:start w:val="1"/>
      <w:numFmt w:val="lowerLetter"/>
      <w:lvlText w:val="%1)"/>
      <w:lvlJc w:val="left"/>
      <w:pPr>
        <w:ind w:left="3240" w:hanging="360"/>
      </w:pPr>
      <w:rPr>
        <w:rFonts w:hint="default"/>
      </w:rPr>
    </w:lvl>
    <w:lvl w:ilvl="1" w:tplc="0C090019" w:tentative="1">
      <w:start w:val="1"/>
      <w:numFmt w:val="lowerLetter"/>
      <w:lvlText w:val="%2."/>
      <w:lvlJc w:val="left"/>
      <w:pPr>
        <w:ind w:left="2880" w:hanging="360"/>
      </w:pPr>
    </w:lvl>
    <w:lvl w:ilvl="2" w:tplc="0C090017">
      <w:start w:val="1"/>
      <w:numFmt w:val="lowerLetter"/>
      <w:lvlText w:val="%3)"/>
      <w:lvlJc w:val="lef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5" w15:restartNumberingAfterBreak="0">
    <w:nsid w:val="36EF40A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622EAA"/>
    <w:multiLevelType w:val="hybridMultilevel"/>
    <w:tmpl w:val="C27208B4"/>
    <w:lvl w:ilvl="0" w:tplc="FFFFFFFF">
      <w:start w:val="1"/>
      <w:numFmt w:val="bullet"/>
      <w:lvlText w:val=""/>
      <w:lvlJc w:val="left"/>
      <w:pPr>
        <w:tabs>
          <w:tab w:val="num" w:pos="1560"/>
        </w:tabs>
        <w:ind w:left="1560" w:hanging="360"/>
      </w:pPr>
      <w:rPr>
        <w:rFonts w:ascii="Symbol" w:hAnsi="Symbol" w:hint="default"/>
      </w:rPr>
    </w:lvl>
    <w:lvl w:ilvl="1" w:tplc="FFFFFFFF" w:tentative="1">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A080D16"/>
    <w:multiLevelType w:val="hybridMultilevel"/>
    <w:tmpl w:val="1E028DEE"/>
    <w:lvl w:ilvl="0" w:tplc="410CD2B6">
      <w:start w:val="1"/>
      <w:numFmt w:val="lowerLetter"/>
      <w:lvlText w:val="%1)"/>
      <w:lvlJc w:val="left"/>
      <w:pPr>
        <w:ind w:left="1778" w:hanging="360"/>
      </w:pPr>
      <w:rPr>
        <w:rFonts w:hint="default"/>
        <w:i/>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3C0846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35303D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F96599"/>
    <w:multiLevelType w:val="hybridMultilevel"/>
    <w:tmpl w:val="ED6AA4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9FF7A73"/>
    <w:multiLevelType w:val="multilevel"/>
    <w:tmpl w:val="E59ADEB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4A060E2D"/>
    <w:multiLevelType w:val="multilevel"/>
    <w:tmpl w:val="5B7AD06C"/>
    <w:lvl w:ilvl="0">
      <w:start w:val="1"/>
      <w:numFmt w:val="decimal"/>
      <w:lvlText w:val="%1)"/>
      <w:lvlJc w:val="left"/>
      <w:pPr>
        <w:ind w:left="360" w:hanging="360"/>
      </w:p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4F9C47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2D6A6C"/>
    <w:multiLevelType w:val="multilevel"/>
    <w:tmpl w:val="D85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0E4C5F"/>
    <w:multiLevelType w:val="hybridMultilevel"/>
    <w:tmpl w:val="3EFCDAC0"/>
    <w:lvl w:ilvl="0" w:tplc="04090001">
      <w:start w:val="1"/>
      <w:numFmt w:val="bullet"/>
      <w:lvlText w:val=""/>
      <w:lvlJc w:val="left"/>
      <w:pPr>
        <w:tabs>
          <w:tab w:val="num" w:pos="1080"/>
        </w:tabs>
        <w:ind w:left="1080" w:hanging="360"/>
      </w:pPr>
      <w:rPr>
        <w:rFonts w:ascii="Symbol" w:hAnsi="Symbol" w:hint="default"/>
        <w:b w:val="0"/>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57A34847"/>
    <w:multiLevelType w:val="hybridMultilevel"/>
    <w:tmpl w:val="F12EFC4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57A63896"/>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BC6057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E11E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9103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C962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127822"/>
    <w:multiLevelType w:val="hybridMultilevel"/>
    <w:tmpl w:val="9A7ADA3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975E7FA4">
      <w:start w:val="1"/>
      <w:numFmt w:val="decimal"/>
      <w:lvlText w:val="%4."/>
      <w:lvlJc w:val="left"/>
      <w:pPr>
        <w:tabs>
          <w:tab w:val="num" w:pos="360"/>
        </w:tabs>
        <w:ind w:left="360" w:hanging="360"/>
      </w:pPr>
      <w:rPr>
        <w:sz w:val="24"/>
        <w:szCs w:val="24"/>
      </w:rPr>
    </w:lvl>
    <w:lvl w:ilvl="4" w:tplc="92682ED2">
      <w:start w:val="2"/>
      <w:numFmt w:val="lowerLetter"/>
      <w:lvlText w:val="(%5)"/>
      <w:lvlJc w:val="left"/>
      <w:pPr>
        <w:tabs>
          <w:tab w:val="num" w:pos="3900"/>
        </w:tabs>
        <w:ind w:left="3900" w:hanging="660"/>
      </w:pPr>
      <w:rPr>
        <w:sz w:val="22"/>
        <w:szCs w:val="22"/>
      </w:rPr>
    </w:lvl>
    <w:lvl w:ilvl="5" w:tplc="0C09001B">
      <w:start w:val="1"/>
      <w:numFmt w:val="lowerRoman"/>
      <w:lvlText w:val="%6."/>
      <w:lvlJc w:val="right"/>
      <w:pPr>
        <w:tabs>
          <w:tab w:val="num" w:pos="4320"/>
        </w:tabs>
        <w:ind w:left="4320" w:hanging="180"/>
      </w:pPr>
      <w:rPr>
        <w:rFonts w:cs="Times New Roman"/>
      </w:rPr>
    </w:lvl>
    <w:lvl w:ilvl="6" w:tplc="9326C71A">
      <w:start w:val="1"/>
      <w:numFmt w:val="lowerLetter"/>
      <w:lvlText w:val="%7)"/>
      <w:lvlJc w:val="left"/>
      <w:pPr>
        <w:ind w:left="5040" w:hanging="360"/>
      </w:pPr>
      <w:rPr>
        <w:rFonts w:cs="Arial"/>
        <w:sz w:val="24"/>
      </w:rPr>
    </w:lvl>
    <w:lvl w:ilvl="7" w:tplc="AF0CDA88">
      <w:start w:val="1"/>
      <w:numFmt w:val="decimal"/>
      <w:lvlText w:val="(%8)"/>
      <w:lvlJc w:val="left"/>
      <w:pPr>
        <w:ind w:left="5760" w:hanging="360"/>
      </w:pPr>
    </w:lvl>
    <w:lvl w:ilvl="8" w:tplc="0C09001B">
      <w:start w:val="1"/>
      <w:numFmt w:val="lowerRoman"/>
      <w:lvlText w:val="%9."/>
      <w:lvlJc w:val="right"/>
      <w:pPr>
        <w:tabs>
          <w:tab w:val="num" w:pos="6480"/>
        </w:tabs>
        <w:ind w:left="6480" w:hanging="180"/>
      </w:pPr>
      <w:rPr>
        <w:rFonts w:cs="Times New Roman"/>
      </w:rPr>
    </w:lvl>
  </w:abstractNum>
  <w:abstractNum w:abstractNumId="36" w15:restartNumberingAfterBreak="0">
    <w:nsid w:val="652E535C"/>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6EB1AE6"/>
    <w:multiLevelType w:val="hybridMultilevel"/>
    <w:tmpl w:val="273ED4D8"/>
    <w:lvl w:ilvl="0" w:tplc="0C090017">
      <w:start w:val="1"/>
      <w:numFmt w:val="lowerLetter"/>
      <w:lvlText w:val="%1)"/>
      <w:lvlJc w:val="left"/>
      <w:pPr>
        <w:tabs>
          <w:tab w:val="num" w:pos="1440"/>
        </w:tabs>
        <w:ind w:left="1440" w:hanging="720"/>
      </w:pPr>
      <w:rPr>
        <w:rFonts w:hint="default"/>
        <w:b w:val="0"/>
        <w:i w:val="0"/>
      </w:rPr>
    </w:lvl>
    <w:lvl w:ilvl="1" w:tplc="0C09001B">
      <w:start w:val="1"/>
      <w:numFmt w:val="lowerRoman"/>
      <w:lvlText w:val="%2."/>
      <w:lvlJc w:val="right"/>
      <w:pPr>
        <w:tabs>
          <w:tab w:val="num" w:pos="2160"/>
        </w:tabs>
        <w:ind w:left="2160" w:hanging="360"/>
      </w:pPr>
      <w:rPr>
        <w:rFonts w:hint="default"/>
        <w:b w:val="0"/>
        <w:sz w:val="22"/>
        <w:szCs w:val="22"/>
      </w:rPr>
    </w:lvl>
    <w:lvl w:ilvl="2" w:tplc="0C09001B">
      <w:start w:val="1"/>
      <w:numFmt w:val="lowerRoman"/>
      <w:lvlText w:val="%3."/>
      <w:lvlJc w:val="right"/>
      <w:pPr>
        <w:tabs>
          <w:tab w:val="num" w:pos="2880"/>
        </w:tabs>
        <w:ind w:left="2880" w:hanging="180"/>
      </w:pPr>
      <w:rPr>
        <w:rFonts w:cs="Times New Roman"/>
      </w:rPr>
    </w:lvl>
    <w:lvl w:ilvl="3" w:tplc="0C09000F">
      <w:start w:val="1"/>
      <w:numFmt w:val="bullet"/>
      <w:lvlText w:val=""/>
      <w:lvlJc w:val="left"/>
      <w:pPr>
        <w:tabs>
          <w:tab w:val="num" w:pos="3600"/>
        </w:tabs>
        <w:ind w:left="3600" w:hanging="360"/>
      </w:pPr>
      <w:rPr>
        <w:rFonts w:ascii="Symbol" w:hAnsi="Symbol" w:hint="default"/>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68E32B0F"/>
    <w:multiLevelType w:val="hybridMultilevel"/>
    <w:tmpl w:val="EF5AF6D0"/>
    <w:lvl w:ilvl="0" w:tplc="3954D824">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9" w15:restartNumberingAfterBreak="0">
    <w:nsid w:val="6FE5640E"/>
    <w:multiLevelType w:val="hybridMultilevel"/>
    <w:tmpl w:val="BDC6E40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0" w15:restartNumberingAfterBreak="0">
    <w:nsid w:val="72A9009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C74663"/>
    <w:multiLevelType w:val="hybridMultilevel"/>
    <w:tmpl w:val="E74C14C4"/>
    <w:lvl w:ilvl="0" w:tplc="1046A03C">
      <w:start w:val="1"/>
      <w:numFmt w:val="decimal"/>
      <w:lvlText w:val="%1."/>
      <w:lvlJc w:val="left"/>
      <w:pPr>
        <w:tabs>
          <w:tab w:val="num" w:pos="720"/>
        </w:tabs>
        <w:ind w:left="720" w:hanging="720"/>
      </w:pPr>
      <w:rPr>
        <w:rFonts w:cs="Times New Roman" w:hint="default"/>
        <w:b w:val="0"/>
        <w:i w:val="0"/>
        <w:sz w:val="24"/>
        <w:szCs w:val="24"/>
      </w:rPr>
    </w:lvl>
    <w:lvl w:ilvl="1" w:tplc="0C090019">
      <w:start w:val="1"/>
      <w:numFmt w:val="lowerLetter"/>
      <w:lvlText w:val="%2."/>
      <w:lvlJc w:val="left"/>
      <w:pPr>
        <w:tabs>
          <w:tab w:val="num" w:pos="1440"/>
        </w:tabs>
        <w:ind w:left="1440" w:hanging="360"/>
      </w:pPr>
      <w:rPr>
        <w:rFonts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5FF0362"/>
    <w:multiLevelType w:val="hybridMultilevel"/>
    <w:tmpl w:val="C2A60352"/>
    <w:lvl w:ilvl="0" w:tplc="1278F81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79563054"/>
    <w:multiLevelType w:val="hybridMultilevel"/>
    <w:tmpl w:val="9B62A40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ECF297C"/>
    <w:multiLevelType w:val="multilevel"/>
    <w:tmpl w:val="E74C14C4"/>
    <w:lvl w:ilvl="0">
      <w:start w:val="1"/>
      <w:numFmt w:val="decimal"/>
      <w:lvlText w:val="%1."/>
      <w:lvlJc w:val="left"/>
      <w:pPr>
        <w:tabs>
          <w:tab w:val="num" w:pos="720"/>
        </w:tabs>
        <w:ind w:left="720" w:hanging="720"/>
      </w:pPr>
      <w:rPr>
        <w:rFonts w:cs="Times New Roman" w:hint="default"/>
        <w:b w:val="0"/>
        <w:i w:val="0"/>
        <w:sz w:val="24"/>
        <w:szCs w:val="24"/>
      </w:rPr>
    </w:lvl>
    <w:lvl w:ilvl="1">
      <w:start w:val="1"/>
      <w:numFmt w:val="lowerLetter"/>
      <w:lvlText w:val="%2."/>
      <w:lvlJc w:val="left"/>
      <w:pPr>
        <w:tabs>
          <w:tab w:val="num" w:pos="1440"/>
        </w:tabs>
        <w:ind w:left="1440" w:hanging="360"/>
      </w:pPr>
      <w:rPr>
        <w:rFonts w:hint="default"/>
        <w:b w:val="0"/>
        <w:sz w:val="22"/>
        <w:szCs w:val="22"/>
      </w:rPr>
    </w:lvl>
    <w:lvl w:ilvl="2">
      <w:start w:val="1"/>
      <w:numFmt w:val="lowerRoman"/>
      <w:lvlText w:val="%3."/>
      <w:lvlJc w:val="right"/>
      <w:pPr>
        <w:tabs>
          <w:tab w:val="num" w:pos="2160"/>
        </w:tabs>
        <w:ind w:left="2160" w:hanging="18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5"/>
  </w:num>
  <w:num w:numId="2">
    <w:abstractNumId w:val="19"/>
  </w:num>
  <w:num w:numId="3">
    <w:abstractNumId w:val="12"/>
  </w:num>
  <w:num w:numId="4">
    <w:abstractNumId w:val="24"/>
  </w:num>
  <w:num w:numId="5">
    <w:abstractNumId w:val="16"/>
  </w:num>
  <w:num w:numId="6">
    <w:abstractNumId w:val="10"/>
  </w:num>
  <w:num w:numId="7">
    <w:abstractNumId w:val="41"/>
  </w:num>
  <w:num w:numId="8">
    <w:abstractNumId w:val="11"/>
  </w:num>
  <w:num w:numId="9">
    <w:abstractNumId w:val="37"/>
  </w:num>
  <w:num w:numId="10">
    <w:abstractNumId w:val="20"/>
  </w:num>
  <w:num w:numId="11">
    <w:abstractNumId w:val="22"/>
  </w:num>
  <w:num w:numId="12">
    <w:abstractNumId w:val="34"/>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0"/>
  </w:num>
  <w:num w:numId="17">
    <w:abstractNumId w:val="10"/>
  </w:num>
  <w:num w:numId="18">
    <w:abstractNumId w:val="30"/>
  </w:num>
  <w:num w:numId="19">
    <w:abstractNumId w:val="10"/>
  </w:num>
  <w:num w:numId="20">
    <w:abstractNumId w:val="10"/>
  </w:num>
  <w:num w:numId="21">
    <w:abstractNumId w:val="10"/>
  </w:num>
  <w:num w:numId="22">
    <w:abstractNumId w:val="7"/>
  </w:num>
  <w:num w:numId="23">
    <w:abstractNumId w:val="8"/>
  </w:num>
  <w:num w:numId="24">
    <w:abstractNumId w:val="23"/>
  </w:num>
  <w:num w:numId="25">
    <w:abstractNumId w:val="31"/>
  </w:num>
  <w:num w:numId="26">
    <w:abstractNumId w:val="10"/>
  </w:num>
  <w:num w:numId="27">
    <w:abstractNumId w:val="26"/>
  </w:num>
  <w:num w:numId="28">
    <w:abstractNumId w:val="10"/>
  </w:num>
  <w:num w:numId="29">
    <w:abstractNumId w:val="10"/>
  </w:num>
  <w:num w:numId="30">
    <w:abstractNumId w:val="6"/>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32"/>
  </w:num>
  <w:num w:numId="40">
    <w:abstractNumId w:val="29"/>
  </w:num>
  <w:num w:numId="41">
    <w:abstractNumId w:val="18"/>
  </w:num>
  <w:num w:numId="42">
    <w:abstractNumId w:val="40"/>
  </w:num>
  <w:num w:numId="43">
    <w:abstractNumId w:val="33"/>
  </w:num>
  <w:num w:numId="44">
    <w:abstractNumId w:val="9"/>
  </w:num>
  <w:num w:numId="45">
    <w:abstractNumId w:val="15"/>
  </w:num>
  <w:num w:numId="46">
    <w:abstractNumId w:val="17"/>
  </w:num>
  <w:num w:numId="47">
    <w:abstractNumId w:val="4"/>
  </w:num>
  <w:num w:numId="48">
    <w:abstractNumId w:val="10"/>
  </w:num>
  <w:num w:numId="49">
    <w:abstractNumId w:val="43"/>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 w:numId="72">
    <w:abstractNumId w:val="3"/>
  </w:num>
  <w:num w:numId="73">
    <w:abstractNumId w:val="36"/>
  </w:num>
  <w:num w:numId="74">
    <w:abstractNumId w:val="14"/>
  </w:num>
  <w:num w:numId="75">
    <w:abstractNumId w:val="2"/>
  </w:num>
  <w:num w:numId="76">
    <w:abstractNumId w:val="42"/>
  </w:num>
  <w:num w:numId="77">
    <w:abstractNumId w:val="39"/>
  </w:num>
  <w:num w:numId="78">
    <w:abstractNumId w:val="21"/>
  </w:num>
  <w:num w:numId="79">
    <w:abstractNumId w:val="27"/>
  </w:num>
  <w:num w:numId="80">
    <w:abstractNumId w:val="13"/>
  </w:num>
  <w:num w:numId="81">
    <w:abstractNumId w:val="5"/>
  </w:num>
  <w:num w:numId="82">
    <w:abstractNumId w:val="0"/>
  </w:num>
  <w:num w:numId="83">
    <w:abstractNumId w:val="4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79"/>
    <w:rsid w:val="00000995"/>
    <w:rsid w:val="0000108E"/>
    <w:rsid w:val="000012E7"/>
    <w:rsid w:val="000014F4"/>
    <w:rsid w:val="000019E3"/>
    <w:rsid w:val="00002CA2"/>
    <w:rsid w:val="0000304D"/>
    <w:rsid w:val="00003D6C"/>
    <w:rsid w:val="0000460A"/>
    <w:rsid w:val="00004636"/>
    <w:rsid w:val="00004DFA"/>
    <w:rsid w:val="0000659B"/>
    <w:rsid w:val="000071FD"/>
    <w:rsid w:val="00007B76"/>
    <w:rsid w:val="00007C94"/>
    <w:rsid w:val="00007DB9"/>
    <w:rsid w:val="00007EE5"/>
    <w:rsid w:val="000100E4"/>
    <w:rsid w:val="00010A3D"/>
    <w:rsid w:val="00010ACB"/>
    <w:rsid w:val="0001212F"/>
    <w:rsid w:val="00012322"/>
    <w:rsid w:val="0001254B"/>
    <w:rsid w:val="0001268D"/>
    <w:rsid w:val="000129D3"/>
    <w:rsid w:val="00012CC8"/>
    <w:rsid w:val="00013272"/>
    <w:rsid w:val="00014936"/>
    <w:rsid w:val="00014BD9"/>
    <w:rsid w:val="00014E26"/>
    <w:rsid w:val="00014FD9"/>
    <w:rsid w:val="00014FFF"/>
    <w:rsid w:val="000158A7"/>
    <w:rsid w:val="00015E3E"/>
    <w:rsid w:val="00015F8D"/>
    <w:rsid w:val="00017101"/>
    <w:rsid w:val="00017768"/>
    <w:rsid w:val="00017A43"/>
    <w:rsid w:val="00017C98"/>
    <w:rsid w:val="000201D7"/>
    <w:rsid w:val="000201E9"/>
    <w:rsid w:val="00020435"/>
    <w:rsid w:val="00021134"/>
    <w:rsid w:val="000218F1"/>
    <w:rsid w:val="00022991"/>
    <w:rsid w:val="00023241"/>
    <w:rsid w:val="0002376F"/>
    <w:rsid w:val="00023D69"/>
    <w:rsid w:val="00024359"/>
    <w:rsid w:val="000243DA"/>
    <w:rsid w:val="000244B8"/>
    <w:rsid w:val="00025002"/>
    <w:rsid w:val="000263C1"/>
    <w:rsid w:val="000302BF"/>
    <w:rsid w:val="0003096F"/>
    <w:rsid w:val="00031403"/>
    <w:rsid w:val="00032305"/>
    <w:rsid w:val="000323E3"/>
    <w:rsid w:val="00032A8D"/>
    <w:rsid w:val="00033207"/>
    <w:rsid w:val="00033583"/>
    <w:rsid w:val="0003442A"/>
    <w:rsid w:val="00034EA2"/>
    <w:rsid w:val="00035849"/>
    <w:rsid w:val="00035FC9"/>
    <w:rsid w:val="000364D1"/>
    <w:rsid w:val="00037BD6"/>
    <w:rsid w:val="0004095C"/>
    <w:rsid w:val="00041417"/>
    <w:rsid w:val="000415C5"/>
    <w:rsid w:val="00042085"/>
    <w:rsid w:val="00043143"/>
    <w:rsid w:val="0004397C"/>
    <w:rsid w:val="00043C23"/>
    <w:rsid w:val="0004638B"/>
    <w:rsid w:val="00047076"/>
    <w:rsid w:val="000479A7"/>
    <w:rsid w:val="00051579"/>
    <w:rsid w:val="00051875"/>
    <w:rsid w:val="00051CE0"/>
    <w:rsid w:val="0005202A"/>
    <w:rsid w:val="0005222E"/>
    <w:rsid w:val="000523CB"/>
    <w:rsid w:val="000523EF"/>
    <w:rsid w:val="000531C1"/>
    <w:rsid w:val="00053523"/>
    <w:rsid w:val="00054076"/>
    <w:rsid w:val="000540A0"/>
    <w:rsid w:val="0005426C"/>
    <w:rsid w:val="000542C7"/>
    <w:rsid w:val="0005446F"/>
    <w:rsid w:val="000544EE"/>
    <w:rsid w:val="00055868"/>
    <w:rsid w:val="00055A9A"/>
    <w:rsid w:val="00055CCA"/>
    <w:rsid w:val="00056436"/>
    <w:rsid w:val="000579B1"/>
    <w:rsid w:val="00057D3C"/>
    <w:rsid w:val="00060CBD"/>
    <w:rsid w:val="00060D9F"/>
    <w:rsid w:val="00061800"/>
    <w:rsid w:val="000618E7"/>
    <w:rsid w:val="00061F6B"/>
    <w:rsid w:val="000625D0"/>
    <w:rsid w:val="00063614"/>
    <w:rsid w:val="00063F02"/>
    <w:rsid w:val="00064538"/>
    <w:rsid w:val="00064EDF"/>
    <w:rsid w:val="000651EE"/>
    <w:rsid w:val="00065F71"/>
    <w:rsid w:val="00066F0A"/>
    <w:rsid w:val="00067265"/>
    <w:rsid w:val="00067D3A"/>
    <w:rsid w:val="00070142"/>
    <w:rsid w:val="00070624"/>
    <w:rsid w:val="00070D7F"/>
    <w:rsid w:val="00070E05"/>
    <w:rsid w:val="000718CB"/>
    <w:rsid w:val="00071CC3"/>
    <w:rsid w:val="00071E4E"/>
    <w:rsid w:val="00072183"/>
    <w:rsid w:val="000729A3"/>
    <w:rsid w:val="000745FB"/>
    <w:rsid w:val="00074CD6"/>
    <w:rsid w:val="00074D0C"/>
    <w:rsid w:val="00076C71"/>
    <w:rsid w:val="0007732B"/>
    <w:rsid w:val="00081BD7"/>
    <w:rsid w:val="00081C4F"/>
    <w:rsid w:val="000830EB"/>
    <w:rsid w:val="00083126"/>
    <w:rsid w:val="000833D2"/>
    <w:rsid w:val="00083884"/>
    <w:rsid w:val="00083F01"/>
    <w:rsid w:val="00084A54"/>
    <w:rsid w:val="00085074"/>
    <w:rsid w:val="00085562"/>
    <w:rsid w:val="00086206"/>
    <w:rsid w:val="00086500"/>
    <w:rsid w:val="00086627"/>
    <w:rsid w:val="000867ED"/>
    <w:rsid w:val="00086816"/>
    <w:rsid w:val="00087CAD"/>
    <w:rsid w:val="00087E2D"/>
    <w:rsid w:val="000927D3"/>
    <w:rsid w:val="0009352B"/>
    <w:rsid w:val="00094A51"/>
    <w:rsid w:val="00095F37"/>
    <w:rsid w:val="0009623D"/>
    <w:rsid w:val="00096295"/>
    <w:rsid w:val="00096772"/>
    <w:rsid w:val="00096AA9"/>
    <w:rsid w:val="00096DF5"/>
    <w:rsid w:val="00096E8E"/>
    <w:rsid w:val="000976EB"/>
    <w:rsid w:val="00097A56"/>
    <w:rsid w:val="00097CDD"/>
    <w:rsid w:val="000A0820"/>
    <w:rsid w:val="000A1F43"/>
    <w:rsid w:val="000A2092"/>
    <w:rsid w:val="000A27B2"/>
    <w:rsid w:val="000A2C78"/>
    <w:rsid w:val="000A2E89"/>
    <w:rsid w:val="000A3BC5"/>
    <w:rsid w:val="000A3D33"/>
    <w:rsid w:val="000A3DB6"/>
    <w:rsid w:val="000A53B7"/>
    <w:rsid w:val="000A6A08"/>
    <w:rsid w:val="000A7748"/>
    <w:rsid w:val="000A7E5F"/>
    <w:rsid w:val="000B03B0"/>
    <w:rsid w:val="000B0A5D"/>
    <w:rsid w:val="000B11EB"/>
    <w:rsid w:val="000B192C"/>
    <w:rsid w:val="000B21AB"/>
    <w:rsid w:val="000B2E40"/>
    <w:rsid w:val="000B362B"/>
    <w:rsid w:val="000B5515"/>
    <w:rsid w:val="000B65E5"/>
    <w:rsid w:val="000B68E8"/>
    <w:rsid w:val="000B6C6C"/>
    <w:rsid w:val="000B6EC6"/>
    <w:rsid w:val="000B7141"/>
    <w:rsid w:val="000B7364"/>
    <w:rsid w:val="000B73D3"/>
    <w:rsid w:val="000B79D6"/>
    <w:rsid w:val="000C1022"/>
    <w:rsid w:val="000C136D"/>
    <w:rsid w:val="000C1B29"/>
    <w:rsid w:val="000C1DDF"/>
    <w:rsid w:val="000C2EEC"/>
    <w:rsid w:val="000C47A5"/>
    <w:rsid w:val="000C4CAC"/>
    <w:rsid w:val="000C64E9"/>
    <w:rsid w:val="000C75C5"/>
    <w:rsid w:val="000C7DC5"/>
    <w:rsid w:val="000D02B1"/>
    <w:rsid w:val="000D070F"/>
    <w:rsid w:val="000D086C"/>
    <w:rsid w:val="000D1F2C"/>
    <w:rsid w:val="000D2BBC"/>
    <w:rsid w:val="000D32A5"/>
    <w:rsid w:val="000D33FB"/>
    <w:rsid w:val="000D3467"/>
    <w:rsid w:val="000D404B"/>
    <w:rsid w:val="000D4D69"/>
    <w:rsid w:val="000D5836"/>
    <w:rsid w:val="000D62F2"/>
    <w:rsid w:val="000D72A1"/>
    <w:rsid w:val="000E0208"/>
    <w:rsid w:val="000E056B"/>
    <w:rsid w:val="000E1924"/>
    <w:rsid w:val="000E1A58"/>
    <w:rsid w:val="000E1AAD"/>
    <w:rsid w:val="000E22DA"/>
    <w:rsid w:val="000E2CA6"/>
    <w:rsid w:val="000E3740"/>
    <w:rsid w:val="000E39F7"/>
    <w:rsid w:val="000E4A8D"/>
    <w:rsid w:val="000E4B22"/>
    <w:rsid w:val="000E6265"/>
    <w:rsid w:val="000E6CC2"/>
    <w:rsid w:val="000E6F1F"/>
    <w:rsid w:val="000E6FB1"/>
    <w:rsid w:val="000E7B19"/>
    <w:rsid w:val="000F158E"/>
    <w:rsid w:val="000F30E7"/>
    <w:rsid w:val="000F3550"/>
    <w:rsid w:val="000F52B4"/>
    <w:rsid w:val="000F550E"/>
    <w:rsid w:val="000F5A27"/>
    <w:rsid w:val="000F62C4"/>
    <w:rsid w:val="000F64D3"/>
    <w:rsid w:val="000F66E1"/>
    <w:rsid w:val="000F6F88"/>
    <w:rsid w:val="000F71FC"/>
    <w:rsid w:val="000F79DF"/>
    <w:rsid w:val="00100794"/>
    <w:rsid w:val="00100E7D"/>
    <w:rsid w:val="0010114A"/>
    <w:rsid w:val="001011C8"/>
    <w:rsid w:val="001019D6"/>
    <w:rsid w:val="00102EA2"/>
    <w:rsid w:val="00103481"/>
    <w:rsid w:val="00103C48"/>
    <w:rsid w:val="00103CBD"/>
    <w:rsid w:val="00104A89"/>
    <w:rsid w:val="00104B8E"/>
    <w:rsid w:val="00104BA4"/>
    <w:rsid w:val="00104E64"/>
    <w:rsid w:val="00105A30"/>
    <w:rsid w:val="00105FC4"/>
    <w:rsid w:val="00106777"/>
    <w:rsid w:val="00106B4D"/>
    <w:rsid w:val="00106C58"/>
    <w:rsid w:val="00107065"/>
    <w:rsid w:val="001103CD"/>
    <w:rsid w:val="00110ADC"/>
    <w:rsid w:val="00110AEB"/>
    <w:rsid w:val="0011137E"/>
    <w:rsid w:val="001114B8"/>
    <w:rsid w:val="0011180E"/>
    <w:rsid w:val="00112106"/>
    <w:rsid w:val="001122A5"/>
    <w:rsid w:val="001126EA"/>
    <w:rsid w:val="001130DC"/>
    <w:rsid w:val="00113317"/>
    <w:rsid w:val="00113850"/>
    <w:rsid w:val="00113A4C"/>
    <w:rsid w:val="00114092"/>
    <w:rsid w:val="0011413A"/>
    <w:rsid w:val="00114DE0"/>
    <w:rsid w:val="00115A53"/>
    <w:rsid w:val="00116153"/>
    <w:rsid w:val="00116666"/>
    <w:rsid w:val="001167E0"/>
    <w:rsid w:val="00117769"/>
    <w:rsid w:val="00117CE1"/>
    <w:rsid w:val="00120077"/>
    <w:rsid w:val="00120F05"/>
    <w:rsid w:val="001217D6"/>
    <w:rsid w:val="0012233F"/>
    <w:rsid w:val="001224D7"/>
    <w:rsid w:val="00123196"/>
    <w:rsid w:val="00123219"/>
    <w:rsid w:val="0012337E"/>
    <w:rsid w:val="001241B0"/>
    <w:rsid w:val="001243F0"/>
    <w:rsid w:val="0012584C"/>
    <w:rsid w:val="00125D1B"/>
    <w:rsid w:val="001260C3"/>
    <w:rsid w:val="00126308"/>
    <w:rsid w:val="00126326"/>
    <w:rsid w:val="00126866"/>
    <w:rsid w:val="00126A02"/>
    <w:rsid w:val="00126B4B"/>
    <w:rsid w:val="00126E57"/>
    <w:rsid w:val="001303B3"/>
    <w:rsid w:val="001303FF"/>
    <w:rsid w:val="00130627"/>
    <w:rsid w:val="00131768"/>
    <w:rsid w:val="001322D4"/>
    <w:rsid w:val="00132462"/>
    <w:rsid w:val="00132D3F"/>
    <w:rsid w:val="00133A2E"/>
    <w:rsid w:val="00133A43"/>
    <w:rsid w:val="00133CD9"/>
    <w:rsid w:val="00133D62"/>
    <w:rsid w:val="00134BAF"/>
    <w:rsid w:val="001355AD"/>
    <w:rsid w:val="00136216"/>
    <w:rsid w:val="00136B0C"/>
    <w:rsid w:val="00136D41"/>
    <w:rsid w:val="00136E8A"/>
    <w:rsid w:val="00137EBB"/>
    <w:rsid w:val="00140077"/>
    <w:rsid w:val="0014061D"/>
    <w:rsid w:val="00140681"/>
    <w:rsid w:val="00140B64"/>
    <w:rsid w:val="00140DCF"/>
    <w:rsid w:val="00140DF2"/>
    <w:rsid w:val="00140F70"/>
    <w:rsid w:val="0014206D"/>
    <w:rsid w:val="001425C1"/>
    <w:rsid w:val="00143A1B"/>
    <w:rsid w:val="00143D21"/>
    <w:rsid w:val="00144303"/>
    <w:rsid w:val="0014439B"/>
    <w:rsid w:val="0014472A"/>
    <w:rsid w:val="00144EAD"/>
    <w:rsid w:val="001465BA"/>
    <w:rsid w:val="00147115"/>
    <w:rsid w:val="001471BC"/>
    <w:rsid w:val="001501E1"/>
    <w:rsid w:val="0015062E"/>
    <w:rsid w:val="00151A18"/>
    <w:rsid w:val="00151BC9"/>
    <w:rsid w:val="00151DA3"/>
    <w:rsid w:val="001523D8"/>
    <w:rsid w:val="001528FF"/>
    <w:rsid w:val="00152C9C"/>
    <w:rsid w:val="00152EF4"/>
    <w:rsid w:val="001531F9"/>
    <w:rsid w:val="001533E4"/>
    <w:rsid w:val="00153507"/>
    <w:rsid w:val="001541F5"/>
    <w:rsid w:val="00154510"/>
    <w:rsid w:val="001548B7"/>
    <w:rsid w:val="001552AC"/>
    <w:rsid w:val="00155880"/>
    <w:rsid w:val="00155CF7"/>
    <w:rsid w:val="0015645F"/>
    <w:rsid w:val="001566D4"/>
    <w:rsid w:val="0015674C"/>
    <w:rsid w:val="001570F9"/>
    <w:rsid w:val="0015737C"/>
    <w:rsid w:val="0015746F"/>
    <w:rsid w:val="00157658"/>
    <w:rsid w:val="0015774C"/>
    <w:rsid w:val="0016262C"/>
    <w:rsid w:val="00162A8D"/>
    <w:rsid w:val="00163113"/>
    <w:rsid w:val="00163C2C"/>
    <w:rsid w:val="00164191"/>
    <w:rsid w:val="00164764"/>
    <w:rsid w:val="001651CD"/>
    <w:rsid w:val="001659F9"/>
    <w:rsid w:val="00166546"/>
    <w:rsid w:val="001665C0"/>
    <w:rsid w:val="00166C0D"/>
    <w:rsid w:val="00166F9B"/>
    <w:rsid w:val="00167050"/>
    <w:rsid w:val="00167CD8"/>
    <w:rsid w:val="001703F1"/>
    <w:rsid w:val="00170CAE"/>
    <w:rsid w:val="00170E1D"/>
    <w:rsid w:val="00170F39"/>
    <w:rsid w:val="00170F93"/>
    <w:rsid w:val="0017118A"/>
    <w:rsid w:val="001711CD"/>
    <w:rsid w:val="0017162F"/>
    <w:rsid w:val="00171D76"/>
    <w:rsid w:val="00171FD4"/>
    <w:rsid w:val="00172773"/>
    <w:rsid w:val="001727C4"/>
    <w:rsid w:val="00172ABA"/>
    <w:rsid w:val="00172D15"/>
    <w:rsid w:val="00172DB3"/>
    <w:rsid w:val="00173156"/>
    <w:rsid w:val="00173EEB"/>
    <w:rsid w:val="00174C4D"/>
    <w:rsid w:val="001756BF"/>
    <w:rsid w:val="00175742"/>
    <w:rsid w:val="00175E81"/>
    <w:rsid w:val="001763E5"/>
    <w:rsid w:val="0017647E"/>
    <w:rsid w:val="001766CD"/>
    <w:rsid w:val="00176941"/>
    <w:rsid w:val="00176AB0"/>
    <w:rsid w:val="001775D2"/>
    <w:rsid w:val="0017792A"/>
    <w:rsid w:val="0018017D"/>
    <w:rsid w:val="00180A40"/>
    <w:rsid w:val="00180AFB"/>
    <w:rsid w:val="001810F7"/>
    <w:rsid w:val="001817D2"/>
    <w:rsid w:val="00182778"/>
    <w:rsid w:val="00183306"/>
    <w:rsid w:val="00184098"/>
    <w:rsid w:val="001840CE"/>
    <w:rsid w:val="0018599B"/>
    <w:rsid w:val="001867A2"/>
    <w:rsid w:val="00186BDE"/>
    <w:rsid w:val="0018736F"/>
    <w:rsid w:val="001874AB"/>
    <w:rsid w:val="00187AF6"/>
    <w:rsid w:val="001904E1"/>
    <w:rsid w:val="00190C71"/>
    <w:rsid w:val="00190F05"/>
    <w:rsid w:val="0019119F"/>
    <w:rsid w:val="00191512"/>
    <w:rsid w:val="0019303E"/>
    <w:rsid w:val="00193422"/>
    <w:rsid w:val="00193785"/>
    <w:rsid w:val="00193AA0"/>
    <w:rsid w:val="00193DC4"/>
    <w:rsid w:val="0019492B"/>
    <w:rsid w:val="00194C03"/>
    <w:rsid w:val="00195017"/>
    <w:rsid w:val="0019552F"/>
    <w:rsid w:val="00195EE6"/>
    <w:rsid w:val="00196243"/>
    <w:rsid w:val="00196843"/>
    <w:rsid w:val="00196AAF"/>
    <w:rsid w:val="0019752C"/>
    <w:rsid w:val="001977D7"/>
    <w:rsid w:val="001A037F"/>
    <w:rsid w:val="001A05EC"/>
    <w:rsid w:val="001A0954"/>
    <w:rsid w:val="001A0B69"/>
    <w:rsid w:val="001A0B76"/>
    <w:rsid w:val="001A1B39"/>
    <w:rsid w:val="001A1FE2"/>
    <w:rsid w:val="001A2930"/>
    <w:rsid w:val="001A414B"/>
    <w:rsid w:val="001A425D"/>
    <w:rsid w:val="001A5729"/>
    <w:rsid w:val="001A5890"/>
    <w:rsid w:val="001A5985"/>
    <w:rsid w:val="001A5D46"/>
    <w:rsid w:val="001A6F70"/>
    <w:rsid w:val="001B008C"/>
    <w:rsid w:val="001B0353"/>
    <w:rsid w:val="001B0444"/>
    <w:rsid w:val="001B18F2"/>
    <w:rsid w:val="001B1ACD"/>
    <w:rsid w:val="001B1D8C"/>
    <w:rsid w:val="001B2DD3"/>
    <w:rsid w:val="001B397B"/>
    <w:rsid w:val="001B3B40"/>
    <w:rsid w:val="001B3F32"/>
    <w:rsid w:val="001B414F"/>
    <w:rsid w:val="001B42E9"/>
    <w:rsid w:val="001B4D30"/>
    <w:rsid w:val="001B4FC3"/>
    <w:rsid w:val="001B512A"/>
    <w:rsid w:val="001B5960"/>
    <w:rsid w:val="001B7487"/>
    <w:rsid w:val="001C0852"/>
    <w:rsid w:val="001C0E24"/>
    <w:rsid w:val="001C139C"/>
    <w:rsid w:val="001C148C"/>
    <w:rsid w:val="001C19FB"/>
    <w:rsid w:val="001C1A91"/>
    <w:rsid w:val="001C1B21"/>
    <w:rsid w:val="001C27E3"/>
    <w:rsid w:val="001C29DB"/>
    <w:rsid w:val="001C3272"/>
    <w:rsid w:val="001C435D"/>
    <w:rsid w:val="001C451B"/>
    <w:rsid w:val="001C47A0"/>
    <w:rsid w:val="001C4B5E"/>
    <w:rsid w:val="001C546A"/>
    <w:rsid w:val="001C65FA"/>
    <w:rsid w:val="001C67A1"/>
    <w:rsid w:val="001C72BE"/>
    <w:rsid w:val="001C7524"/>
    <w:rsid w:val="001C79BC"/>
    <w:rsid w:val="001D08A5"/>
    <w:rsid w:val="001D1C4E"/>
    <w:rsid w:val="001D234B"/>
    <w:rsid w:val="001D2529"/>
    <w:rsid w:val="001D2901"/>
    <w:rsid w:val="001D2C42"/>
    <w:rsid w:val="001D43FF"/>
    <w:rsid w:val="001D4E3C"/>
    <w:rsid w:val="001D56B6"/>
    <w:rsid w:val="001D5E4A"/>
    <w:rsid w:val="001D5F3D"/>
    <w:rsid w:val="001D69A8"/>
    <w:rsid w:val="001D747C"/>
    <w:rsid w:val="001D7675"/>
    <w:rsid w:val="001E01A4"/>
    <w:rsid w:val="001E0268"/>
    <w:rsid w:val="001E028B"/>
    <w:rsid w:val="001E0C59"/>
    <w:rsid w:val="001E0F4C"/>
    <w:rsid w:val="001E15E3"/>
    <w:rsid w:val="001E17AD"/>
    <w:rsid w:val="001E18A5"/>
    <w:rsid w:val="001E2396"/>
    <w:rsid w:val="001E30F0"/>
    <w:rsid w:val="001E3F7A"/>
    <w:rsid w:val="001E5295"/>
    <w:rsid w:val="001E563E"/>
    <w:rsid w:val="001E674A"/>
    <w:rsid w:val="001E71FA"/>
    <w:rsid w:val="001E730A"/>
    <w:rsid w:val="001F138B"/>
    <w:rsid w:val="001F184A"/>
    <w:rsid w:val="001F18B3"/>
    <w:rsid w:val="001F2326"/>
    <w:rsid w:val="001F2368"/>
    <w:rsid w:val="001F2A3E"/>
    <w:rsid w:val="001F2BBB"/>
    <w:rsid w:val="001F2BD2"/>
    <w:rsid w:val="001F2E02"/>
    <w:rsid w:val="001F2F8B"/>
    <w:rsid w:val="001F3546"/>
    <w:rsid w:val="001F4015"/>
    <w:rsid w:val="001F44AF"/>
    <w:rsid w:val="001F55AE"/>
    <w:rsid w:val="001F5B68"/>
    <w:rsid w:val="001F688E"/>
    <w:rsid w:val="001F6F72"/>
    <w:rsid w:val="001F713B"/>
    <w:rsid w:val="001F7410"/>
    <w:rsid w:val="001F7914"/>
    <w:rsid w:val="001F7AFB"/>
    <w:rsid w:val="001F7E9E"/>
    <w:rsid w:val="00200B07"/>
    <w:rsid w:val="00200CD0"/>
    <w:rsid w:val="00201004"/>
    <w:rsid w:val="0020198D"/>
    <w:rsid w:val="00202434"/>
    <w:rsid w:val="002035FC"/>
    <w:rsid w:val="002037C9"/>
    <w:rsid w:val="002039AF"/>
    <w:rsid w:val="00203EFD"/>
    <w:rsid w:val="00204198"/>
    <w:rsid w:val="0020638E"/>
    <w:rsid w:val="002064BE"/>
    <w:rsid w:val="0020759E"/>
    <w:rsid w:val="002078F8"/>
    <w:rsid w:val="00207F4A"/>
    <w:rsid w:val="002111EA"/>
    <w:rsid w:val="00211515"/>
    <w:rsid w:val="00212505"/>
    <w:rsid w:val="002128CB"/>
    <w:rsid w:val="002141B3"/>
    <w:rsid w:val="00214972"/>
    <w:rsid w:val="0021570F"/>
    <w:rsid w:val="00215710"/>
    <w:rsid w:val="0021586A"/>
    <w:rsid w:val="00215A35"/>
    <w:rsid w:val="00215EF4"/>
    <w:rsid w:val="0021668B"/>
    <w:rsid w:val="00216D68"/>
    <w:rsid w:val="00216F73"/>
    <w:rsid w:val="002174B2"/>
    <w:rsid w:val="00217FB1"/>
    <w:rsid w:val="002201F7"/>
    <w:rsid w:val="002206C7"/>
    <w:rsid w:val="00220CAE"/>
    <w:rsid w:val="00220D84"/>
    <w:rsid w:val="00220E9C"/>
    <w:rsid w:val="002220B7"/>
    <w:rsid w:val="002226FD"/>
    <w:rsid w:val="002235DC"/>
    <w:rsid w:val="00223A37"/>
    <w:rsid w:val="00223A99"/>
    <w:rsid w:val="0022441A"/>
    <w:rsid w:val="00224F90"/>
    <w:rsid w:val="00225A3D"/>
    <w:rsid w:val="002260BD"/>
    <w:rsid w:val="00227940"/>
    <w:rsid w:val="00230A84"/>
    <w:rsid w:val="00230E13"/>
    <w:rsid w:val="00230FF9"/>
    <w:rsid w:val="002314FC"/>
    <w:rsid w:val="0023159E"/>
    <w:rsid w:val="00231760"/>
    <w:rsid w:val="00231ED1"/>
    <w:rsid w:val="00232A95"/>
    <w:rsid w:val="0023303F"/>
    <w:rsid w:val="002332EE"/>
    <w:rsid w:val="002339D8"/>
    <w:rsid w:val="00233A20"/>
    <w:rsid w:val="00233B71"/>
    <w:rsid w:val="00234ED2"/>
    <w:rsid w:val="00236B29"/>
    <w:rsid w:val="00236BFA"/>
    <w:rsid w:val="00236FAA"/>
    <w:rsid w:val="00237AC3"/>
    <w:rsid w:val="00241A02"/>
    <w:rsid w:val="00241CA8"/>
    <w:rsid w:val="00241D75"/>
    <w:rsid w:val="00242D34"/>
    <w:rsid w:val="00242F59"/>
    <w:rsid w:val="0024300C"/>
    <w:rsid w:val="00243C26"/>
    <w:rsid w:val="00244506"/>
    <w:rsid w:val="00244B76"/>
    <w:rsid w:val="0024525A"/>
    <w:rsid w:val="0024557E"/>
    <w:rsid w:val="00245918"/>
    <w:rsid w:val="00245FD9"/>
    <w:rsid w:val="0024610C"/>
    <w:rsid w:val="00246B06"/>
    <w:rsid w:val="00246DAE"/>
    <w:rsid w:val="002475D4"/>
    <w:rsid w:val="002475EA"/>
    <w:rsid w:val="00250212"/>
    <w:rsid w:val="0025029D"/>
    <w:rsid w:val="00250787"/>
    <w:rsid w:val="0025127B"/>
    <w:rsid w:val="002520A8"/>
    <w:rsid w:val="00252758"/>
    <w:rsid w:val="00252D57"/>
    <w:rsid w:val="00252D78"/>
    <w:rsid w:val="002531B4"/>
    <w:rsid w:val="002532F5"/>
    <w:rsid w:val="00253D73"/>
    <w:rsid w:val="002540D1"/>
    <w:rsid w:val="0025566E"/>
    <w:rsid w:val="00256AD9"/>
    <w:rsid w:val="00257231"/>
    <w:rsid w:val="00257EE8"/>
    <w:rsid w:val="002616E0"/>
    <w:rsid w:val="00261C42"/>
    <w:rsid w:val="002621DE"/>
    <w:rsid w:val="00262898"/>
    <w:rsid w:val="0026292B"/>
    <w:rsid w:val="00264105"/>
    <w:rsid w:val="00264483"/>
    <w:rsid w:val="00264568"/>
    <w:rsid w:val="00264C28"/>
    <w:rsid w:val="002657C0"/>
    <w:rsid w:val="0026625B"/>
    <w:rsid w:val="00266E6B"/>
    <w:rsid w:val="00266FE6"/>
    <w:rsid w:val="00267D0F"/>
    <w:rsid w:val="002702D9"/>
    <w:rsid w:val="002702E0"/>
    <w:rsid w:val="00270A43"/>
    <w:rsid w:val="00270EE6"/>
    <w:rsid w:val="0027135E"/>
    <w:rsid w:val="002719C0"/>
    <w:rsid w:val="00271BD5"/>
    <w:rsid w:val="0027271F"/>
    <w:rsid w:val="00272733"/>
    <w:rsid w:val="002737EF"/>
    <w:rsid w:val="00274049"/>
    <w:rsid w:val="00274E15"/>
    <w:rsid w:val="002755F9"/>
    <w:rsid w:val="0027569E"/>
    <w:rsid w:val="00275E17"/>
    <w:rsid w:val="00275F81"/>
    <w:rsid w:val="002760E9"/>
    <w:rsid w:val="0027631F"/>
    <w:rsid w:val="00277019"/>
    <w:rsid w:val="002777D4"/>
    <w:rsid w:val="00277973"/>
    <w:rsid w:val="00277D6C"/>
    <w:rsid w:val="00280355"/>
    <w:rsid w:val="0028038E"/>
    <w:rsid w:val="00281536"/>
    <w:rsid w:val="002829BD"/>
    <w:rsid w:val="00283258"/>
    <w:rsid w:val="002844F9"/>
    <w:rsid w:val="00284763"/>
    <w:rsid w:val="00284857"/>
    <w:rsid w:val="00284C56"/>
    <w:rsid w:val="00285A63"/>
    <w:rsid w:val="0028634B"/>
    <w:rsid w:val="00286538"/>
    <w:rsid w:val="0028663D"/>
    <w:rsid w:val="002866D3"/>
    <w:rsid w:val="00286B69"/>
    <w:rsid w:val="002903E3"/>
    <w:rsid w:val="002904F8"/>
    <w:rsid w:val="0029172B"/>
    <w:rsid w:val="00292F38"/>
    <w:rsid w:val="002931D9"/>
    <w:rsid w:val="0029433A"/>
    <w:rsid w:val="0029537A"/>
    <w:rsid w:val="002966C5"/>
    <w:rsid w:val="00297ADF"/>
    <w:rsid w:val="00297C50"/>
    <w:rsid w:val="00297E7E"/>
    <w:rsid w:val="00297F22"/>
    <w:rsid w:val="00297F5F"/>
    <w:rsid w:val="002A00FD"/>
    <w:rsid w:val="002A035B"/>
    <w:rsid w:val="002A0778"/>
    <w:rsid w:val="002A0EF6"/>
    <w:rsid w:val="002A12A3"/>
    <w:rsid w:val="002A18F2"/>
    <w:rsid w:val="002A32CD"/>
    <w:rsid w:val="002A377D"/>
    <w:rsid w:val="002A37A7"/>
    <w:rsid w:val="002A4613"/>
    <w:rsid w:val="002A49A3"/>
    <w:rsid w:val="002A4CBC"/>
    <w:rsid w:val="002A5169"/>
    <w:rsid w:val="002A54D1"/>
    <w:rsid w:val="002A5672"/>
    <w:rsid w:val="002A6137"/>
    <w:rsid w:val="002A6528"/>
    <w:rsid w:val="002A6772"/>
    <w:rsid w:val="002A6837"/>
    <w:rsid w:val="002A70A5"/>
    <w:rsid w:val="002A786A"/>
    <w:rsid w:val="002A7A13"/>
    <w:rsid w:val="002A7AC5"/>
    <w:rsid w:val="002B0B92"/>
    <w:rsid w:val="002B0DF8"/>
    <w:rsid w:val="002B0F4A"/>
    <w:rsid w:val="002B2FDC"/>
    <w:rsid w:val="002B48E4"/>
    <w:rsid w:val="002B64C0"/>
    <w:rsid w:val="002B7759"/>
    <w:rsid w:val="002C0A3E"/>
    <w:rsid w:val="002C0F49"/>
    <w:rsid w:val="002C1DDB"/>
    <w:rsid w:val="002C266B"/>
    <w:rsid w:val="002C27C1"/>
    <w:rsid w:val="002C2ACE"/>
    <w:rsid w:val="002C2BD4"/>
    <w:rsid w:val="002C2DA2"/>
    <w:rsid w:val="002C2FD9"/>
    <w:rsid w:val="002C3119"/>
    <w:rsid w:val="002C3F6E"/>
    <w:rsid w:val="002C448D"/>
    <w:rsid w:val="002C48FA"/>
    <w:rsid w:val="002C52B4"/>
    <w:rsid w:val="002C6560"/>
    <w:rsid w:val="002C657A"/>
    <w:rsid w:val="002C6AD9"/>
    <w:rsid w:val="002C7B40"/>
    <w:rsid w:val="002C7C9F"/>
    <w:rsid w:val="002C7E77"/>
    <w:rsid w:val="002C7F1C"/>
    <w:rsid w:val="002C7FEA"/>
    <w:rsid w:val="002D07AB"/>
    <w:rsid w:val="002D0E97"/>
    <w:rsid w:val="002D2B13"/>
    <w:rsid w:val="002D2B9D"/>
    <w:rsid w:val="002D6795"/>
    <w:rsid w:val="002D78DB"/>
    <w:rsid w:val="002D7FD9"/>
    <w:rsid w:val="002E13AB"/>
    <w:rsid w:val="002E1A29"/>
    <w:rsid w:val="002E1ACD"/>
    <w:rsid w:val="002E1C5A"/>
    <w:rsid w:val="002E2A4D"/>
    <w:rsid w:val="002E3968"/>
    <w:rsid w:val="002E39F7"/>
    <w:rsid w:val="002E43DA"/>
    <w:rsid w:val="002E4BC5"/>
    <w:rsid w:val="002E4D62"/>
    <w:rsid w:val="002E6440"/>
    <w:rsid w:val="002E64D5"/>
    <w:rsid w:val="002E64E6"/>
    <w:rsid w:val="002E6EA1"/>
    <w:rsid w:val="002E73E3"/>
    <w:rsid w:val="002E79F8"/>
    <w:rsid w:val="002F0D0C"/>
    <w:rsid w:val="002F0E08"/>
    <w:rsid w:val="002F117C"/>
    <w:rsid w:val="002F2174"/>
    <w:rsid w:val="002F23BF"/>
    <w:rsid w:val="002F24D9"/>
    <w:rsid w:val="002F24FF"/>
    <w:rsid w:val="002F2BB7"/>
    <w:rsid w:val="002F3178"/>
    <w:rsid w:val="002F33E3"/>
    <w:rsid w:val="002F3816"/>
    <w:rsid w:val="002F39AA"/>
    <w:rsid w:val="002F39DE"/>
    <w:rsid w:val="002F3E16"/>
    <w:rsid w:val="002F4F30"/>
    <w:rsid w:val="002F511E"/>
    <w:rsid w:val="002F5682"/>
    <w:rsid w:val="002F5777"/>
    <w:rsid w:val="002F587E"/>
    <w:rsid w:val="002F5E99"/>
    <w:rsid w:val="002F6B41"/>
    <w:rsid w:val="002F6D3F"/>
    <w:rsid w:val="002F6E56"/>
    <w:rsid w:val="002F70F7"/>
    <w:rsid w:val="002F7933"/>
    <w:rsid w:val="002F799C"/>
    <w:rsid w:val="002F7A2F"/>
    <w:rsid w:val="00300073"/>
    <w:rsid w:val="00300990"/>
    <w:rsid w:val="00300C6F"/>
    <w:rsid w:val="00301349"/>
    <w:rsid w:val="0030179B"/>
    <w:rsid w:val="00302688"/>
    <w:rsid w:val="0030361A"/>
    <w:rsid w:val="00303CED"/>
    <w:rsid w:val="003040CA"/>
    <w:rsid w:val="00304781"/>
    <w:rsid w:val="003050D4"/>
    <w:rsid w:val="00305DAE"/>
    <w:rsid w:val="00306B97"/>
    <w:rsid w:val="00306EBC"/>
    <w:rsid w:val="00307723"/>
    <w:rsid w:val="00307DED"/>
    <w:rsid w:val="00307E98"/>
    <w:rsid w:val="00310ED4"/>
    <w:rsid w:val="00310FC0"/>
    <w:rsid w:val="00311252"/>
    <w:rsid w:val="00311AF6"/>
    <w:rsid w:val="00311B64"/>
    <w:rsid w:val="00311D53"/>
    <w:rsid w:val="00312778"/>
    <w:rsid w:val="00312CBF"/>
    <w:rsid w:val="00313708"/>
    <w:rsid w:val="0031380B"/>
    <w:rsid w:val="00313FD8"/>
    <w:rsid w:val="0031492A"/>
    <w:rsid w:val="00314A56"/>
    <w:rsid w:val="0031536A"/>
    <w:rsid w:val="003159A0"/>
    <w:rsid w:val="00315AB6"/>
    <w:rsid w:val="00316254"/>
    <w:rsid w:val="00316504"/>
    <w:rsid w:val="00316C1A"/>
    <w:rsid w:val="00317403"/>
    <w:rsid w:val="003200B6"/>
    <w:rsid w:val="00320222"/>
    <w:rsid w:val="003203E2"/>
    <w:rsid w:val="00320551"/>
    <w:rsid w:val="00320854"/>
    <w:rsid w:val="00320A68"/>
    <w:rsid w:val="00320BB5"/>
    <w:rsid w:val="003215DE"/>
    <w:rsid w:val="00321930"/>
    <w:rsid w:val="00321AF0"/>
    <w:rsid w:val="00321E81"/>
    <w:rsid w:val="00321F15"/>
    <w:rsid w:val="00322B0A"/>
    <w:rsid w:val="00322BC9"/>
    <w:rsid w:val="00322E52"/>
    <w:rsid w:val="00323245"/>
    <w:rsid w:val="003232E2"/>
    <w:rsid w:val="00324062"/>
    <w:rsid w:val="003242A8"/>
    <w:rsid w:val="003246EC"/>
    <w:rsid w:val="003269D0"/>
    <w:rsid w:val="003269EC"/>
    <w:rsid w:val="003270BD"/>
    <w:rsid w:val="0032717D"/>
    <w:rsid w:val="0032787E"/>
    <w:rsid w:val="00327EC1"/>
    <w:rsid w:val="00330581"/>
    <w:rsid w:val="003308F5"/>
    <w:rsid w:val="003310F8"/>
    <w:rsid w:val="00331970"/>
    <w:rsid w:val="00331CDA"/>
    <w:rsid w:val="00332964"/>
    <w:rsid w:val="00332B14"/>
    <w:rsid w:val="00332FEF"/>
    <w:rsid w:val="00333691"/>
    <w:rsid w:val="00333BE0"/>
    <w:rsid w:val="00333D7E"/>
    <w:rsid w:val="00334193"/>
    <w:rsid w:val="00334703"/>
    <w:rsid w:val="003358DB"/>
    <w:rsid w:val="00335A96"/>
    <w:rsid w:val="00336485"/>
    <w:rsid w:val="00337EA3"/>
    <w:rsid w:val="003400D0"/>
    <w:rsid w:val="003408E7"/>
    <w:rsid w:val="00341CF5"/>
    <w:rsid w:val="003427FD"/>
    <w:rsid w:val="00343C66"/>
    <w:rsid w:val="00344AAE"/>
    <w:rsid w:val="0034514E"/>
    <w:rsid w:val="003459DA"/>
    <w:rsid w:val="00345AFE"/>
    <w:rsid w:val="003466DC"/>
    <w:rsid w:val="0034726E"/>
    <w:rsid w:val="0034772A"/>
    <w:rsid w:val="003478BA"/>
    <w:rsid w:val="0035137F"/>
    <w:rsid w:val="00352412"/>
    <w:rsid w:val="003524E7"/>
    <w:rsid w:val="003527E7"/>
    <w:rsid w:val="0035281F"/>
    <w:rsid w:val="00352AC0"/>
    <w:rsid w:val="00352C2B"/>
    <w:rsid w:val="00353D45"/>
    <w:rsid w:val="00353F00"/>
    <w:rsid w:val="00354335"/>
    <w:rsid w:val="00354B3F"/>
    <w:rsid w:val="003574AF"/>
    <w:rsid w:val="00357B30"/>
    <w:rsid w:val="00357C86"/>
    <w:rsid w:val="00357E52"/>
    <w:rsid w:val="00360021"/>
    <w:rsid w:val="003602BF"/>
    <w:rsid w:val="0036083B"/>
    <w:rsid w:val="003613D3"/>
    <w:rsid w:val="00362A3B"/>
    <w:rsid w:val="00362C9D"/>
    <w:rsid w:val="00362E0C"/>
    <w:rsid w:val="003631D0"/>
    <w:rsid w:val="00363352"/>
    <w:rsid w:val="00364CE7"/>
    <w:rsid w:val="00365AF0"/>
    <w:rsid w:val="00365B19"/>
    <w:rsid w:val="00365DC6"/>
    <w:rsid w:val="003662F5"/>
    <w:rsid w:val="0036678E"/>
    <w:rsid w:val="00367089"/>
    <w:rsid w:val="00367C3A"/>
    <w:rsid w:val="00370B00"/>
    <w:rsid w:val="00370B95"/>
    <w:rsid w:val="00370C52"/>
    <w:rsid w:val="00370CC1"/>
    <w:rsid w:val="00370DF9"/>
    <w:rsid w:val="00370F74"/>
    <w:rsid w:val="0037245A"/>
    <w:rsid w:val="003728B3"/>
    <w:rsid w:val="00372DEF"/>
    <w:rsid w:val="00373C49"/>
    <w:rsid w:val="00374633"/>
    <w:rsid w:val="003753F6"/>
    <w:rsid w:val="00375863"/>
    <w:rsid w:val="00375FD5"/>
    <w:rsid w:val="003763C2"/>
    <w:rsid w:val="00377658"/>
    <w:rsid w:val="003777CF"/>
    <w:rsid w:val="00377C8F"/>
    <w:rsid w:val="00380715"/>
    <w:rsid w:val="00381B10"/>
    <w:rsid w:val="003827B7"/>
    <w:rsid w:val="00382D8F"/>
    <w:rsid w:val="00383F0C"/>
    <w:rsid w:val="003842FB"/>
    <w:rsid w:val="003847DB"/>
    <w:rsid w:val="00384C81"/>
    <w:rsid w:val="003850F5"/>
    <w:rsid w:val="00385493"/>
    <w:rsid w:val="003854A0"/>
    <w:rsid w:val="00385996"/>
    <w:rsid w:val="00386023"/>
    <w:rsid w:val="003860A9"/>
    <w:rsid w:val="003865A4"/>
    <w:rsid w:val="0038670B"/>
    <w:rsid w:val="0039091B"/>
    <w:rsid w:val="003910E8"/>
    <w:rsid w:val="003914FC"/>
    <w:rsid w:val="00391AF4"/>
    <w:rsid w:val="003924F0"/>
    <w:rsid w:val="00392702"/>
    <w:rsid w:val="003927A5"/>
    <w:rsid w:val="003931C7"/>
    <w:rsid w:val="00393256"/>
    <w:rsid w:val="00393373"/>
    <w:rsid w:val="00393EE0"/>
    <w:rsid w:val="00393F7C"/>
    <w:rsid w:val="00394789"/>
    <w:rsid w:val="00394816"/>
    <w:rsid w:val="00394DC3"/>
    <w:rsid w:val="003955AE"/>
    <w:rsid w:val="00395B25"/>
    <w:rsid w:val="00395C83"/>
    <w:rsid w:val="00395F10"/>
    <w:rsid w:val="003963C2"/>
    <w:rsid w:val="003963CC"/>
    <w:rsid w:val="00396654"/>
    <w:rsid w:val="003972AD"/>
    <w:rsid w:val="003A0109"/>
    <w:rsid w:val="003A04D7"/>
    <w:rsid w:val="003A15A9"/>
    <w:rsid w:val="003A1A2C"/>
    <w:rsid w:val="003A460B"/>
    <w:rsid w:val="003A4BDF"/>
    <w:rsid w:val="003A4E20"/>
    <w:rsid w:val="003A4EB0"/>
    <w:rsid w:val="003A533F"/>
    <w:rsid w:val="003A6056"/>
    <w:rsid w:val="003A6917"/>
    <w:rsid w:val="003A6B8A"/>
    <w:rsid w:val="003A7157"/>
    <w:rsid w:val="003A78BB"/>
    <w:rsid w:val="003A7B08"/>
    <w:rsid w:val="003B08C0"/>
    <w:rsid w:val="003B08C9"/>
    <w:rsid w:val="003B18A7"/>
    <w:rsid w:val="003B1A0A"/>
    <w:rsid w:val="003B1B47"/>
    <w:rsid w:val="003B24C9"/>
    <w:rsid w:val="003B2CB3"/>
    <w:rsid w:val="003B442C"/>
    <w:rsid w:val="003B4EAD"/>
    <w:rsid w:val="003B50D0"/>
    <w:rsid w:val="003B573D"/>
    <w:rsid w:val="003B6048"/>
    <w:rsid w:val="003B7173"/>
    <w:rsid w:val="003B7C97"/>
    <w:rsid w:val="003C0EE0"/>
    <w:rsid w:val="003C2882"/>
    <w:rsid w:val="003C33DD"/>
    <w:rsid w:val="003C34F1"/>
    <w:rsid w:val="003C3A07"/>
    <w:rsid w:val="003C3F07"/>
    <w:rsid w:val="003C459B"/>
    <w:rsid w:val="003C5304"/>
    <w:rsid w:val="003C54F6"/>
    <w:rsid w:val="003C5551"/>
    <w:rsid w:val="003C561E"/>
    <w:rsid w:val="003C5676"/>
    <w:rsid w:val="003C5A29"/>
    <w:rsid w:val="003C6384"/>
    <w:rsid w:val="003C6938"/>
    <w:rsid w:val="003C6FF4"/>
    <w:rsid w:val="003C7741"/>
    <w:rsid w:val="003C791E"/>
    <w:rsid w:val="003D1544"/>
    <w:rsid w:val="003D1589"/>
    <w:rsid w:val="003D1F7C"/>
    <w:rsid w:val="003D30AE"/>
    <w:rsid w:val="003D375C"/>
    <w:rsid w:val="003D3D5B"/>
    <w:rsid w:val="003D4038"/>
    <w:rsid w:val="003D4A35"/>
    <w:rsid w:val="003D4DDC"/>
    <w:rsid w:val="003D5B1C"/>
    <w:rsid w:val="003D5E0D"/>
    <w:rsid w:val="003D5E82"/>
    <w:rsid w:val="003D65AD"/>
    <w:rsid w:val="003D6783"/>
    <w:rsid w:val="003D6E60"/>
    <w:rsid w:val="003D7E2C"/>
    <w:rsid w:val="003E0113"/>
    <w:rsid w:val="003E08BE"/>
    <w:rsid w:val="003E0AC5"/>
    <w:rsid w:val="003E0B10"/>
    <w:rsid w:val="003E0D36"/>
    <w:rsid w:val="003E0DCE"/>
    <w:rsid w:val="003E0E7A"/>
    <w:rsid w:val="003E2355"/>
    <w:rsid w:val="003E2AE2"/>
    <w:rsid w:val="003E2C27"/>
    <w:rsid w:val="003E32AF"/>
    <w:rsid w:val="003E5279"/>
    <w:rsid w:val="003E5465"/>
    <w:rsid w:val="003E5EAB"/>
    <w:rsid w:val="003E5F28"/>
    <w:rsid w:val="003E6495"/>
    <w:rsid w:val="003E6808"/>
    <w:rsid w:val="003E6C4A"/>
    <w:rsid w:val="003E72A9"/>
    <w:rsid w:val="003E72B4"/>
    <w:rsid w:val="003E74FC"/>
    <w:rsid w:val="003E76C6"/>
    <w:rsid w:val="003E7E28"/>
    <w:rsid w:val="003F0044"/>
    <w:rsid w:val="003F0213"/>
    <w:rsid w:val="003F0296"/>
    <w:rsid w:val="003F03BE"/>
    <w:rsid w:val="003F05FC"/>
    <w:rsid w:val="003F0CEE"/>
    <w:rsid w:val="003F0F0E"/>
    <w:rsid w:val="003F153B"/>
    <w:rsid w:val="003F16F8"/>
    <w:rsid w:val="003F251B"/>
    <w:rsid w:val="003F25CE"/>
    <w:rsid w:val="003F34EB"/>
    <w:rsid w:val="003F3D62"/>
    <w:rsid w:val="003F3ECD"/>
    <w:rsid w:val="003F3FFB"/>
    <w:rsid w:val="003F43C4"/>
    <w:rsid w:val="003F465C"/>
    <w:rsid w:val="003F4697"/>
    <w:rsid w:val="003F491A"/>
    <w:rsid w:val="003F6136"/>
    <w:rsid w:val="003F64D8"/>
    <w:rsid w:val="003F65FA"/>
    <w:rsid w:val="003F6AFF"/>
    <w:rsid w:val="003F6D6F"/>
    <w:rsid w:val="0040002C"/>
    <w:rsid w:val="004003DD"/>
    <w:rsid w:val="00400426"/>
    <w:rsid w:val="00400C7E"/>
    <w:rsid w:val="0040109F"/>
    <w:rsid w:val="00401BEB"/>
    <w:rsid w:val="004028DE"/>
    <w:rsid w:val="004029E6"/>
    <w:rsid w:val="00402E08"/>
    <w:rsid w:val="0040304F"/>
    <w:rsid w:val="00403225"/>
    <w:rsid w:val="004035E8"/>
    <w:rsid w:val="004037DF"/>
    <w:rsid w:val="00403BAB"/>
    <w:rsid w:val="00403FD3"/>
    <w:rsid w:val="00404570"/>
    <w:rsid w:val="004051E1"/>
    <w:rsid w:val="0040565F"/>
    <w:rsid w:val="00406A38"/>
    <w:rsid w:val="0040778D"/>
    <w:rsid w:val="00407802"/>
    <w:rsid w:val="004078EE"/>
    <w:rsid w:val="004106B6"/>
    <w:rsid w:val="0041117C"/>
    <w:rsid w:val="00411278"/>
    <w:rsid w:val="004114D0"/>
    <w:rsid w:val="00411A9E"/>
    <w:rsid w:val="00412F33"/>
    <w:rsid w:val="00412FE3"/>
    <w:rsid w:val="00413344"/>
    <w:rsid w:val="004139B1"/>
    <w:rsid w:val="00414F9D"/>
    <w:rsid w:val="004150D6"/>
    <w:rsid w:val="00415586"/>
    <w:rsid w:val="0041573B"/>
    <w:rsid w:val="00415C9D"/>
    <w:rsid w:val="00415E66"/>
    <w:rsid w:val="00415EB3"/>
    <w:rsid w:val="00417A7E"/>
    <w:rsid w:val="00417B45"/>
    <w:rsid w:val="00420299"/>
    <w:rsid w:val="00420481"/>
    <w:rsid w:val="004208BA"/>
    <w:rsid w:val="004215B3"/>
    <w:rsid w:val="00421638"/>
    <w:rsid w:val="0042322A"/>
    <w:rsid w:val="004235C7"/>
    <w:rsid w:val="00424B40"/>
    <w:rsid w:val="004250D2"/>
    <w:rsid w:val="004252B8"/>
    <w:rsid w:val="004255D7"/>
    <w:rsid w:val="00425726"/>
    <w:rsid w:val="004258B5"/>
    <w:rsid w:val="00425A31"/>
    <w:rsid w:val="00425F27"/>
    <w:rsid w:val="00426180"/>
    <w:rsid w:val="004269C0"/>
    <w:rsid w:val="0042725B"/>
    <w:rsid w:val="00430AAD"/>
    <w:rsid w:val="00430F93"/>
    <w:rsid w:val="00431AF7"/>
    <w:rsid w:val="0043202E"/>
    <w:rsid w:val="0043217A"/>
    <w:rsid w:val="004327CC"/>
    <w:rsid w:val="00432E25"/>
    <w:rsid w:val="00433B14"/>
    <w:rsid w:val="00434EF2"/>
    <w:rsid w:val="00435274"/>
    <w:rsid w:val="00435C6A"/>
    <w:rsid w:val="0043672A"/>
    <w:rsid w:val="00436845"/>
    <w:rsid w:val="004371BD"/>
    <w:rsid w:val="0043783C"/>
    <w:rsid w:val="00437BA3"/>
    <w:rsid w:val="0044078C"/>
    <w:rsid w:val="00440A6D"/>
    <w:rsid w:val="00440DB2"/>
    <w:rsid w:val="00443807"/>
    <w:rsid w:val="00443D58"/>
    <w:rsid w:val="00444303"/>
    <w:rsid w:val="00445281"/>
    <w:rsid w:val="00446482"/>
    <w:rsid w:val="004468A1"/>
    <w:rsid w:val="004471A1"/>
    <w:rsid w:val="00447FE9"/>
    <w:rsid w:val="004508EC"/>
    <w:rsid w:val="00450D03"/>
    <w:rsid w:val="00450DA7"/>
    <w:rsid w:val="00451E17"/>
    <w:rsid w:val="00451E44"/>
    <w:rsid w:val="004529D6"/>
    <w:rsid w:val="00452EAD"/>
    <w:rsid w:val="00453133"/>
    <w:rsid w:val="0045445C"/>
    <w:rsid w:val="00454DC5"/>
    <w:rsid w:val="00455C7E"/>
    <w:rsid w:val="00455DCB"/>
    <w:rsid w:val="004561BE"/>
    <w:rsid w:val="00457037"/>
    <w:rsid w:val="0045710E"/>
    <w:rsid w:val="00457464"/>
    <w:rsid w:val="00457E52"/>
    <w:rsid w:val="00461685"/>
    <w:rsid w:val="00462312"/>
    <w:rsid w:val="00462717"/>
    <w:rsid w:val="00462D4C"/>
    <w:rsid w:val="00463414"/>
    <w:rsid w:val="004634A8"/>
    <w:rsid w:val="0046360C"/>
    <w:rsid w:val="004643E8"/>
    <w:rsid w:val="00465183"/>
    <w:rsid w:val="004651DF"/>
    <w:rsid w:val="00465A3B"/>
    <w:rsid w:val="00465CA8"/>
    <w:rsid w:val="00466460"/>
    <w:rsid w:val="00466B54"/>
    <w:rsid w:val="004712E9"/>
    <w:rsid w:val="00471A51"/>
    <w:rsid w:val="00471CBB"/>
    <w:rsid w:val="00471DED"/>
    <w:rsid w:val="0047213F"/>
    <w:rsid w:val="0047242F"/>
    <w:rsid w:val="00472B66"/>
    <w:rsid w:val="00473138"/>
    <w:rsid w:val="0047369A"/>
    <w:rsid w:val="00473916"/>
    <w:rsid w:val="00473DB9"/>
    <w:rsid w:val="00474063"/>
    <w:rsid w:val="00475028"/>
    <w:rsid w:val="004757E2"/>
    <w:rsid w:val="00475E09"/>
    <w:rsid w:val="004769A5"/>
    <w:rsid w:val="00476EEA"/>
    <w:rsid w:val="00477192"/>
    <w:rsid w:val="00477426"/>
    <w:rsid w:val="004803C2"/>
    <w:rsid w:val="004807B0"/>
    <w:rsid w:val="0048161F"/>
    <w:rsid w:val="00482283"/>
    <w:rsid w:val="004825A4"/>
    <w:rsid w:val="00482D40"/>
    <w:rsid w:val="00483177"/>
    <w:rsid w:val="00484438"/>
    <w:rsid w:val="00484549"/>
    <w:rsid w:val="004848D1"/>
    <w:rsid w:val="004850FE"/>
    <w:rsid w:val="00485721"/>
    <w:rsid w:val="0048637F"/>
    <w:rsid w:val="00486643"/>
    <w:rsid w:val="004868CC"/>
    <w:rsid w:val="0048756F"/>
    <w:rsid w:val="00487975"/>
    <w:rsid w:val="004879D7"/>
    <w:rsid w:val="00490476"/>
    <w:rsid w:val="004905B7"/>
    <w:rsid w:val="00490A85"/>
    <w:rsid w:val="0049134C"/>
    <w:rsid w:val="004921F4"/>
    <w:rsid w:val="0049367A"/>
    <w:rsid w:val="004938C9"/>
    <w:rsid w:val="004944F4"/>
    <w:rsid w:val="00494AF8"/>
    <w:rsid w:val="00494D4B"/>
    <w:rsid w:val="004959F9"/>
    <w:rsid w:val="00496BCF"/>
    <w:rsid w:val="00497B30"/>
    <w:rsid w:val="00497D05"/>
    <w:rsid w:val="004A00FB"/>
    <w:rsid w:val="004A0708"/>
    <w:rsid w:val="004A088F"/>
    <w:rsid w:val="004A0C08"/>
    <w:rsid w:val="004A147F"/>
    <w:rsid w:val="004A1AEF"/>
    <w:rsid w:val="004A22A3"/>
    <w:rsid w:val="004A22B0"/>
    <w:rsid w:val="004A281C"/>
    <w:rsid w:val="004A315D"/>
    <w:rsid w:val="004A3A69"/>
    <w:rsid w:val="004A42E3"/>
    <w:rsid w:val="004A572C"/>
    <w:rsid w:val="004A722D"/>
    <w:rsid w:val="004B06FA"/>
    <w:rsid w:val="004B07D5"/>
    <w:rsid w:val="004B0B94"/>
    <w:rsid w:val="004B2699"/>
    <w:rsid w:val="004B2C13"/>
    <w:rsid w:val="004B44FC"/>
    <w:rsid w:val="004B46D3"/>
    <w:rsid w:val="004B4E89"/>
    <w:rsid w:val="004B5FD8"/>
    <w:rsid w:val="004B6453"/>
    <w:rsid w:val="004B6996"/>
    <w:rsid w:val="004C038F"/>
    <w:rsid w:val="004C0706"/>
    <w:rsid w:val="004C11BD"/>
    <w:rsid w:val="004C1337"/>
    <w:rsid w:val="004C2E7E"/>
    <w:rsid w:val="004C2ECA"/>
    <w:rsid w:val="004C3A99"/>
    <w:rsid w:val="004C4298"/>
    <w:rsid w:val="004C42CA"/>
    <w:rsid w:val="004C465F"/>
    <w:rsid w:val="004C4999"/>
    <w:rsid w:val="004C4BCB"/>
    <w:rsid w:val="004C599A"/>
    <w:rsid w:val="004C6C92"/>
    <w:rsid w:val="004C7624"/>
    <w:rsid w:val="004C7B45"/>
    <w:rsid w:val="004D0DA3"/>
    <w:rsid w:val="004D1231"/>
    <w:rsid w:val="004D22FB"/>
    <w:rsid w:val="004D252C"/>
    <w:rsid w:val="004D25D5"/>
    <w:rsid w:val="004D2769"/>
    <w:rsid w:val="004D2958"/>
    <w:rsid w:val="004D3561"/>
    <w:rsid w:val="004D4317"/>
    <w:rsid w:val="004D5C14"/>
    <w:rsid w:val="004D5EE6"/>
    <w:rsid w:val="004D62BB"/>
    <w:rsid w:val="004D6506"/>
    <w:rsid w:val="004D6DC4"/>
    <w:rsid w:val="004D73A5"/>
    <w:rsid w:val="004D7768"/>
    <w:rsid w:val="004E0341"/>
    <w:rsid w:val="004E0649"/>
    <w:rsid w:val="004E0D0C"/>
    <w:rsid w:val="004E15D0"/>
    <w:rsid w:val="004E20E6"/>
    <w:rsid w:val="004E2267"/>
    <w:rsid w:val="004E2891"/>
    <w:rsid w:val="004E2D17"/>
    <w:rsid w:val="004E3D12"/>
    <w:rsid w:val="004E47F5"/>
    <w:rsid w:val="004E4998"/>
    <w:rsid w:val="004E4A62"/>
    <w:rsid w:val="004E4FA4"/>
    <w:rsid w:val="004E5579"/>
    <w:rsid w:val="004E575F"/>
    <w:rsid w:val="004E5DB7"/>
    <w:rsid w:val="004E5FD1"/>
    <w:rsid w:val="004E641F"/>
    <w:rsid w:val="004E6F42"/>
    <w:rsid w:val="004E7B6D"/>
    <w:rsid w:val="004F0824"/>
    <w:rsid w:val="004F0845"/>
    <w:rsid w:val="004F1034"/>
    <w:rsid w:val="004F19D5"/>
    <w:rsid w:val="004F1E6D"/>
    <w:rsid w:val="004F30AA"/>
    <w:rsid w:val="004F315F"/>
    <w:rsid w:val="004F4684"/>
    <w:rsid w:val="004F4F8D"/>
    <w:rsid w:val="004F534A"/>
    <w:rsid w:val="004F53EF"/>
    <w:rsid w:val="004F574A"/>
    <w:rsid w:val="004F582F"/>
    <w:rsid w:val="004F59E1"/>
    <w:rsid w:val="004F5BB8"/>
    <w:rsid w:val="004F5CF3"/>
    <w:rsid w:val="004F5D84"/>
    <w:rsid w:val="004F62D7"/>
    <w:rsid w:val="004F64EF"/>
    <w:rsid w:val="004F7649"/>
    <w:rsid w:val="004F7ADA"/>
    <w:rsid w:val="004F7B30"/>
    <w:rsid w:val="004F7DB6"/>
    <w:rsid w:val="004F7EE2"/>
    <w:rsid w:val="0050000F"/>
    <w:rsid w:val="0050022F"/>
    <w:rsid w:val="00500F82"/>
    <w:rsid w:val="005014DB"/>
    <w:rsid w:val="00501AE8"/>
    <w:rsid w:val="00501BE6"/>
    <w:rsid w:val="00501F8D"/>
    <w:rsid w:val="00502EE8"/>
    <w:rsid w:val="00502F8E"/>
    <w:rsid w:val="00503E04"/>
    <w:rsid w:val="005041F5"/>
    <w:rsid w:val="0050450C"/>
    <w:rsid w:val="00504539"/>
    <w:rsid w:val="0050499B"/>
    <w:rsid w:val="00504B28"/>
    <w:rsid w:val="0050670B"/>
    <w:rsid w:val="00510706"/>
    <w:rsid w:val="00510A12"/>
    <w:rsid w:val="00511D0B"/>
    <w:rsid w:val="00511D4A"/>
    <w:rsid w:val="00512015"/>
    <w:rsid w:val="00513540"/>
    <w:rsid w:val="0051381B"/>
    <w:rsid w:val="00513BB0"/>
    <w:rsid w:val="00514642"/>
    <w:rsid w:val="00514BCA"/>
    <w:rsid w:val="00514FF3"/>
    <w:rsid w:val="00515329"/>
    <w:rsid w:val="0051577C"/>
    <w:rsid w:val="005166E5"/>
    <w:rsid w:val="00516842"/>
    <w:rsid w:val="005173D2"/>
    <w:rsid w:val="00517E0E"/>
    <w:rsid w:val="00517ED0"/>
    <w:rsid w:val="005202ED"/>
    <w:rsid w:val="00520399"/>
    <w:rsid w:val="00521BC8"/>
    <w:rsid w:val="00521D31"/>
    <w:rsid w:val="00522CED"/>
    <w:rsid w:val="00523857"/>
    <w:rsid w:val="00524446"/>
    <w:rsid w:val="005245FC"/>
    <w:rsid w:val="0052484B"/>
    <w:rsid w:val="005260A1"/>
    <w:rsid w:val="0052655E"/>
    <w:rsid w:val="005265C0"/>
    <w:rsid w:val="00526AFA"/>
    <w:rsid w:val="005272F8"/>
    <w:rsid w:val="00527A2D"/>
    <w:rsid w:val="00527AF2"/>
    <w:rsid w:val="00531066"/>
    <w:rsid w:val="005314DE"/>
    <w:rsid w:val="00531F27"/>
    <w:rsid w:val="00532948"/>
    <w:rsid w:val="005329C3"/>
    <w:rsid w:val="005345DD"/>
    <w:rsid w:val="00534B8C"/>
    <w:rsid w:val="00534C56"/>
    <w:rsid w:val="0053556E"/>
    <w:rsid w:val="00535BD2"/>
    <w:rsid w:val="00535FDB"/>
    <w:rsid w:val="005368F5"/>
    <w:rsid w:val="00537571"/>
    <w:rsid w:val="005377C2"/>
    <w:rsid w:val="0054074D"/>
    <w:rsid w:val="005408CB"/>
    <w:rsid w:val="00540B00"/>
    <w:rsid w:val="00541480"/>
    <w:rsid w:val="00541617"/>
    <w:rsid w:val="005439AD"/>
    <w:rsid w:val="00543C47"/>
    <w:rsid w:val="00543DF1"/>
    <w:rsid w:val="00544001"/>
    <w:rsid w:val="00544447"/>
    <w:rsid w:val="00544D22"/>
    <w:rsid w:val="005458D2"/>
    <w:rsid w:val="00545D82"/>
    <w:rsid w:val="00546638"/>
    <w:rsid w:val="005472A8"/>
    <w:rsid w:val="00547CD8"/>
    <w:rsid w:val="0055073F"/>
    <w:rsid w:val="00550C04"/>
    <w:rsid w:val="00550F36"/>
    <w:rsid w:val="005512AF"/>
    <w:rsid w:val="0055178A"/>
    <w:rsid w:val="00551DAE"/>
    <w:rsid w:val="00552624"/>
    <w:rsid w:val="005528F1"/>
    <w:rsid w:val="00552BE9"/>
    <w:rsid w:val="00552F25"/>
    <w:rsid w:val="00553921"/>
    <w:rsid w:val="00553BF7"/>
    <w:rsid w:val="00553D10"/>
    <w:rsid w:val="00553FB8"/>
    <w:rsid w:val="00554C04"/>
    <w:rsid w:val="0055580B"/>
    <w:rsid w:val="00555C5F"/>
    <w:rsid w:val="0055607B"/>
    <w:rsid w:val="005565E0"/>
    <w:rsid w:val="0055718C"/>
    <w:rsid w:val="00557528"/>
    <w:rsid w:val="005575F7"/>
    <w:rsid w:val="005576D1"/>
    <w:rsid w:val="0056038C"/>
    <w:rsid w:val="0056079D"/>
    <w:rsid w:val="005610C1"/>
    <w:rsid w:val="0056112C"/>
    <w:rsid w:val="0056259D"/>
    <w:rsid w:val="00562DF0"/>
    <w:rsid w:val="00563304"/>
    <w:rsid w:val="00563E07"/>
    <w:rsid w:val="00564036"/>
    <w:rsid w:val="00564A7C"/>
    <w:rsid w:val="005650FE"/>
    <w:rsid w:val="005652AB"/>
    <w:rsid w:val="00566B7F"/>
    <w:rsid w:val="00567CFE"/>
    <w:rsid w:val="0057118E"/>
    <w:rsid w:val="005728D6"/>
    <w:rsid w:val="005742EB"/>
    <w:rsid w:val="00574737"/>
    <w:rsid w:val="00574B7D"/>
    <w:rsid w:val="00576386"/>
    <w:rsid w:val="00576446"/>
    <w:rsid w:val="00576FBC"/>
    <w:rsid w:val="00577B53"/>
    <w:rsid w:val="00580E49"/>
    <w:rsid w:val="00581392"/>
    <w:rsid w:val="0058151A"/>
    <w:rsid w:val="005815AF"/>
    <w:rsid w:val="005818CE"/>
    <w:rsid w:val="00581E53"/>
    <w:rsid w:val="00584316"/>
    <w:rsid w:val="0058461F"/>
    <w:rsid w:val="005858D1"/>
    <w:rsid w:val="00585B64"/>
    <w:rsid w:val="0058660A"/>
    <w:rsid w:val="005872FB"/>
    <w:rsid w:val="00587450"/>
    <w:rsid w:val="00587B42"/>
    <w:rsid w:val="005905FC"/>
    <w:rsid w:val="00591105"/>
    <w:rsid w:val="00591642"/>
    <w:rsid w:val="00591844"/>
    <w:rsid w:val="0059249F"/>
    <w:rsid w:val="005929EB"/>
    <w:rsid w:val="00592FFD"/>
    <w:rsid w:val="005934DC"/>
    <w:rsid w:val="00593BDB"/>
    <w:rsid w:val="00593E87"/>
    <w:rsid w:val="0059401C"/>
    <w:rsid w:val="00594E7C"/>
    <w:rsid w:val="00596800"/>
    <w:rsid w:val="00596A80"/>
    <w:rsid w:val="00596AF6"/>
    <w:rsid w:val="00596E9C"/>
    <w:rsid w:val="005973A7"/>
    <w:rsid w:val="005A08D9"/>
    <w:rsid w:val="005A0BDD"/>
    <w:rsid w:val="005A119F"/>
    <w:rsid w:val="005A11E7"/>
    <w:rsid w:val="005A14F7"/>
    <w:rsid w:val="005A39E1"/>
    <w:rsid w:val="005A40B5"/>
    <w:rsid w:val="005A40C3"/>
    <w:rsid w:val="005A4494"/>
    <w:rsid w:val="005A6DFB"/>
    <w:rsid w:val="005B0992"/>
    <w:rsid w:val="005B1213"/>
    <w:rsid w:val="005B1513"/>
    <w:rsid w:val="005B155C"/>
    <w:rsid w:val="005B1AC4"/>
    <w:rsid w:val="005B1BA7"/>
    <w:rsid w:val="005B1F75"/>
    <w:rsid w:val="005B1FAA"/>
    <w:rsid w:val="005B20C5"/>
    <w:rsid w:val="005B2B4F"/>
    <w:rsid w:val="005B31AC"/>
    <w:rsid w:val="005B31F0"/>
    <w:rsid w:val="005B39E5"/>
    <w:rsid w:val="005B3F0E"/>
    <w:rsid w:val="005B45A2"/>
    <w:rsid w:val="005B46BE"/>
    <w:rsid w:val="005B48E1"/>
    <w:rsid w:val="005B4FDE"/>
    <w:rsid w:val="005B51E3"/>
    <w:rsid w:val="005B6128"/>
    <w:rsid w:val="005B612D"/>
    <w:rsid w:val="005C153E"/>
    <w:rsid w:val="005C1654"/>
    <w:rsid w:val="005C1A8E"/>
    <w:rsid w:val="005C1ACD"/>
    <w:rsid w:val="005C25D9"/>
    <w:rsid w:val="005C3880"/>
    <w:rsid w:val="005C48D8"/>
    <w:rsid w:val="005C4A91"/>
    <w:rsid w:val="005C4BDD"/>
    <w:rsid w:val="005C5C77"/>
    <w:rsid w:val="005C5E6D"/>
    <w:rsid w:val="005C6187"/>
    <w:rsid w:val="005C64BA"/>
    <w:rsid w:val="005C6955"/>
    <w:rsid w:val="005C6F6E"/>
    <w:rsid w:val="005C72BA"/>
    <w:rsid w:val="005C7A42"/>
    <w:rsid w:val="005D04F4"/>
    <w:rsid w:val="005D095B"/>
    <w:rsid w:val="005D0E8A"/>
    <w:rsid w:val="005D1926"/>
    <w:rsid w:val="005D1F34"/>
    <w:rsid w:val="005D241D"/>
    <w:rsid w:val="005D2634"/>
    <w:rsid w:val="005D26CE"/>
    <w:rsid w:val="005D312F"/>
    <w:rsid w:val="005D3610"/>
    <w:rsid w:val="005D3A86"/>
    <w:rsid w:val="005D3C80"/>
    <w:rsid w:val="005D4B87"/>
    <w:rsid w:val="005D58CD"/>
    <w:rsid w:val="005D6781"/>
    <w:rsid w:val="005D7F2F"/>
    <w:rsid w:val="005E122B"/>
    <w:rsid w:val="005E2129"/>
    <w:rsid w:val="005E257A"/>
    <w:rsid w:val="005E2C35"/>
    <w:rsid w:val="005E414C"/>
    <w:rsid w:val="005E619C"/>
    <w:rsid w:val="005E69F7"/>
    <w:rsid w:val="005E79CB"/>
    <w:rsid w:val="005E7A63"/>
    <w:rsid w:val="005E7E51"/>
    <w:rsid w:val="005F0347"/>
    <w:rsid w:val="005F1044"/>
    <w:rsid w:val="005F113B"/>
    <w:rsid w:val="005F13F7"/>
    <w:rsid w:val="005F1F44"/>
    <w:rsid w:val="005F224C"/>
    <w:rsid w:val="005F2A99"/>
    <w:rsid w:val="005F3115"/>
    <w:rsid w:val="005F3B47"/>
    <w:rsid w:val="005F3D32"/>
    <w:rsid w:val="005F457F"/>
    <w:rsid w:val="005F4EA3"/>
    <w:rsid w:val="005F5F45"/>
    <w:rsid w:val="005F6720"/>
    <w:rsid w:val="005F6D91"/>
    <w:rsid w:val="005F6D9F"/>
    <w:rsid w:val="005F6DFE"/>
    <w:rsid w:val="005F6FD9"/>
    <w:rsid w:val="005F71E2"/>
    <w:rsid w:val="005F737A"/>
    <w:rsid w:val="005F74B2"/>
    <w:rsid w:val="005F788B"/>
    <w:rsid w:val="005F78DA"/>
    <w:rsid w:val="006001FD"/>
    <w:rsid w:val="00601292"/>
    <w:rsid w:val="00601364"/>
    <w:rsid w:val="00601ACA"/>
    <w:rsid w:val="00601F22"/>
    <w:rsid w:val="00602790"/>
    <w:rsid w:val="00602C33"/>
    <w:rsid w:val="0060341A"/>
    <w:rsid w:val="00604003"/>
    <w:rsid w:val="00604349"/>
    <w:rsid w:val="00606045"/>
    <w:rsid w:val="006060A1"/>
    <w:rsid w:val="00606152"/>
    <w:rsid w:val="0060619D"/>
    <w:rsid w:val="0060663F"/>
    <w:rsid w:val="0060683C"/>
    <w:rsid w:val="00607147"/>
    <w:rsid w:val="00607577"/>
    <w:rsid w:val="0061001F"/>
    <w:rsid w:val="0061051A"/>
    <w:rsid w:val="00610B63"/>
    <w:rsid w:val="00611CF2"/>
    <w:rsid w:val="00611D37"/>
    <w:rsid w:val="00611EC6"/>
    <w:rsid w:val="006122CD"/>
    <w:rsid w:val="006124C8"/>
    <w:rsid w:val="0061281A"/>
    <w:rsid w:val="00612F50"/>
    <w:rsid w:val="006132C7"/>
    <w:rsid w:val="00613BB8"/>
    <w:rsid w:val="00614619"/>
    <w:rsid w:val="00614755"/>
    <w:rsid w:val="00615744"/>
    <w:rsid w:val="006158EC"/>
    <w:rsid w:val="00616158"/>
    <w:rsid w:val="006165B0"/>
    <w:rsid w:val="00617BDF"/>
    <w:rsid w:val="00620D68"/>
    <w:rsid w:val="00620DAC"/>
    <w:rsid w:val="00621210"/>
    <w:rsid w:val="006219F2"/>
    <w:rsid w:val="00621A4F"/>
    <w:rsid w:val="00621BDF"/>
    <w:rsid w:val="00621CC5"/>
    <w:rsid w:val="00621F47"/>
    <w:rsid w:val="00622F1C"/>
    <w:rsid w:val="00623131"/>
    <w:rsid w:val="00623480"/>
    <w:rsid w:val="00623764"/>
    <w:rsid w:val="00625A3C"/>
    <w:rsid w:val="006266CB"/>
    <w:rsid w:val="00627224"/>
    <w:rsid w:val="0062723A"/>
    <w:rsid w:val="00627AFA"/>
    <w:rsid w:val="006307C0"/>
    <w:rsid w:val="00630A49"/>
    <w:rsid w:val="00630D5D"/>
    <w:rsid w:val="00631B48"/>
    <w:rsid w:val="00631BFE"/>
    <w:rsid w:val="00631FDA"/>
    <w:rsid w:val="0063201A"/>
    <w:rsid w:val="00632B5D"/>
    <w:rsid w:val="00632CEE"/>
    <w:rsid w:val="00632D7C"/>
    <w:rsid w:val="00633516"/>
    <w:rsid w:val="006344EA"/>
    <w:rsid w:val="00634FD1"/>
    <w:rsid w:val="006352B4"/>
    <w:rsid w:val="00635993"/>
    <w:rsid w:val="006359C6"/>
    <w:rsid w:val="00635E5F"/>
    <w:rsid w:val="006361F4"/>
    <w:rsid w:val="0063674F"/>
    <w:rsid w:val="00636C0B"/>
    <w:rsid w:val="006371BD"/>
    <w:rsid w:val="00637377"/>
    <w:rsid w:val="006403BA"/>
    <w:rsid w:val="00640492"/>
    <w:rsid w:val="006415FD"/>
    <w:rsid w:val="00641715"/>
    <w:rsid w:val="00642801"/>
    <w:rsid w:val="00642A6D"/>
    <w:rsid w:val="00642C04"/>
    <w:rsid w:val="00642C94"/>
    <w:rsid w:val="0064366E"/>
    <w:rsid w:val="00644627"/>
    <w:rsid w:val="00644948"/>
    <w:rsid w:val="00644A6D"/>
    <w:rsid w:val="00645B1A"/>
    <w:rsid w:val="00645F08"/>
    <w:rsid w:val="00645FAB"/>
    <w:rsid w:val="006461E4"/>
    <w:rsid w:val="006470EF"/>
    <w:rsid w:val="00647EEE"/>
    <w:rsid w:val="00650860"/>
    <w:rsid w:val="00650913"/>
    <w:rsid w:val="00650C85"/>
    <w:rsid w:val="00653214"/>
    <w:rsid w:val="0065335B"/>
    <w:rsid w:val="006536D9"/>
    <w:rsid w:val="00654079"/>
    <w:rsid w:val="006542A4"/>
    <w:rsid w:val="006551D3"/>
    <w:rsid w:val="006552CD"/>
    <w:rsid w:val="006566B5"/>
    <w:rsid w:val="00656969"/>
    <w:rsid w:val="00656FBC"/>
    <w:rsid w:val="00657261"/>
    <w:rsid w:val="00657CE7"/>
    <w:rsid w:val="00657E36"/>
    <w:rsid w:val="006607A6"/>
    <w:rsid w:val="006613D1"/>
    <w:rsid w:val="0066140D"/>
    <w:rsid w:val="006614A8"/>
    <w:rsid w:val="00661EB9"/>
    <w:rsid w:val="0066249F"/>
    <w:rsid w:val="006635B2"/>
    <w:rsid w:val="0066394D"/>
    <w:rsid w:val="00664889"/>
    <w:rsid w:val="00664A70"/>
    <w:rsid w:val="00664BD4"/>
    <w:rsid w:val="0066555D"/>
    <w:rsid w:val="00665AF7"/>
    <w:rsid w:val="00665D3E"/>
    <w:rsid w:val="006671BA"/>
    <w:rsid w:val="00667DB1"/>
    <w:rsid w:val="006702EF"/>
    <w:rsid w:val="006703C2"/>
    <w:rsid w:val="006706C8"/>
    <w:rsid w:val="00670E83"/>
    <w:rsid w:val="00670F05"/>
    <w:rsid w:val="0067184C"/>
    <w:rsid w:val="00671D46"/>
    <w:rsid w:val="0067274B"/>
    <w:rsid w:val="00672B37"/>
    <w:rsid w:val="006746AC"/>
    <w:rsid w:val="00674B28"/>
    <w:rsid w:val="0067516B"/>
    <w:rsid w:val="00676973"/>
    <w:rsid w:val="006777E3"/>
    <w:rsid w:val="00680005"/>
    <w:rsid w:val="00680B22"/>
    <w:rsid w:val="00680BB6"/>
    <w:rsid w:val="00680CF2"/>
    <w:rsid w:val="00681490"/>
    <w:rsid w:val="00681601"/>
    <w:rsid w:val="006819D0"/>
    <w:rsid w:val="006819FD"/>
    <w:rsid w:val="00681DF8"/>
    <w:rsid w:val="00682918"/>
    <w:rsid w:val="00684224"/>
    <w:rsid w:val="00684431"/>
    <w:rsid w:val="00684BAD"/>
    <w:rsid w:val="0068630E"/>
    <w:rsid w:val="00686682"/>
    <w:rsid w:val="00686CAC"/>
    <w:rsid w:val="00690056"/>
    <w:rsid w:val="00690313"/>
    <w:rsid w:val="006917DA"/>
    <w:rsid w:val="00691ABD"/>
    <w:rsid w:val="00692156"/>
    <w:rsid w:val="00692654"/>
    <w:rsid w:val="0069290A"/>
    <w:rsid w:val="00693191"/>
    <w:rsid w:val="006935F1"/>
    <w:rsid w:val="00693BCC"/>
    <w:rsid w:val="006942F5"/>
    <w:rsid w:val="00694446"/>
    <w:rsid w:val="00694A54"/>
    <w:rsid w:val="0069538A"/>
    <w:rsid w:val="006954C0"/>
    <w:rsid w:val="00695DF1"/>
    <w:rsid w:val="00696390"/>
    <w:rsid w:val="00696D45"/>
    <w:rsid w:val="00697204"/>
    <w:rsid w:val="006972CE"/>
    <w:rsid w:val="00697795"/>
    <w:rsid w:val="006A09DE"/>
    <w:rsid w:val="006A110C"/>
    <w:rsid w:val="006A17F5"/>
    <w:rsid w:val="006A1905"/>
    <w:rsid w:val="006A1B9E"/>
    <w:rsid w:val="006A2816"/>
    <w:rsid w:val="006A4C4A"/>
    <w:rsid w:val="006A514B"/>
    <w:rsid w:val="006A539A"/>
    <w:rsid w:val="006A661D"/>
    <w:rsid w:val="006A6BB3"/>
    <w:rsid w:val="006A6E2B"/>
    <w:rsid w:val="006A7D82"/>
    <w:rsid w:val="006B03F9"/>
    <w:rsid w:val="006B250C"/>
    <w:rsid w:val="006B3680"/>
    <w:rsid w:val="006B3689"/>
    <w:rsid w:val="006B460B"/>
    <w:rsid w:val="006B4C0D"/>
    <w:rsid w:val="006B7047"/>
    <w:rsid w:val="006B7482"/>
    <w:rsid w:val="006B7B85"/>
    <w:rsid w:val="006B7F37"/>
    <w:rsid w:val="006B7F98"/>
    <w:rsid w:val="006C0D44"/>
    <w:rsid w:val="006C0D88"/>
    <w:rsid w:val="006C14D9"/>
    <w:rsid w:val="006C1AF3"/>
    <w:rsid w:val="006C1B57"/>
    <w:rsid w:val="006C23E2"/>
    <w:rsid w:val="006C2ADC"/>
    <w:rsid w:val="006C362D"/>
    <w:rsid w:val="006C3BC7"/>
    <w:rsid w:val="006C4649"/>
    <w:rsid w:val="006C4CCD"/>
    <w:rsid w:val="006C4CE8"/>
    <w:rsid w:val="006C52B3"/>
    <w:rsid w:val="006C588E"/>
    <w:rsid w:val="006C5F37"/>
    <w:rsid w:val="006C725D"/>
    <w:rsid w:val="006C737C"/>
    <w:rsid w:val="006C741B"/>
    <w:rsid w:val="006C7718"/>
    <w:rsid w:val="006C7BA0"/>
    <w:rsid w:val="006D1CF7"/>
    <w:rsid w:val="006D2202"/>
    <w:rsid w:val="006D2E44"/>
    <w:rsid w:val="006D3702"/>
    <w:rsid w:val="006D4059"/>
    <w:rsid w:val="006D438A"/>
    <w:rsid w:val="006D44E6"/>
    <w:rsid w:val="006D4D1C"/>
    <w:rsid w:val="006D5165"/>
    <w:rsid w:val="006D5EE5"/>
    <w:rsid w:val="006D6486"/>
    <w:rsid w:val="006D68CE"/>
    <w:rsid w:val="006D6A24"/>
    <w:rsid w:val="006D6F59"/>
    <w:rsid w:val="006E05AE"/>
    <w:rsid w:val="006E06ED"/>
    <w:rsid w:val="006E06F5"/>
    <w:rsid w:val="006E08D7"/>
    <w:rsid w:val="006E0C55"/>
    <w:rsid w:val="006E111D"/>
    <w:rsid w:val="006E196B"/>
    <w:rsid w:val="006E2776"/>
    <w:rsid w:val="006E27FD"/>
    <w:rsid w:val="006E2FAD"/>
    <w:rsid w:val="006E37D2"/>
    <w:rsid w:val="006E3808"/>
    <w:rsid w:val="006E58B9"/>
    <w:rsid w:val="006E6702"/>
    <w:rsid w:val="006E745B"/>
    <w:rsid w:val="006E7EDB"/>
    <w:rsid w:val="006F0085"/>
    <w:rsid w:val="006F07AE"/>
    <w:rsid w:val="006F0946"/>
    <w:rsid w:val="006F0CBC"/>
    <w:rsid w:val="006F0EEA"/>
    <w:rsid w:val="006F1167"/>
    <w:rsid w:val="006F11BF"/>
    <w:rsid w:val="006F1356"/>
    <w:rsid w:val="006F1B24"/>
    <w:rsid w:val="006F1BD9"/>
    <w:rsid w:val="006F1EC6"/>
    <w:rsid w:val="006F1EE3"/>
    <w:rsid w:val="006F2E6F"/>
    <w:rsid w:val="006F4402"/>
    <w:rsid w:val="006F4560"/>
    <w:rsid w:val="006F4AF1"/>
    <w:rsid w:val="006F4CA0"/>
    <w:rsid w:val="006F5B77"/>
    <w:rsid w:val="006F60D2"/>
    <w:rsid w:val="006F63A2"/>
    <w:rsid w:val="006F74D9"/>
    <w:rsid w:val="00700C30"/>
    <w:rsid w:val="00703477"/>
    <w:rsid w:val="0070368F"/>
    <w:rsid w:val="007039FC"/>
    <w:rsid w:val="00704A6B"/>
    <w:rsid w:val="00704B48"/>
    <w:rsid w:val="00704B80"/>
    <w:rsid w:val="00704DAA"/>
    <w:rsid w:val="007050FF"/>
    <w:rsid w:val="007066CA"/>
    <w:rsid w:val="00706D54"/>
    <w:rsid w:val="00706FAB"/>
    <w:rsid w:val="00707793"/>
    <w:rsid w:val="007100FB"/>
    <w:rsid w:val="007102B3"/>
    <w:rsid w:val="00710973"/>
    <w:rsid w:val="0071261A"/>
    <w:rsid w:val="00712989"/>
    <w:rsid w:val="00712C29"/>
    <w:rsid w:val="007135E5"/>
    <w:rsid w:val="0071417A"/>
    <w:rsid w:val="007144BD"/>
    <w:rsid w:val="0071476B"/>
    <w:rsid w:val="0071497D"/>
    <w:rsid w:val="00714A29"/>
    <w:rsid w:val="00715184"/>
    <w:rsid w:val="00715C59"/>
    <w:rsid w:val="00716579"/>
    <w:rsid w:val="00716871"/>
    <w:rsid w:val="007169BB"/>
    <w:rsid w:val="00716F43"/>
    <w:rsid w:val="007175D2"/>
    <w:rsid w:val="007205C2"/>
    <w:rsid w:val="007207AF"/>
    <w:rsid w:val="00720ABC"/>
    <w:rsid w:val="00721875"/>
    <w:rsid w:val="007220ED"/>
    <w:rsid w:val="00722111"/>
    <w:rsid w:val="00723233"/>
    <w:rsid w:val="0072334A"/>
    <w:rsid w:val="00723F36"/>
    <w:rsid w:val="007243C5"/>
    <w:rsid w:val="00725003"/>
    <w:rsid w:val="007253A1"/>
    <w:rsid w:val="0072559A"/>
    <w:rsid w:val="00725D5E"/>
    <w:rsid w:val="00725D93"/>
    <w:rsid w:val="00726F2F"/>
    <w:rsid w:val="0072720A"/>
    <w:rsid w:val="00727A95"/>
    <w:rsid w:val="00730CE1"/>
    <w:rsid w:val="0073114B"/>
    <w:rsid w:val="00731B4D"/>
    <w:rsid w:val="00731F4F"/>
    <w:rsid w:val="00732084"/>
    <w:rsid w:val="00732947"/>
    <w:rsid w:val="00732F19"/>
    <w:rsid w:val="00733316"/>
    <w:rsid w:val="00733ED4"/>
    <w:rsid w:val="0073487C"/>
    <w:rsid w:val="00734F2B"/>
    <w:rsid w:val="00735122"/>
    <w:rsid w:val="0073593B"/>
    <w:rsid w:val="00735FD6"/>
    <w:rsid w:val="007366A4"/>
    <w:rsid w:val="007366F0"/>
    <w:rsid w:val="00736CBF"/>
    <w:rsid w:val="00737151"/>
    <w:rsid w:val="007374B7"/>
    <w:rsid w:val="0073777B"/>
    <w:rsid w:val="007400B8"/>
    <w:rsid w:val="0074048D"/>
    <w:rsid w:val="00740B7E"/>
    <w:rsid w:val="00740E4D"/>
    <w:rsid w:val="00741591"/>
    <w:rsid w:val="00741B12"/>
    <w:rsid w:val="00741F87"/>
    <w:rsid w:val="00742519"/>
    <w:rsid w:val="00743EC7"/>
    <w:rsid w:val="007453BA"/>
    <w:rsid w:val="00745E2F"/>
    <w:rsid w:val="00746271"/>
    <w:rsid w:val="00746474"/>
    <w:rsid w:val="00746849"/>
    <w:rsid w:val="00747070"/>
    <w:rsid w:val="007470B3"/>
    <w:rsid w:val="00747549"/>
    <w:rsid w:val="007502CC"/>
    <w:rsid w:val="007503C6"/>
    <w:rsid w:val="00750E30"/>
    <w:rsid w:val="00751B0A"/>
    <w:rsid w:val="00751D09"/>
    <w:rsid w:val="00751F39"/>
    <w:rsid w:val="00752300"/>
    <w:rsid w:val="0075275D"/>
    <w:rsid w:val="00752C79"/>
    <w:rsid w:val="00754609"/>
    <w:rsid w:val="007548CA"/>
    <w:rsid w:val="00754BDF"/>
    <w:rsid w:val="00754FB0"/>
    <w:rsid w:val="00755A13"/>
    <w:rsid w:val="00755C9B"/>
    <w:rsid w:val="00756E80"/>
    <w:rsid w:val="00757B41"/>
    <w:rsid w:val="00757B8D"/>
    <w:rsid w:val="007600C0"/>
    <w:rsid w:val="007609F0"/>
    <w:rsid w:val="0076187E"/>
    <w:rsid w:val="00761FE4"/>
    <w:rsid w:val="0076229B"/>
    <w:rsid w:val="0076240E"/>
    <w:rsid w:val="007626E1"/>
    <w:rsid w:val="00764864"/>
    <w:rsid w:val="00764AAA"/>
    <w:rsid w:val="00765353"/>
    <w:rsid w:val="00765654"/>
    <w:rsid w:val="007658F1"/>
    <w:rsid w:val="00765E43"/>
    <w:rsid w:val="00766282"/>
    <w:rsid w:val="00766287"/>
    <w:rsid w:val="0076628E"/>
    <w:rsid w:val="00767335"/>
    <w:rsid w:val="007707D8"/>
    <w:rsid w:val="0077087C"/>
    <w:rsid w:val="00770DCB"/>
    <w:rsid w:val="0077401A"/>
    <w:rsid w:val="00774731"/>
    <w:rsid w:val="007748A0"/>
    <w:rsid w:val="00774A2A"/>
    <w:rsid w:val="00774F91"/>
    <w:rsid w:val="00775485"/>
    <w:rsid w:val="007757F1"/>
    <w:rsid w:val="00775AC2"/>
    <w:rsid w:val="00775D01"/>
    <w:rsid w:val="00776340"/>
    <w:rsid w:val="007765E0"/>
    <w:rsid w:val="007765EE"/>
    <w:rsid w:val="00776CE1"/>
    <w:rsid w:val="0077755F"/>
    <w:rsid w:val="0078158B"/>
    <w:rsid w:val="00782BC9"/>
    <w:rsid w:val="007832D3"/>
    <w:rsid w:val="007833CE"/>
    <w:rsid w:val="007838D9"/>
    <w:rsid w:val="007841E1"/>
    <w:rsid w:val="00784549"/>
    <w:rsid w:val="007845AF"/>
    <w:rsid w:val="00785295"/>
    <w:rsid w:val="0078755C"/>
    <w:rsid w:val="007875B1"/>
    <w:rsid w:val="007875DE"/>
    <w:rsid w:val="00787E29"/>
    <w:rsid w:val="00790AAA"/>
    <w:rsid w:val="007912BC"/>
    <w:rsid w:val="00791832"/>
    <w:rsid w:val="00791A98"/>
    <w:rsid w:val="00791DD8"/>
    <w:rsid w:val="00791EEC"/>
    <w:rsid w:val="0079285F"/>
    <w:rsid w:val="007929F8"/>
    <w:rsid w:val="00792AD3"/>
    <w:rsid w:val="00793272"/>
    <w:rsid w:val="007936BE"/>
    <w:rsid w:val="00793D41"/>
    <w:rsid w:val="00793EF6"/>
    <w:rsid w:val="00793F23"/>
    <w:rsid w:val="00795192"/>
    <w:rsid w:val="007952D7"/>
    <w:rsid w:val="00795A3F"/>
    <w:rsid w:val="00795E24"/>
    <w:rsid w:val="00795E2F"/>
    <w:rsid w:val="00796C41"/>
    <w:rsid w:val="007A0088"/>
    <w:rsid w:val="007A0597"/>
    <w:rsid w:val="007A1105"/>
    <w:rsid w:val="007A1277"/>
    <w:rsid w:val="007A147A"/>
    <w:rsid w:val="007A153A"/>
    <w:rsid w:val="007A1D94"/>
    <w:rsid w:val="007A23D2"/>
    <w:rsid w:val="007A2DA2"/>
    <w:rsid w:val="007A2F47"/>
    <w:rsid w:val="007A426C"/>
    <w:rsid w:val="007A5667"/>
    <w:rsid w:val="007A6272"/>
    <w:rsid w:val="007A6B87"/>
    <w:rsid w:val="007B0430"/>
    <w:rsid w:val="007B1259"/>
    <w:rsid w:val="007B14AA"/>
    <w:rsid w:val="007B1724"/>
    <w:rsid w:val="007B19D1"/>
    <w:rsid w:val="007B1C35"/>
    <w:rsid w:val="007B3924"/>
    <w:rsid w:val="007B3D53"/>
    <w:rsid w:val="007B40DE"/>
    <w:rsid w:val="007B51DD"/>
    <w:rsid w:val="007B5917"/>
    <w:rsid w:val="007B5C30"/>
    <w:rsid w:val="007B6C8C"/>
    <w:rsid w:val="007B7B6B"/>
    <w:rsid w:val="007B7D41"/>
    <w:rsid w:val="007B7F51"/>
    <w:rsid w:val="007C0165"/>
    <w:rsid w:val="007C048C"/>
    <w:rsid w:val="007C0CF6"/>
    <w:rsid w:val="007C1246"/>
    <w:rsid w:val="007C1CD3"/>
    <w:rsid w:val="007C2317"/>
    <w:rsid w:val="007C24F1"/>
    <w:rsid w:val="007C2C5F"/>
    <w:rsid w:val="007C3964"/>
    <w:rsid w:val="007C51FF"/>
    <w:rsid w:val="007C5489"/>
    <w:rsid w:val="007C5838"/>
    <w:rsid w:val="007C5B7F"/>
    <w:rsid w:val="007C61F2"/>
    <w:rsid w:val="007C7552"/>
    <w:rsid w:val="007C783A"/>
    <w:rsid w:val="007C7920"/>
    <w:rsid w:val="007D00FC"/>
    <w:rsid w:val="007D046B"/>
    <w:rsid w:val="007D29E5"/>
    <w:rsid w:val="007D403B"/>
    <w:rsid w:val="007D404B"/>
    <w:rsid w:val="007D40BD"/>
    <w:rsid w:val="007D4230"/>
    <w:rsid w:val="007D4F87"/>
    <w:rsid w:val="007D50A6"/>
    <w:rsid w:val="007D73C8"/>
    <w:rsid w:val="007D7734"/>
    <w:rsid w:val="007D7B53"/>
    <w:rsid w:val="007E0567"/>
    <w:rsid w:val="007E0F6E"/>
    <w:rsid w:val="007E1866"/>
    <w:rsid w:val="007E1A0A"/>
    <w:rsid w:val="007E1A96"/>
    <w:rsid w:val="007E217B"/>
    <w:rsid w:val="007E22DF"/>
    <w:rsid w:val="007E2773"/>
    <w:rsid w:val="007E28B5"/>
    <w:rsid w:val="007E353F"/>
    <w:rsid w:val="007E372A"/>
    <w:rsid w:val="007E3C23"/>
    <w:rsid w:val="007E3D27"/>
    <w:rsid w:val="007E3E39"/>
    <w:rsid w:val="007E4149"/>
    <w:rsid w:val="007E41AC"/>
    <w:rsid w:val="007E472E"/>
    <w:rsid w:val="007E4E2C"/>
    <w:rsid w:val="007E55A7"/>
    <w:rsid w:val="007E6147"/>
    <w:rsid w:val="007E6434"/>
    <w:rsid w:val="007E7002"/>
    <w:rsid w:val="007E76C5"/>
    <w:rsid w:val="007E7F1C"/>
    <w:rsid w:val="007F0325"/>
    <w:rsid w:val="007F0A8A"/>
    <w:rsid w:val="007F1DC3"/>
    <w:rsid w:val="007F2972"/>
    <w:rsid w:val="007F3554"/>
    <w:rsid w:val="007F3A27"/>
    <w:rsid w:val="007F5311"/>
    <w:rsid w:val="007F5380"/>
    <w:rsid w:val="007F5D43"/>
    <w:rsid w:val="007F62F3"/>
    <w:rsid w:val="007F6E98"/>
    <w:rsid w:val="007F7F86"/>
    <w:rsid w:val="008007D5"/>
    <w:rsid w:val="0080227D"/>
    <w:rsid w:val="008024A2"/>
    <w:rsid w:val="00803C60"/>
    <w:rsid w:val="0080470F"/>
    <w:rsid w:val="00804F5D"/>
    <w:rsid w:val="00805594"/>
    <w:rsid w:val="00805FE8"/>
    <w:rsid w:val="00806056"/>
    <w:rsid w:val="00806BF9"/>
    <w:rsid w:val="00810141"/>
    <w:rsid w:val="00810ABF"/>
    <w:rsid w:val="00810C4D"/>
    <w:rsid w:val="00810F24"/>
    <w:rsid w:val="00811820"/>
    <w:rsid w:val="00811B52"/>
    <w:rsid w:val="00811E9A"/>
    <w:rsid w:val="008125EE"/>
    <w:rsid w:val="00812B77"/>
    <w:rsid w:val="00812BC8"/>
    <w:rsid w:val="00813750"/>
    <w:rsid w:val="00813D6D"/>
    <w:rsid w:val="00813DCA"/>
    <w:rsid w:val="0081428D"/>
    <w:rsid w:val="00814890"/>
    <w:rsid w:val="00815873"/>
    <w:rsid w:val="0081601E"/>
    <w:rsid w:val="008166C3"/>
    <w:rsid w:val="008166FE"/>
    <w:rsid w:val="00816C80"/>
    <w:rsid w:val="00816D4F"/>
    <w:rsid w:val="00817710"/>
    <w:rsid w:val="0081789F"/>
    <w:rsid w:val="00817F75"/>
    <w:rsid w:val="00821329"/>
    <w:rsid w:val="00822D08"/>
    <w:rsid w:val="00822E46"/>
    <w:rsid w:val="00823A87"/>
    <w:rsid w:val="00823DE5"/>
    <w:rsid w:val="00824612"/>
    <w:rsid w:val="00824E77"/>
    <w:rsid w:val="008261FC"/>
    <w:rsid w:val="00826414"/>
    <w:rsid w:val="008268A8"/>
    <w:rsid w:val="00826999"/>
    <w:rsid w:val="00827852"/>
    <w:rsid w:val="00827CDF"/>
    <w:rsid w:val="00827EA3"/>
    <w:rsid w:val="00827EB5"/>
    <w:rsid w:val="00830D8A"/>
    <w:rsid w:val="0083130D"/>
    <w:rsid w:val="0083162F"/>
    <w:rsid w:val="0083209A"/>
    <w:rsid w:val="00832120"/>
    <w:rsid w:val="0083366C"/>
    <w:rsid w:val="00834142"/>
    <w:rsid w:val="00834DF4"/>
    <w:rsid w:val="008350D7"/>
    <w:rsid w:val="0083594F"/>
    <w:rsid w:val="00835D67"/>
    <w:rsid w:val="008364BB"/>
    <w:rsid w:val="008364C4"/>
    <w:rsid w:val="0084048B"/>
    <w:rsid w:val="00840839"/>
    <w:rsid w:val="00840EF8"/>
    <w:rsid w:val="00841138"/>
    <w:rsid w:val="0084213A"/>
    <w:rsid w:val="0084238C"/>
    <w:rsid w:val="00842697"/>
    <w:rsid w:val="0084298C"/>
    <w:rsid w:val="0084337D"/>
    <w:rsid w:val="008433C0"/>
    <w:rsid w:val="0084459F"/>
    <w:rsid w:val="00844740"/>
    <w:rsid w:val="00845134"/>
    <w:rsid w:val="0084521F"/>
    <w:rsid w:val="0084547B"/>
    <w:rsid w:val="00845C3E"/>
    <w:rsid w:val="00845F38"/>
    <w:rsid w:val="008460EC"/>
    <w:rsid w:val="00846885"/>
    <w:rsid w:val="00847321"/>
    <w:rsid w:val="008475E9"/>
    <w:rsid w:val="00850510"/>
    <w:rsid w:val="008513DD"/>
    <w:rsid w:val="00851414"/>
    <w:rsid w:val="00851967"/>
    <w:rsid w:val="00851E0A"/>
    <w:rsid w:val="0085365A"/>
    <w:rsid w:val="0085374D"/>
    <w:rsid w:val="00854244"/>
    <w:rsid w:val="008549D6"/>
    <w:rsid w:val="00854D0A"/>
    <w:rsid w:val="00855C39"/>
    <w:rsid w:val="0085618B"/>
    <w:rsid w:val="008567A4"/>
    <w:rsid w:val="00856B91"/>
    <w:rsid w:val="00857079"/>
    <w:rsid w:val="00857906"/>
    <w:rsid w:val="00857B37"/>
    <w:rsid w:val="00860634"/>
    <w:rsid w:val="00860843"/>
    <w:rsid w:val="00860EA8"/>
    <w:rsid w:val="008612D6"/>
    <w:rsid w:val="00861567"/>
    <w:rsid w:val="00861B44"/>
    <w:rsid w:val="008622EA"/>
    <w:rsid w:val="00862678"/>
    <w:rsid w:val="008627F6"/>
    <w:rsid w:val="00863856"/>
    <w:rsid w:val="00863BD7"/>
    <w:rsid w:val="0086446F"/>
    <w:rsid w:val="00866535"/>
    <w:rsid w:val="00867776"/>
    <w:rsid w:val="00870B44"/>
    <w:rsid w:val="00870D1A"/>
    <w:rsid w:val="00871194"/>
    <w:rsid w:val="008724DE"/>
    <w:rsid w:val="00872AF3"/>
    <w:rsid w:val="00872B2D"/>
    <w:rsid w:val="00872C31"/>
    <w:rsid w:val="008735D0"/>
    <w:rsid w:val="00874956"/>
    <w:rsid w:val="008751D6"/>
    <w:rsid w:val="008752FC"/>
    <w:rsid w:val="00875DF6"/>
    <w:rsid w:val="00877266"/>
    <w:rsid w:val="0087726B"/>
    <w:rsid w:val="00880A5B"/>
    <w:rsid w:val="00880F5C"/>
    <w:rsid w:val="0088120F"/>
    <w:rsid w:val="00881403"/>
    <w:rsid w:val="008814A5"/>
    <w:rsid w:val="008820A2"/>
    <w:rsid w:val="0088420D"/>
    <w:rsid w:val="00886128"/>
    <w:rsid w:val="00886207"/>
    <w:rsid w:val="008865C7"/>
    <w:rsid w:val="00886AEF"/>
    <w:rsid w:val="00886DE1"/>
    <w:rsid w:val="00887484"/>
    <w:rsid w:val="00887ADB"/>
    <w:rsid w:val="008900AB"/>
    <w:rsid w:val="00890AC2"/>
    <w:rsid w:val="00891372"/>
    <w:rsid w:val="00891770"/>
    <w:rsid w:val="00891980"/>
    <w:rsid w:val="00891BCE"/>
    <w:rsid w:val="008924AE"/>
    <w:rsid w:val="008929F9"/>
    <w:rsid w:val="00892DF8"/>
    <w:rsid w:val="0089315C"/>
    <w:rsid w:val="00893A77"/>
    <w:rsid w:val="00893B3B"/>
    <w:rsid w:val="008944E9"/>
    <w:rsid w:val="008950D0"/>
    <w:rsid w:val="00896165"/>
    <w:rsid w:val="0089621D"/>
    <w:rsid w:val="00896663"/>
    <w:rsid w:val="008969E0"/>
    <w:rsid w:val="00896DB2"/>
    <w:rsid w:val="00897B54"/>
    <w:rsid w:val="008A08CD"/>
    <w:rsid w:val="008A0A34"/>
    <w:rsid w:val="008A0EAB"/>
    <w:rsid w:val="008A11D7"/>
    <w:rsid w:val="008A1717"/>
    <w:rsid w:val="008A1931"/>
    <w:rsid w:val="008A295A"/>
    <w:rsid w:val="008A2AF7"/>
    <w:rsid w:val="008A3832"/>
    <w:rsid w:val="008A38E5"/>
    <w:rsid w:val="008A3D57"/>
    <w:rsid w:val="008A4095"/>
    <w:rsid w:val="008A4CEB"/>
    <w:rsid w:val="008A576C"/>
    <w:rsid w:val="008A67D4"/>
    <w:rsid w:val="008A75D5"/>
    <w:rsid w:val="008A767B"/>
    <w:rsid w:val="008A79A2"/>
    <w:rsid w:val="008A7AC3"/>
    <w:rsid w:val="008B0792"/>
    <w:rsid w:val="008B11E4"/>
    <w:rsid w:val="008B1997"/>
    <w:rsid w:val="008B1A30"/>
    <w:rsid w:val="008B1D8B"/>
    <w:rsid w:val="008B1DAF"/>
    <w:rsid w:val="008B2EA4"/>
    <w:rsid w:val="008B320D"/>
    <w:rsid w:val="008B3A98"/>
    <w:rsid w:val="008B4338"/>
    <w:rsid w:val="008B4787"/>
    <w:rsid w:val="008B5E23"/>
    <w:rsid w:val="008B5E75"/>
    <w:rsid w:val="008B63ED"/>
    <w:rsid w:val="008B6464"/>
    <w:rsid w:val="008B6825"/>
    <w:rsid w:val="008B6FE8"/>
    <w:rsid w:val="008C02CD"/>
    <w:rsid w:val="008C03A1"/>
    <w:rsid w:val="008C0664"/>
    <w:rsid w:val="008C0E4E"/>
    <w:rsid w:val="008C13C8"/>
    <w:rsid w:val="008C1921"/>
    <w:rsid w:val="008C2C29"/>
    <w:rsid w:val="008C3658"/>
    <w:rsid w:val="008C3BF7"/>
    <w:rsid w:val="008C40EF"/>
    <w:rsid w:val="008C4EEC"/>
    <w:rsid w:val="008C57E7"/>
    <w:rsid w:val="008C635A"/>
    <w:rsid w:val="008C6407"/>
    <w:rsid w:val="008C7967"/>
    <w:rsid w:val="008D1495"/>
    <w:rsid w:val="008D22A3"/>
    <w:rsid w:val="008D294B"/>
    <w:rsid w:val="008D2B2D"/>
    <w:rsid w:val="008D3FC4"/>
    <w:rsid w:val="008D4129"/>
    <w:rsid w:val="008D50C5"/>
    <w:rsid w:val="008D696B"/>
    <w:rsid w:val="008D6D0E"/>
    <w:rsid w:val="008D6DDA"/>
    <w:rsid w:val="008D7FDB"/>
    <w:rsid w:val="008E0050"/>
    <w:rsid w:val="008E077D"/>
    <w:rsid w:val="008E195D"/>
    <w:rsid w:val="008E1B94"/>
    <w:rsid w:val="008E21C4"/>
    <w:rsid w:val="008E3469"/>
    <w:rsid w:val="008E3D60"/>
    <w:rsid w:val="008E450C"/>
    <w:rsid w:val="008E5089"/>
    <w:rsid w:val="008E6E61"/>
    <w:rsid w:val="008E7DCA"/>
    <w:rsid w:val="008F0149"/>
    <w:rsid w:val="008F0C48"/>
    <w:rsid w:val="008F179A"/>
    <w:rsid w:val="008F266D"/>
    <w:rsid w:val="008F268D"/>
    <w:rsid w:val="008F2B75"/>
    <w:rsid w:val="008F2D95"/>
    <w:rsid w:val="008F3441"/>
    <w:rsid w:val="008F35AC"/>
    <w:rsid w:val="008F3AA8"/>
    <w:rsid w:val="008F3BC3"/>
    <w:rsid w:val="008F3C6B"/>
    <w:rsid w:val="008F3F50"/>
    <w:rsid w:val="008F418C"/>
    <w:rsid w:val="008F48B1"/>
    <w:rsid w:val="008F4E20"/>
    <w:rsid w:val="008F5016"/>
    <w:rsid w:val="008F5CC9"/>
    <w:rsid w:val="008F622F"/>
    <w:rsid w:val="008F6423"/>
    <w:rsid w:val="008F75E6"/>
    <w:rsid w:val="008F786C"/>
    <w:rsid w:val="008F7B8F"/>
    <w:rsid w:val="008F7D34"/>
    <w:rsid w:val="008F7D3B"/>
    <w:rsid w:val="00901556"/>
    <w:rsid w:val="0090165F"/>
    <w:rsid w:val="00901BE0"/>
    <w:rsid w:val="00901F5A"/>
    <w:rsid w:val="00903D4B"/>
    <w:rsid w:val="0090447D"/>
    <w:rsid w:val="009059A9"/>
    <w:rsid w:val="00905F4D"/>
    <w:rsid w:val="00906631"/>
    <w:rsid w:val="00906A82"/>
    <w:rsid w:val="00907708"/>
    <w:rsid w:val="00907999"/>
    <w:rsid w:val="0091177D"/>
    <w:rsid w:val="0091185F"/>
    <w:rsid w:val="00912504"/>
    <w:rsid w:val="0091261D"/>
    <w:rsid w:val="0091336D"/>
    <w:rsid w:val="0091376D"/>
    <w:rsid w:val="00913EBA"/>
    <w:rsid w:val="00914079"/>
    <w:rsid w:val="0091554B"/>
    <w:rsid w:val="00915572"/>
    <w:rsid w:val="00915696"/>
    <w:rsid w:val="00915DD1"/>
    <w:rsid w:val="00916E75"/>
    <w:rsid w:val="00917162"/>
    <w:rsid w:val="00917A94"/>
    <w:rsid w:val="00920A1A"/>
    <w:rsid w:val="00920E86"/>
    <w:rsid w:val="009216B5"/>
    <w:rsid w:val="00921CB7"/>
    <w:rsid w:val="00921D1D"/>
    <w:rsid w:val="0092228A"/>
    <w:rsid w:val="009224FF"/>
    <w:rsid w:val="00922B45"/>
    <w:rsid w:val="00922F9D"/>
    <w:rsid w:val="0092320A"/>
    <w:rsid w:val="00923988"/>
    <w:rsid w:val="00923A1F"/>
    <w:rsid w:val="00923BC5"/>
    <w:rsid w:val="00923C4F"/>
    <w:rsid w:val="00923FC4"/>
    <w:rsid w:val="00925158"/>
    <w:rsid w:val="00925B6B"/>
    <w:rsid w:val="00925C00"/>
    <w:rsid w:val="009266FD"/>
    <w:rsid w:val="0092677B"/>
    <w:rsid w:val="009276BE"/>
    <w:rsid w:val="00927A66"/>
    <w:rsid w:val="00927B50"/>
    <w:rsid w:val="00930A6D"/>
    <w:rsid w:val="00930C74"/>
    <w:rsid w:val="00930D3D"/>
    <w:rsid w:val="0093103B"/>
    <w:rsid w:val="009311FF"/>
    <w:rsid w:val="00931CEF"/>
    <w:rsid w:val="00932D59"/>
    <w:rsid w:val="00933434"/>
    <w:rsid w:val="009335A2"/>
    <w:rsid w:val="00933B1F"/>
    <w:rsid w:val="00933C22"/>
    <w:rsid w:val="00933C46"/>
    <w:rsid w:val="00933F1A"/>
    <w:rsid w:val="00935415"/>
    <w:rsid w:val="00935C46"/>
    <w:rsid w:val="00937C33"/>
    <w:rsid w:val="00941ADD"/>
    <w:rsid w:val="00941CD9"/>
    <w:rsid w:val="00941EE2"/>
    <w:rsid w:val="00942BB1"/>
    <w:rsid w:val="00942DCC"/>
    <w:rsid w:val="009436B2"/>
    <w:rsid w:val="009438BD"/>
    <w:rsid w:val="0094394F"/>
    <w:rsid w:val="00943C0D"/>
    <w:rsid w:val="00943DD2"/>
    <w:rsid w:val="009443EE"/>
    <w:rsid w:val="00944773"/>
    <w:rsid w:val="00944DDA"/>
    <w:rsid w:val="00944E13"/>
    <w:rsid w:val="0094546B"/>
    <w:rsid w:val="00946378"/>
    <w:rsid w:val="009469B8"/>
    <w:rsid w:val="00946B9B"/>
    <w:rsid w:val="009472C4"/>
    <w:rsid w:val="00947932"/>
    <w:rsid w:val="00950068"/>
    <w:rsid w:val="009503E1"/>
    <w:rsid w:val="0095093B"/>
    <w:rsid w:val="00950E88"/>
    <w:rsid w:val="00951A9A"/>
    <w:rsid w:val="009521FA"/>
    <w:rsid w:val="00952A30"/>
    <w:rsid w:val="009537B7"/>
    <w:rsid w:val="00954026"/>
    <w:rsid w:val="00954287"/>
    <w:rsid w:val="00954C3C"/>
    <w:rsid w:val="00955297"/>
    <w:rsid w:val="009554E2"/>
    <w:rsid w:val="009556B8"/>
    <w:rsid w:val="009556E2"/>
    <w:rsid w:val="009556EE"/>
    <w:rsid w:val="0095710D"/>
    <w:rsid w:val="009602DB"/>
    <w:rsid w:val="00960998"/>
    <w:rsid w:val="00960E39"/>
    <w:rsid w:val="00961430"/>
    <w:rsid w:val="00961AED"/>
    <w:rsid w:val="00961B5C"/>
    <w:rsid w:val="009628D4"/>
    <w:rsid w:val="009629FC"/>
    <w:rsid w:val="00962A18"/>
    <w:rsid w:val="00962EF3"/>
    <w:rsid w:val="009633A1"/>
    <w:rsid w:val="00963CCA"/>
    <w:rsid w:val="00963E83"/>
    <w:rsid w:val="009648C3"/>
    <w:rsid w:val="00965F16"/>
    <w:rsid w:val="0096620F"/>
    <w:rsid w:val="00966324"/>
    <w:rsid w:val="009664B1"/>
    <w:rsid w:val="00966C2F"/>
    <w:rsid w:val="0096771D"/>
    <w:rsid w:val="0096793F"/>
    <w:rsid w:val="00967BE3"/>
    <w:rsid w:val="00967ED0"/>
    <w:rsid w:val="009705E6"/>
    <w:rsid w:val="00971337"/>
    <w:rsid w:val="00971A1A"/>
    <w:rsid w:val="00972093"/>
    <w:rsid w:val="00972891"/>
    <w:rsid w:val="009732AA"/>
    <w:rsid w:val="009734C5"/>
    <w:rsid w:val="00973607"/>
    <w:rsid w:val="00973A82"/>
    <w:rsid w:val="00974912"/>
    <w:rsid w:val="00975206"/>
    <w:rsid w:val="009755BE"/>
    <w:rsid w:val="00976780"/>
    <w:rsid w:val="0097685F"/>
    <w:rsid w:val="009769A7"/>
    <w:rsid w:val="00976F69"/>
    <w:rsid w:val="009802F3"/>
    <w:rsid w:val="0098072E"/>
    <w:rsid w:val="009813DE"/>
    <w:rsid w:val="009816E2"/>
    <w:rsid w:val="00981DC1"/>
    <w:rsid w:val="0098227D"/>
    <w:rsid w:val="009826DE"/>
    <w:rsid w:val="009829E6"/>
    <w:rsid w:val="00983C60"/>
    <w:rsid w:val="009847A2"/>
    <w:rsid w:val="00986226"/>
    <w:rsid w:val="00986304"/>
    <w:rsid w:val="00986E08"/>
    <w:rsid w:val="00986E65"/>
    <w:rsid w:val="0098714E"/>
    <w:rsid w:val="00987D69"/>
    <w:rsid w:val="009906D5"/>
    <w:rsid w:val="00990A4E"/>
    <w:rsid w:val="00990E8B"/>
    <w:rsid w:val="00991538"/>
    <w:rsid w:val="009916ED"/>
    <w:rsid w:val="00991840"/>
    <w:rsid w:val="00991842"/>
    <w:rsid w:val="00991BFB"/>
    <w:rsid w:val="0099214D"/>
    <w:rsid w:val="009923B7"/>
    <w:rsid w:val="00992689"/>
    <w:rsid w:val="00992BC3"/>
    <w:rsid w:val="009942CD"/>
    <w:rsid w:val="0099460A"/>
    <w:rsid w:val="009958DA"/>
    <w:rsid w:val="0099606E"/>
    <w:rsid w:val="009960CF"/>
    <w:rsid w:val="009962D5"/>
    <w:rsid w:val="009972A3"/>
    <w:rsid w:val="009A1674"/>
    <w:rsid w:val="009A1A35"/>
    <w:rsid w:val="009A1C90"/>
    <w:rsid w:val="009A2075"/>
    <w:rsid w:val="009A2596"/>
    <w:rsid w:val="009A2B22"/>
    <w:rsid w:val="009A31D9"/>
    <w:rsid w:val="009A3D07"/>
    <w:rsid w:val="009A3DD8"/>
    <w:rsid w:val="009A40F1"/>
    <w:rsid w:val="009A4289"/>
    <w:rsid w:val="009A51B1"/>
    <w:rsid w:val="009A55D3"/>
    <w:rsid w:val="009A5753"/>
    <w:rsid w:val="009A5B9C"/>
    <w:rsid w:val="009A5E87"/>
    <w:rsid w:val="009A6247"/>
    <w:rsid w:val="009A6D53"/>
    <w:rsid w:val="009A6E4C"/>
    <w:rsid w:val="009A717A"/>
    <w:rsid w:val="009A72CC"/>
    <w:rsid w:val="009A730E"/>
    <w:rsid w:val="009A74AD"/>
    <w:rsid w:val="009A75B5"/>
    <w:rsid w:val="009B0E53"/>
    <w:rsid w:val="009B1010"/>
    <w:rsid w:val="009B1A49"/>
    <w:rsid w:val="009B238A"/>
    <w:rsid w:val="009B26FB"/>
    <w:rsid w:val="009B2C22"/>
    <w:rsid w:val="009B3BD3"/>
    <w:rsid w:val="009B3D1D"/>
    <w:rsid w:val="009B3E64"/>
    <w:rsid w:val="009B3F58"/>
    <w:rsid w:val="009B5E82"/>
    <w:rsid w:val="009B6F8E"/>
    <w:rsid w:val="009C074A"/>
    <w:rsid w:val="009C17E7"/>
    <w:rsid w:val="009C17F5"/>
    <w:rsid w:val="009C183F"/>
    <w:rsid w:val="009C1DC5"/>
    <w:rsid w:val="009C2182"/>
    <w:rsid w:val="009C2C3B"/>
    <w:rsid w:val="009C2EEB"/>
    <w:rsid w:val="009C3403"/>
    <w:rsid w:val="009C3635"/>
    <w:rsid w:val="009C3953"/>
    <w:rsid w:val="009C3AB2"/>
    <w:rsid w:val="009C3ADC"/>
    <w:rsid w:val="009C485E"/>
    <w:rsid w:val="009C4E9C"/>
    <w:rsid w:val="009C586F"/>
    <w:rsid w:val="009C5CE7"/>
    <w:rsid w:val="009C5FB8"/>
    <w:rsid w:val="009C66AF"/>
    <w:rsid w:val="009C67F2"/>
    <w:rsid w:val="009C6A16"/>
    <w:rsid w:val="009C7A2E"/>
    <w:rsid w:val="009D02AD"/>
    <w:rsid w:val="009D0861"/>
    <w:rsid w:val="009D0E98"/>
    <w:rsid w:val="009D124E"/>
    <w:rsid w:val="009D144C"/>
    <w:rsid w:val="009D1974"/>
    <w:rsid w:val="009D1E46"/>
    <w:rsid w:val="009D1E6E"/>
    <w:rsid w:val="009D2543"/>
    <w:rsid w:val="009D25EA"/>
    <w:rsid w:val="009D27C5"/>
    <w:rsid w:val="009D2E68"/>
    <w:rsid w:val="009D3214"/>
    <w:rsid w:val="009D33BA"/>
    <w:rsid w:val="009D3822"/>
    <w:rsid w:val="009D3FED"/>
    <w:rsid w:val="009D44C2"/>
    <w:rsid w:val="009D5709"/>
    <w:rsid w:val="009D7E1D"/>
    <w:rsid w:val="009E00C2"/>
    <w:rsid w:val="009E0362"/>
    <w:rsid w:val="009E06FF"/>
    <w:rsid w:val="009E1E6F"/>
    <w:rsid w:val="009E445A"/>
    <w:rsid w:val="009E468A"/>
    <w:rsid w:val="009E4F45"/>
    <w:rsid w:val="009E537B"/>
    <w:rsid w:val="009E57E6"/>
    <w:rsid w:val="009E6243"/>
    <w:rsid w:val="009E64FE"/>
    <w:rsid w:val="009E7C5F"/>
    <w:rsid w:val="009E7E25"/>
    <w:rsid w:val="009E7FC4"/>
    <w:rsid w:val="009F0D73"/>
    <w:rsid w:val="009F1326"/>
    <w:rsid w:val="009F16D7"/>
    <w:rsid w:val="009F259D"/>
    <w:rsid w:val="009F27FF"/>
    <w:rsid w:val="009F3CCC"/>
    <w:rsid w:val="009F42E2"/>
    <w:rsid w:val="009F43B2"/>
    <w:rsid w:val="009F4FF8"/>
    <w:rsid w:val="009F51D9"/>
    <w:rsid w:val="009F568B"/>
    <w:rsid w:val="009F58DF"/>
    <w:rsid w:val="009F60C3"/>
    <w:rsid w:val="009F74EE"/>
    <w:rsid w:val="009F7AAC"/>
    <w:rsid w:val="009F7C91"/>
    <w:rsid w:val="009F7EA2"/>
    <w:rsid w:val="00A00C92"/>
    <w:rsid w:val="00A00E54"/>
    <w:rsid w:val="00A01B29"/>
    <w:rsid w:val="00A02094"/>
    <w:rsid w:val="00A0224A"/>
    <w:rsid w:val="00A025AE"/>
    <w:rsid w:val="00A025F5"/>
    <w:rsid w:val="00A02BEF"/>
    <w:rsid w:val="00A02C0D"/>
    <w:rsid w:val="00A02F56"/>
    <w:rsid w:val="00A02FAC"/>
    <w:rsid w:val="00A03895"/>
    <w:rsid w:val="00A03B0B"/>
    <w:rsid w:val="00A0406E"/>
    <w:rsid w:val="00A043C2"/>
    <w:rsid w:val="00A046B5"/>
    <w:rsid w:val="00A04E8E"/>
    <w:rsid w:val="00A05214"/>
    <w:rsid w:val="00A053B5"/>
    <w:rsid w:val="00A05510"/>
    <w:rsid w:val="00A05B0E"/>
    <w:rsid w:val="00A061F1"/>
    <w:rsid w:val="00A074DE"/>
    <w:rsid w:val="00A07FCA"/>
    <w:rsid w:val="00A1012C"/>
    <w:rsid w:val="00A10424"/>
    <w:rsid w:val="00A10586"/>
    <w:rsid w:val="00A10B09"/>
    <w:rsid w:val="00A112C4"/>
    <w:rsid w:val="00A11463"/>
    <w:rsid w:val="00A1150B"/>
    <w:rsid w:val="00A11CC0"/>
    <w:rsid w:val="00A1251F"/>
    <w:rsid w:val="00A12C64"/>
    <w:rsid w:val="00A13573"/>
    <w:rsid w:val="00A13CF4"/>
    <w:rsid w:val="00A14084"/>
    <w:rsid w:val="00A14F0D"/>
    <w:rsid w:val="00A153E8"/>
    <w:rsid w:val="00A15ACC"/>
    <w:rsid w:val="00A15DC2"/>
    <w:rsid w:val="00A17B9C"/>
    <w:rsid w:val="00A20477"/>
    <w:rsid w:val="00A20C1F"/>
    <w:rsid w:val="00A21135"/>
    <w:rsid w:val="00A218B5"/>
    <w:rsid w:val="00A22603"/>
    <w:rsid w:val="00A22D6D"/>
    <w:rsid w:val="00A22E7D"/>
    <w:rsid w:val="00A23129"/>
    <w:rsid w:val="00A2344C"/>
    <w:rsid w:val="00A245F5"/>
    <w:rsid w:val="00A247AA"/>
    <w:rsid w:val="00A25044"/>
    <w:rsid w:val="00A254E6"/>
    <w:rsid w:val="00A257BF"/>
    <w:rsid w:val="00A259F6"/>
    <w:rsid w:val="00A2651E"/>
    <w:rsid w:val="00A268C6"/>
    <w:rsid w:val="00A26A62"/>
    <w:rsid w:val="00A26CDA"/>
    <w:rsid w:val="00A26D60"/>
    <w:rsid w:val="00A274D7"/>
    <w:rsid w:val="00A27AC2"/>
    <w:rsid w:val="00A27DD0"/>
    <w:rsid w:val="00A27E63"/>
    <w:rsid w:val="00A310EC"/>
    <w:rsid w:val="00A31D00"/>
    <w:rsid w:val="00A32672"/>
    <w:rsid w:val="00A33321"/>
    <w:rsid w:val="00A335F3"/>
    <w:rsid w:val="00A34719"/>
    <w:rsid w:val="00A351D6"/>
    <w:rsid w:val="00A354ED"/>
    <w:rsid w:val="00A35CB4"/>
    <w:rsid w:val="00A36A23"/>
    <w:rsid w:val="00A406E5"/>
    <w:rsid w:val="00A407A0"/>
    <w:rsid w:val="00A41107"/>
    <w:rsid w:val="00A4134A"/>
    <w:rsid w:val="00A41355"/>
    <w:rsid w:val="00A4173C"/>
    <w:rsid w:val="00A4261A"/>
    <w:rsid w:val="00A43241"/>
    <w:rsid w:val="00A43B92"/>
    <w:rsid w:val="00A43F14"/>
    <w:rsid w:val="00A44720"/>
    <w:rsid w:val="00A44F2A"/>
    <w:rsid w:val="00A46094"/>
    <w:rsid w:val="00A46506"/>
    <w:rsid w:val="00A46FEA"/>
    <w:rsid w:val="00A47015"/>
    <w:rsid w:val="00A4757E"/>
    <w:rsid w:val="00A475BB"/>
    <w:rsid w:val="00A47CB3"/>
    <w:rsid w:val="00A500B1"/>
    <w:rsid w:val="00A51920"/>
    <w:rsid w:val="00A5202F"/>
    <w:rsid w:val="00A52812"/>
    <w:rsid w:val="00A5292B"/>
    <w:rsid w:val="00A52E3B"/>
    <w:rsid w:val="00A53BF9"/>
    <w:rsid w:val="00A53F13"/>
    <w:rsid w:val="00A543FB"/>
    <w:rsid w:val="00A5460A"/>
    <w:rsid w:val="00A552A3"/>
    <w:rsid w:val="00A55AF5"/>
    <w:rsid w:val="00A55C7E"/>
    <w:rsid w:val="00A55DDB"/>
    <w:rsid w:val="00A55EB5"/>
    <w:rsid w:val="00A56167"/>
    <w:rsid w:val="00A56342"/>
    <w:rsid w:val="00A569BE"/>
    <w:rsid w:val="00A56ACF"/>
    <w:rsid w:val="00A56C9A"/>
    <w:rsid w:val="00A6014D"/>
    <w:rsid w:val="00A610CB"/>
    <w:rsid w:val="00A615CE"/>
    <w:rsid w:val="00A6179E"/>
    <w:rsid w:val="00A61B9E"/>
    <w:rsid w:val="00A61DAC"/>
    <w:rsid w:val="00A61DCB"/>
    <w:rsid w:val="00A6201B"/>
    <w:rsid w:val="00A63698"/>
    <w:rsid w:val="00A638E1"/>
    <w:rsid w:val="00A64B54"/>
    <w:rsid w:val="00A65425"/>
    <w:rsid w:val="00A65445"/>
    <w:rsid w:val="00A658AC"/>
    <w:rsid w:val="00A669EE"/>
    <w:rsid w:val="00A66F67"/>
    <w:rsid w:val="00A67055"/>
    <w:rsid w:val="00A675A7"/>
    <w:rsid w:val="00A675FA"/>
    <w:rsid w:val="00A70631"/>
    <w:rsid w:val="00A70FB5"/>
    <w:rsid w:val="00A710A5"/>
    <w:rsid w:val="00A717D1"/>
    <w:rsid w:val="00A71AF4"/>
    <w:rsid w:val="00A72F79"/>
    <w:rsid w:val="00A73A18"/>
    <w:rsid w:val="00A7490A"/>
    <w:rsid w:val="00A74D5C"/>
    <w:rsid w:val="00A75252"/>
    <w:rsid w:val="00A75B10"/>
    <w:rsid w:val="00A8174C"/>
    <w:rsid w:val="00A82327"/>
    <w:rsid w:val="00A828FB"/>
    <w:rsid w:val="00A830A0"/>
    <w:rsid w:val="00A83258"/>
    <w:rsid w:val="00A83448"/>
    <w:rsid w:val="00A83A50"/>
    <w:rsid w:val="00A84617"/>
    <w:rsid w:val="00A84DAC"/>
    <w:rsid w:val="00A85A8B"/>
    <w:rsid w:val="00A86411"/>
    <w:rsid w:val="00A86C32"/>
    <w:rsid w:val="00A8712C"/>
    <w:rsid w:val="00A876EB"/>
    <w:rsid w:val="00A87B1C"/>
    <w:rsid w:val="00A900A3"/>
    <w:rsid w:val="00A902A8"/>
    <w:rsid w:val="00A903E1"/>
    <w:rsid w:val="00A90709"/>
    <w:rsid w:val="00A91D0B"/>
    <w:rsid w:val="00A91E47"/>
    <w:rsid w:val="00A94531"/>
    <w:rsid w:val="00A94A37"/>
    <w:rsid w:val="00A95DE1"/>
    <w:rsid w:val="00A9608D"/>
    <w:rsid w:val="00A960C1"/>
    <w:rsid w:val="00A962FC"/>
    <w:rsid w:val="00A96536"/>
    <w:rsid w:val="00A96F9C"/>
    <w:rsid w:val="00A97369"/>
    <w:rsid w:val="00A976ED"/>
    <w:rsid w:val="00AA02A2"/>
    <w:rsid w:val="00AA0475"/>
    <w:rsid w:val="00AA1418"/>
    <w:rsid w:val="00AA1531"/>
    <w:rsid w:val="00AA22F3"/>
    <w:rsid w:val="00AA2392"/>
    <w:rsid w:val="00AA2A26"/>
    <w:rsid w:val="00AA2C29"/>
    <w:rsid w:val="00AA32B3"/>
    <w:rsid w:val="00AA3B94"/>
    <w:rsid w:val="00AA3D40"/>
    <w:rsid w:val="00AA45C6"/>
    <w:rsid w:val="00AA46FD"/>
    <w:rsid w:val="00AA4A1D"/>
    <w:rsid w:val="00AA510B"/>
    <w:rsid w:val="00AA606B"/>
    <w:rsid w:val="00AA64A9"/>
    <w:rsid w:val="00AA6AEB"/>
    <w:rsid w:val="00AA6D46"/>
    <w:rsid w:val="00AA7210"/>
    <w:rsid w:val="00AA74CF"/>
    <w:rsid w:val="00AA7BEF"/>
    <w:rsid w:val="00AA7CA2"/>
    <w:rsid w:val="00AB0B7E"/>
    <w:rsid w:val="00AB10AC"/>
    <w:rsid w:val="00AB1283"/>
    <w:rsid w:val="00AB1A36"/>
    <w:rsid w:val="00AB1A73"/>
    <w:rsid w:val="00AB218C"/>
    <w:rsid w:val="00AB2BF2"/>
    <w:rsid w:val="00AB3F7E"/>
    <w:rsid w:val="00AB4931"/>
    <w:rsid w:val="00AB4AED"/>
    <w:rsid w:val="00AB57AE"/>
    <w:rsid w:val="00AB5A8E"/>
    <w:rsid w:val="00AB604A"/>
    <w:rsid w:val="00AB628E"/>
    <w:rsid w:val="00AB6EFC"/>
    <w:rsid w:val="00AB7B33"/>
    <w:rsid w:val="00AC0974"/>
    <w:rsid w:val="00AC09DE"/>
    <w:rsid w:val="00AC18D2"/>
    <w:rsid w:val="00AC265F"/>
    <w:rsid w:val="00AC27AB"/>
    <w:rsid w:val="00AC2CF0"/>
    <w:rsid w:val="00AC4043"/>
    <w:rsid w:val="00AC49B1"/>
    <w:rsid w:val="00AC582C"/>
    <w:rsid w:val="00AC59A7"/>
    <w:rsid w:val="00AC5B21"/>
    <w:rsid w:val="00AC6167"/>
    <w:rsid w:val="00AC685C"/>
    <w:rsid w:val="00AC6A34"/>
    <w:rsid w:val="00AC6E25"/>
    <w:rsid w:val="00AD1FA6"/>
    <w:rsid w:val="00AD2153"/>
    <w:rsid w:val="00AD215E"/>
    <w:rsid w:val="00AD3062"/>
    <w:rsid w:val="00AD31DE"/>
    <w:rsid w:val="00AD3A3B"/>
    <w:rsid w:val="00AD3CE9"/>
    <w:rsid w:val="00AD41E3"/>
    <w:rsid w:val="00AD42D7"/>
    <w:rsid w:val="00AD4576"/>
    <w:rsid w:val="00AD503C"/>
    <w:rsid w:val="00AD5398"/>
    <w:rsid w:val="00AD5AF2"/>
    <w:rsid w:val="00AD5E23"/>
    <w:rsid w:val="00AD5FC2"/>
    <w:rsid w:val="00AD61D3"/>
    <w:rsid w:val="00AD630E"/>
    <w:rsid w:val="00AD70AD"/>
    <w:rsid w:val="00AD72F4"/>
    <w:rsid w:val="00AD7483"/>
    <w:rsid w:val="00AD7812"/>
    <w:rsid w:val="00AD7FE0"/>
    <w:rsid w:val="00AE0DDD"/>
    <w:rsid w:val="00AE1010"/>
    <w:rsid w:val="00AE1162"/>
    <w:rsid w:val="00AE171B"/>
    <w:rsid w:val="00AE1E1A"/>
    <w:rsid w:val="00AE2249"/>
    <w:rsid w:val="00AE2573"/>
    <w:rsid w:val="00AE2DF6"/>
    <w:rsid w:val="00AE402D"/>
    <w:rsid w:val="00AE44C8"/>
    <w:rsid w:val="00AE4619"/>
    <w:rsid w:val="00AE4D83"/>
    <w:rsid w:val="00AE5D4D"/>
    <w:rsid w:val="00AE76D8"/>
    <w:rsid w:val="00AE76EB"/>
    <w:rsid w:val="00AF00AC"/>
    <w:rsid w:val="00AF0AB4"/>
    <w:rsid w:val="00AF14FC"/>
    <w:rsid w:val="00AF16E1"/>
    <w:rsid w:val="00AF1915"/>
    <w:rsid w:val="00AF27D6"/>
    <w:rsid w:val="00AF2E3A"/>
    <w:rsid w:val="00AF30BA"/>
    <w:rsid w:val="00AF3172"/>
    <w:rsid w:val="00AF499D"/>
    <w:rsid w:val="00AF51DE"/>
    <w:rsid w:val="00AF599E"/>
    <w:rsid w:val="00AF5CB5"/>
    <w:rsid w:val="00AF5CC3"/>
    <w:rsid w:val="00AF7D16"/>
    <w:rsid w:val="00B00B10"/>
    <w:rsid w:val="00B0261F"/>
    <w:rsid w:val="00B03215"/>
    <w:rsid w:val="00B03735"/>
    <w:rsid w:val="00B04E89"/>
    <w:rsid w:val="00B04F1E"/>
    <w:rsid w:val="00B05119"/>
    <w:rsid w:val="00B051DC"/>
    <w:rsid w:val="00B06168"/>
    <w:rsid w:val="00B064D0"/>
    <w:rsid w:val="00B0686C"/>
    <w:rsid w:val="00B06C93"/>
    <w:rsid w:val="00B076DD"/>
    <w:rsid w:val="00B104D5"/>
    <w:rsid w:val="00B10610"/>
    <w:rsid w:val="00B109A9"/>
    <w:rsid w:val="00B10D03"/>
    <w:rsid w:val="00B10F73"/>
    <w:rsid w:val="00B1149F"/>
    <w:rsid w:val="00B1154A"/>
    <w:rsid w:val="00B1280C"/>
    <w:rsid w:val="00B128A0"/>
    <w:rsid w:val="00B12C9F"/>
    <w:rsid w:val="00B12D10"/>
    <w:rsid w:val="00B12E2F"/>
    <w:rsid w:val="00B13067"/>
    <w:rsid w:val="00B138CD"/>
    <w:rsid w:val="00B13C38"/>
    <w:rsid w:val="00B13CF0"/>
    <w:rsid w:val="00B140E1"/>
    <w:rsid w:val="00B14A05"/>
    <w:rsid w:val="00B14E59"/>
    <w:rsid w:val="00B14FF6"/>
    <w:rsid w:val="00B16BB9"/>
    <w:rsid w:val="00B17EF4"/>
    <w:rsid w:val="00B207E5"/>
    <w:rsid w:val="00B21EBE"/>
    <w:rsid w:val="00B22697"/>
    <w:rsid w:val="00B22EDF"/>
    <w:rsid w:val="00B235D4"/>
    <w:rsid w:val="00B23BDB"/>
    <w:rsid w:val="00B24235"/>
    <w:rsid w:val="00B24816"/>
    <w:rsid w:val="00B251C6"/>
    <w:rsid w:val="00B25640"/>
    <w:rsid w:val="00B25695"/>
    <w:rsid w:val="00B2581A"/>
    <w:rsid w:val="00B25C5A"/>
    <w:rsid w:val="00B25E2A"/>
    <w:rsid w:val="00B260C2"/>
    <w:rsid w:val="00B26683"/>
    <w:rsid w:val="00B26B4A"/>
    <w:rsid w:val="00B27202"/>
    <w:rsid w:val="00B272DB"/>
    <w:rsid w:val="00B277E0"/>
    <w:rsid w:val="00B30E1A"/>
    <w:rsid w:val="00B31099"/>
    <w:rsid w:val="00B3111D"/>
    <w:rsid w:val="00B323E1"/>
    <w:rsid w:val="00B326BC"/>
    <w:rsid w:val="00B328CF"/>
    <w:rsid w:val="00B3342C"/>
    <w:rsid w:val="00B3492C"/>
    <w:rsid w:val="00B35207"/>
    <w:rsid w:val="00B36D72"/>
    <w:rsid w:val="00B40392"/>
    <w:rsid w:val="00B40441"/>
    <w:rsid w:val="00B40AE4"/>
    <w:rsid w:val="00B41335"/>
    <w:rsid w:val="00B41FB2"/>
    <w:rsid w:val="00B4238F"/>
    <w:rsid w:val="00B4248B"/>
    <w:rsid w:val="00B42BB7"/>
    <w:rsid w:val="00B42C6A"/>
    <w:rsid w:val="00B44BF7"/>
    <w:rsid w:val="00B45695"/>
    <w:rsid w:val="00B45EB1"/>
    <w:rsid w:val="00B474D4"/>
    <w:rsid w:val="00B474F4"/>
    <w:rsid w:val="00B50947"/>
    <w:rsid w:val="00B50ECD"/>
    <w:rsid w:val="00B51A44"/>
    <w:rsid w:val="00B52149"/>
    <w:rsid w:val="00B52640"/>
    <w:rsid w:val="00B52701"/>
    <w:rsid w:val="00B52854"/>
    <w:rsid w:val="00B52E2D"/>
    <w:rsid w:val="00B539B2"/>
    <w:rsid w:val="00B53CBF"/>
    <w:rsid w:val="00B53E2D"/>
    <w:rsid w:val="00B54974"/>
    <w:rsid w:val="00B54C20"/>
    <w:rsid w:val="00B55264"/>
    <w:rsid w:val="00B5553F"/>
    <w:rsid w:val="00B56ADC"/>
    <w:rsid w:val="00B5787A"/>
    <w:rsid w:val="00B57C5D"/>
    <w:rsid w:val="00B60B61"/>
    <w:rsid w:val="00B61F88"/>
    <w:rsid w:val="00B62F90"/>
    <w:rsid w:val="00B631E8"/>
    <w:rsid w:val="00B64526"/>
    <w:rsid w:val="00B64770"/>
    <w:rsid w:val="00B64B17"/>
    <w:rsid w:val="00B653C9"/>
    <w:rsid w:val="00B65B86"/>
    <w:rsid w:val="00B65C02"/>
    <w:rsid w:val="00B65E69"/>
    <w:rsid w:val="00B6688E"/>
    <w:rsid w:val="00B66A5C"/>
    <w:rsid w:val="00B672C7"/>
    <w:rsid w:val="00B673A2"/>
    <w:rsid w:val="00B70484"/>
    <w:rsid w:val="00B70591"/>
    <w:rsid w:val="00B70F8C"/>
    <w:rsid w:val="00B719E0"/>
    <w:rsid w:val="00B719EE"/>
    <w:rsid w:val="00B71CF7"/>
    <w:rsid w:val="00B72302"/>
    <w:rsid w:val="00B72ED0"/>
    <w:rsid w:val="00B730B2"/>
    <w:rsid w:val="00B7340C"/>
    <w:rsid w:val="00B7403A"/>
    <w:rsid w:val="00B7516E"/>
    <w:rsid w:val="00B75196"/>
    <w:rsid w:val="00B75607"/>
    <w:rsid w:val="00B75B50"/>
    <w:rsid w:val="00B76653"/>
    <w:rsid w:val="00B77278"/>
    <w:rsid w:val="00B7764E"/>
    <w:rsid w:val="00B7773B"/>
    <w:rsid w:val="00B8097D"/>
    <w:rsid w:val="00B810F5"/>
    <w:rsid w:val="00B8122B"/>
    <w:rsid w:val="00B81D73"/>
    <w:rsid w:val="00B81EC8"/>
    <w:rsid w:val="00B81FB2"/>
    <w:rsid w:val="00B8277D"/>
    <w:rsid w:val="00B836F1"/>
    <w:rsid w:val="00B84918"/>
    <w:rsid w:val="00B8614A"/>
    <w:rsid w:val="00B86626"/>
    <w:rsid w:val="00B866A1"/>
    <w:rsid w:val="00B8698D"/>
    <w:rsid w:val="00B86C8E"/>
    <w:rsid w:val="00B86E18"/>
    <w:rsid w:val="00B87404"/>
    <w:rsid w:val="00B87A3B"/>
    <w:rsid w:val="00B87CCC"/>
    <w:rsid w:val="00B900C8"/>
    <w:rsid w:val="00B9075B"/>
    <w:rsid w:val="00B90BDE"/>
    <w:rsid w:val="00B91216"/>
    <w:rsid w:val="00B91222"/>
    <w:rsid w:val="00B922B6"/>
    <w:rsid w:val="00B92489"/>
    <w:rsid w:val="00B927B3"/>
    <w:rsid w:val="00B92A3B"/>
    <w:rsid w:val="00B93429"/>
    <w:rsid w:val="00B9396B"/>
    <w:rsid w:val="00B93A00"/>
    <w:rsid w:val="00B9414D"/>
    <w:rsid w:val="00B9479D"/>
    <w:rsid w:val="00B965CC"/>
    <w:rsid w:val="00B967DD"/>
    <w:rsid w:val="00B96B9F"/>
    <w:rsid w:val="00B96F3C"/>
    <w:rsid w:val="00B96F40"/>
    <w:rsid w:val="00B97277"/>
    <w:rsid w:val="00B973D2"/>
    <w:rsid w:val="00BA0E71"/>
    <w:rsid w:val="00BA0F8A"/>
    <w:rsid w:val="00BA1B61"/>
    <w:rsid w:val="00BA25A5"/>
    <w:rsid w:val="00BA262D"/>
    <w:rsid w:val="00BA2AF2"/>
    <w:rsid w:val="00BA486F"/>
    <w:rsid w:val="00BA492D"/>
    <w:rsid w:val="00BA6CC6"/>
    <w:rsid w:val="00BA7826"/>
    <w:rsid w:val="00BA7910"/>
    <w:rsid w:val="00BB00E9"/>
    <w:rsid w:val="00BB026D"/>
    <w:rsid w:val="00BB07D5"/>
    <w:rsid w:val="00BB0DE8"/>
    <w:rsid w:val="00BB1A51"/>
    <w:rsid w:val="00BB1F80"/>
    <w:rsid w:val="00BB35EE"/>
    <w:rsid w:val="00BB40D7"/>
    <w:rsid w:val="00BB4F04"/>
    <w:rsid w:val="00BB5107"/>
    <w:rsid w:val="00BB5851"/>
    <w:rsid w:val="00BB6B5E"/>
    <w:rsid w:val="00BB792C"/>
    <w:rsid w:val="00BB7FB2"/>
    <w:rsid w:val="00BC038C"/>
    <w:rsid w:val="00BC1531"/>
    <w:rsid w:val="00BC19DF"/>
    <w:rsid w:val="00BC2613"/>
    <w:rsid w:val="00BC313B"/>
    <w:rsid w:val="00BC4197"/>
    <w:rsid w:val="00BC4ADE"/>
    <w:rsid w:val="00BC6494"/>
    <w:rsid w:val="00BC69EF"/>
    <w:rsid w:val="00BC7291"/>
    <w:rsid w:val="00BC73BE"/>
    <w:rsid w:val="00BC79EB"/>
    <w:rsid w:val="00BD0DC4"/>
    <w:rsid w:val="00BD0E85"/>
    <w:rsid w:val="00BD10D1"/>
    <w:rsid w:val="00BD1370"/>
    <w:rsid w:val="00BD1BE8"/>
    <w:rsid w:val="00BD28FD"/>
    <w:rsid w:val="00BD2B86"/>
    <w:rsid w:val="00BD38E0"/>
    <w:rsid w:val="00BD3F99"/>
    <w:rsid w:val="00BD469A"/>
    <w:rsid w:val="00BD53A8"/>
    <w:rsid w:val="00BD74F9"/>
    <w:rsid w:val="00BD78E6"/>
    <w:rsid w:val="00BE0BB3"/>
    <w:rsid w:val="00BE0CA4"/>
    <w:rsid w:val="00BE1369"/>
    <w:rsid w:val="00BE1D8B"/>
    <w:rsid w:val="00BE1FF1"/>
    <w:rsid w:val="00BE2007"/>
    <w:rsid w:val="00BE2BC6"/>
    <w:rsid w:val="00BE36C1"/>
    <w:rsid w:val="00BE3A23"/>
    <w:rsid w:val="00BE3E83"/>
    <w:rsid w:val="00BE4B02"/>
    <w:rsid w:val="00BE53F0"/>
    <w:rsid w:val="00BE6D63"/>
    <w:rsid w:val="00BE6ED5"/>
    <w:rsid w:val="00BE75AC"/>
    <w:rsid w:val="00BF0807"/>
    <w:rsid w:val="00BF0D80"/>
    <w:rsid w:val="00BF18AA"/>
    <w:rsid w:val="00BF2FAD"/>
    <w:rsid w:val="00BF3A3F"/>
    <w:rsid w:val="00BF3CDC"/>
    <w:rsid w:val="00BF3E64"/>
    <w:rsid w:val="00BF407B"/>
    <w:rsid w:val="00BF46D5"/>
    <w:rsid w:val="00BF48D9"/>
    <w:rsid w:val="00BF4C4F"/>
    <w:rsid w:val="00BF5D90"/>
    <w:rsid w:val="00BF6B82"/>
    <w:rsid w:val="00BF6E80"/>
    <w:rsid w:val="00BF70B6"/>
    <w:rsid w:val="00C0166F"/>
    <w:rsid w:val="00C01679"/>
    <w:rsid w:val="00C01A52"/>
    <w:rsid w:val="00C02604"/>
    <w:rsid w:val="00C029F9"/>
    <w:rsid w:val="00C02A43"/>
    <w:rsid w:val="00C0309A"/>
    <w:rsid w:val="00C03204"/>
    <w:rsid w:val="00C03EC5"/>
    <w:rsid w:val="00C04171"/>
    <w:rsid w:val="00C04507"/>
    <w:rsid w:val="00C04B29"/>
    <w:rsid w:val="00C04BE9"/>
    <w:rsid w:val="00C052C5"/>
    <w:rsid w:val="00C053F2"/>
    <w:rsid w:val="00C058D6"/>
    <w:rsid w:val="00C05A2A"/>
    <w:rsid w:val="00C05E88"/>
    <w:rsid w:val="00C062FF"/>
    <w:rsid w:val="00C06A17"/>
    <w:rsid w:val="00C06DC1"/>
    <w:rsid w:val="00C07332"/>
    <w:rsid w:val="00C076F2"/>
    <w:rsid w:val="00C078F4"/>
    <w:rsid w:val="00C07A5B"/>
    <w:rsid w:val="00C07BB8"/>
    <w:rsid w:val="00C100A8"/>
    <w:rsid w:val="00C10868"/>
    <w:rsid w:val="00C108AD"/>
    <w:rsid w:val="00C10B4E"/>
    <w:rsid w:val="00C1130D"/>
    <w:rsid w:val="00C11AC1"/>
    <w:rsid w:val="00C1218D"/>
    <w:rsid w:val="00C1294F"/>
    <w:rsid w:val="00C13085"/>
    <w:rsid w:val="00C13951"/>
    <w:rsid w:val="00C148CC"/>
    <w:rsid w:val="00C14B46"/>
    <w:rsid w:val="00C14C9A"/>
    <w:rsid w:val="00C172A5"/>
    <w:rsid w:val="00C17B78"/>
    <w:rsid w:val="00C204E5"/>
    <w:rsid w:val="00C20794"/>
    <w:rsid w:val="00C20A65"/>
    <w:rsid w:val="00C2130D"/>
    <w:rsid w:val="00C22038"/>
    <w:rsid w:val="00C220C8"/>
    <w:rsid w:val="00C22214"/>
    <w:rsid w:val="00C2224C"/>
    <w:rsid w:val="00C2304C"/>
    <w:rsid w:val="00C23410"/>
    <w:rsid w:val="00C23B52"/>
    <w:rsid w:val="00C24785"/>
    <w:rsid w:val="00C247EB"/>
    <w:rsid w:val="00C2487B"/>
    <w:rsid w:val="00C248F7"/>
    <w:rsid w:val="00C2515B"/>
    <w:rsid w:val="00C2529C"/>
    <w:rsid w:val="00C2556D"/>
    <w:rsid w:val="00C25B45"/>
    <w:rsid w:val="00C25B59"/>
    <w:rsid w:val="00C25BDA"/>
    <w:rsid w:val="00C2634E"/>
    <w:rsid w:val="00C26A60"/>
    <w:rsid w:val="00C27C28"/>
    <w:rsid w:val="00C30CE1"/>
    <w:rsid w:val="00C3141F"/>
    <w:rsid w:val="00C32400"/>
    <w:rsid w:val="00C324EE"/>
    <w:rsid w:val="00C3295C"/>
    <w:rsid w:val="00C32CE0"/>
    <w:rsid w:val="00C33064"/>
    <w:rsid w:val="00C34698"/>
    <w:rsid w:val="00C34B93"/>
    <w:rsid w:val="00C34CBA"/>
    <w:rsid w:val="00C34FB7"/>
    <w:rsid w:val="00C35A54"/>
    <w:rsid w:val="00C379F4"/>
    <w:rsid w:val="00C40091"/>
    <w:rsid w:val="00C40383"/>
    <w:rsid w:val="00C40685"/>
    <w:rsid w:val="00C40796"/>
    <w:rsid w:val="00C410AB"/>
    <w:rsid w:val="00C4149E"/>
    <w:rsid w:val="00C4151C"/>
    <w:rsid w:val="00C41869"/>
    <w:rsid w:val="00C4235B"/>
    <w:rsid w:val="00C424CB"/>
    <w:rsid w:val="00C425CC"/>
    <w:rsid w:val="00C4353C"/>
    <w:rsid w:val="00C43AB8"/>
    <w:rsid w:val="00C442EC"/>
    <w:rsid w:val="00C4482C"/>
    <w:rsid w:val="00C44BE4"/>
    <w:rsid w:val="00C45B45"/>
    <w:rsid w:val="00C45E28"/>
    <w:rsid w:val="00C46B70"/>
    <w:rsid w:val="00C46F2D"/>
    <w:rsid w:val="00C47034"/>
    <w:rsid w:val="00C50B4C"/>
    <w:rsid w:val="00C50D16"/>
    <w:rsid w:val="00C512E1"/>
    <w:rsid w:val="00C514E1"/>
    <w:rsid w:val="00C515FC"/>
    <w:rsid w:val="00C5204F"/>
    <w:rsid w:val="00C5209F"/>
    <w:rsid w:val="00C52260"/>
    <w:rsid w:val="00C525F3"/>
    <w:rsid w:val="00C52624"/>
    <w:rsid w:val="00C52FC4"/>
    <w:rsid w:val="00C5343C"/>
    <w:rsid w:val="00C53971"/>
    <w:rsid w:val="00C53B7A"/>
    <w:rsid w:val="00C53C2A"/>
    <w:rsid w:val="00C541C6"/>
    <w:rsid w:val="00C542A9"/>
    <w:rsid w:val="00C54B13"/>
    <w:rsid w:val="00C54C4B"/>
    <w:rsid w:val="00C54E8A"/>
    <w:rsid w:val="00C54FB1"/>
    <w:rsid w:val="00C557AC"/>
    <w:rsid w:val="00C55B2E"/>
    <w:rsid w:val="00C55D4D"/>
    <w:rsid w:val="00C562D4"/>
    <w:rsid w:val="00C56F53"/>
    <w:rsid w:val="00C57777"/>
    <w:rsid w:val="00C6021C"/>
    <w:rsid w:val="00C606F9"/>
    <w:rsid w:val="00C620A8"/>
    <w:rsid w:val="00C6286F"/>
    <w:rsid w:val="00C62DB8"/>
    <w:rsid w:val="00C6329C"/>
    <w:rsid w:val="00C63B80"/>
    <w:rsid w:val="00C64124"/>
    <w:rsid w:val="00C645FC"/>
    <w:rsid w:val="00C64E8E"/>
    <w:rsid w:val="00C65D1D"/>
    <w:rsid w:val="00C66045"/>
    <w:rsid w:val="00C666FB"/>
    <w:rsid w:val="00C666FE"/>
    <w:rsid w:val="00C667AF"/>
    <w:rsid w:val="00C67994"/>
    <w:rsid w:val="00C71DB5"/>
    <w:rsid w:val="00C725F5"/>
    <w:rsid w:val="00C7320B"/>
    <w:rsid w:val="00C7471F"/>
    <w:rsid w:val="00C74DEC"/>
    <w:rsid w:val="00C7517B"/>
    <w:rsid w:val="00C7518E"/>
    <w:rsid w:val="00C751C9"/>
    <w:rsid w:val="00C7524E"/>
    <w:rsid w:val="00C761D2"/>
    <w:rsid w:val="00C76689"/>
    <w:rsid w:val="00C767E8"/>
    <w:rsid w:val="00C77019"/>
    <w:rsid w:val="00C80A5F"/>
    <w:rsid w:val="00C80F9F"/>
    <w:rsid w:val="00C82601"/>
    <w:rsid w:val="00C82B18"/>
    <w:rsid w:val="00C8495A"/>
    <w:rsid w:val="00C86421"/>
    <w:rsid w:val="00C8661A"/>
    <w:rsid w:val="00C90DD1"/>
    <w:rsid w:val="00C9120F"/>
    <w:rsid w:val="00C919EB"/>
    <w:rsid w:val="00C92A87"/>
    <w:rsid w:val="00C95A3C"/>
    <w:rsid w:val="00C95B1C"/>
    <w:rsid w:val="00C95EF0"/>
    <w:rsid w:val="00C96590"/>
    <w:rsid w:val="00C969FC"/>
    <w:rsid w:val="00C96F93"/>
    <w:rsid w:val="00C972B4"/>
    <w:rsid w:val="00C97787"/>
    <w:rsid w:val="00C9786D"/>
    <w:rsid w:val="00CA0D78"/>
    <w:rsid w:val="00CA15F2"/>
    <w:rsid w:val="00CA289B"/>
    <w:rsid w:val="00CA2B51"/>
    <w:rsid w:val="00CA3CDF"/>
    <w:rsid w:val="00CA42A0"/>
    <w:rsid w:val="00CA532B"/>
    <w:rsid w:val="00CA5366"/>
    <w:rsid w:val="00CA5471"/>
    <w:rsid w:val="00CA5D38"/>
    <w:rsid w:val="00CA63BC"/>
    <w:rsid w:val="00CA7B9C"/>
    <w:rsid w:val="00CB0744"/>
    <w:rsid w:val="00CB0C81"/>
    <w:rsid w:val="00CB2570"/>
    <w:rsid w:val="00CB27A8"/>
    <w:rsid w:val="00CB3FBB"/>
    <w:rsid w:val="00CB4B4C"/>
    <w:rsid w:val="00CB4F0D"/>
    <w:rsid w:val="00CB5978"/>
    <w:rsid w:val="00CB5C0D"/>
    <w:rsid w:val="00CB5DA4"/>
    <w:rsid w:val="00CB694E"/>
    <w:rsid w:val="00CB6D12"/>
    <w:rsid w:val="00CB78E1"/>
    <w:rsid w:val="00CB7A27"/>
    <w:rsid w:val="00CC02E4"/>
    <w:rsid w:val="00CC03EA"/>
    <w:rsid w:val="00CC0D2B"/>
    <w:rsid w:val="00CC0D74"/>
    <w:rsid w:val="00CC195C"/>
    <w:rsid w:val="00CC1A85"/>
    <w:rsid w:val="00CC1D1A"/>
    <w:rsid w:val="00CC1FE2"/>
    <w:rsid w:val="00CC2049"/>
    <w:rsid w:val="00CC24D0"/>
    <w:rsid w:val="00CC2654"/>
    <w:rsid w:val="00CC579F"/>
    <w:rsid w:val="00CC69A9"/>
    <w:rsid w:val="00CC6C01"/>
    <w:rsid w:val="00CC70CC"/>
    <w:rsid w:val="00CC728C"/>
    <w:rsid w:val="00CC7717"/>
    <w:rsid w:val="00CD0074"/>
    <w:rsid w:val="00CD206F"/>
    <w:rsid w:val="00CD2E55"/>
    <w:rsid w:val="00CD4291"/>
    <w:rsid w:val="00CD532C"/>
    <w:rsid w:val="00CD7EA9"/>
    <w:rsid w:val="00CD7F80"/>
    <w:rsid w:val="00CE010B"/>
    <w:rsid w:val="00CE169E"/>
    <w:rsid w:val="00CE196C"/>
    <w:rsid w:val="00CE2365"/>
    <w:rsid w:val="00CE2A94"/>
    <w:rsid w:val="00CE3236"/>
    <w:rsid w:val="00CE39AE"/>
    <w:rsid w:val="00CE3CE3"/>
    <w:rsid w:val="00CE3E83"/>
    <w:rsid w:val="00CE5269"/>
    <w:rsid w:val="00CE56ED"/>
    <w:rsid w:val="00CE6005"/>
    <w:rsid w:val="00CE689A"/>
    <w:rsid w:val="00CE7133"/>
    <w:rsid w:val="00CE7182"/>
    <w:rsid w:val="00CE786D"/>
    <w:rsid w:val="00CF008F"/>
    <w:rsid w:val="00CF0D35"/>
    <w:rsid w:val="00CF1263"/>
    <w:rsid w:val="00CF14A5"/>
    <w:rsid w:val="00CF27D9"/>
    <w:rsid w:val="00CF2C1B"/>
    <w:rsid w:val="00CF2FE3"/>
    <w:rsid w:val="00CF3775"/>
    <w:rsid w:val="00CF3CF0"/>
    <w:rsid w:val="00CF5421"/>
    <w:rsid w:val="00CF71DB"/>
    <w:rsid w:val="00CF72CD"/>
    <w:rsid w:val="00CF7352"/>
    <w:rsid w:val="00CF74FC"/>
    <w:rsid w:val="00CF755F"/>
    <w:rsid w:val="00CF76E3"/>
    <w:rsid w:val="00CF7D02"/>
    <w:rsid w:val="00D00856"/>
    <w:rsid w:val="00D01B85"/>
    <w:rsid w:val="00D01E34"/>
    <w:rsid w:val="00D024E7"/>
    <w:rsid w:val="00D02751"/>
    <w:rsid w:val="00D033E3"/>
    <w:rsid w:val="00D035B6"/>
    <w:rsid w:val="00D039B0"/>
    <w:rsid w:val="00D041E4"/>
    <w:rsid w:val="00D04961"/>
    <w:rsid w:val="00D04BE1"/>
    <w:rsid w:val="00D05625"/>
    <w:rsid w:val="00D05788"/>
    <w:rsid w:val="00D06BE0"/>
    <w:rsid w:val="00D06CDB"/>
    <w:rsid w:val="00D078D7"/>
    <w:rsid w:val="00D07BAC"/>
    <w:rsid w:val="00D10549"/>
    <w:rsid w:val="00D10F84"/>
    <w:rsid w:val="00D119B4"/>
    <w:rsid w:val="00D11EA8"/>
    <w:rsid w:val="00D12F92"/>
    <w:rsid w:val="00D13CC1"/>
    <w:rsid w:val="00D15286"/>
    <w:rsid w:val="00D16BA2"/>
    <w:rsid w:val="00D20582"/>
    <w:rsid w:val="00D22937"/>
    <w:rsid w:val="00D22B2A"/>
    <w:rsid w:val="00D22F33"/>
    <w:rsid w:val="00D23134"/>
    <w:rsid w:val="00D24131"/>
    <w:rsid w:val="00D24DDB"/>
    <w:rsid w:val="00D25C25"/>
    <w:rsid w:val="00D25EC2"/>
    <w:rsid w:val="00D25ECA"/>
    <w:rsid w:val="00D270A8"/>
    <w:rsid w:val="00D27AE0"/>
    <w:rsid w:val="00D27DD6"/>
    <w:rsid w:val="00D27F76"/>
    <w:rsid w:val="00D309F6"/>
    <w:rsid w:val="00D315BA"/>
    <w:rsid w:val="00D315DD"/>
    <w:rsid w:val="00D31BB3"/>
    <w:rsid w:val="00D31F1A"/>
    <w:rsid w:val="00D33786"/>
    <w:rsid w:val="00D3444E"/>
    <w:rsid w:val="00D347EF"/>
    <w:rsid w:val="00D34820"/>
    <w:rsid w:val="00D34DFE"/>
    <w:rsid w:val="00D35380"/>
    <w:rsid w:val="00D3538A"/>
    <w:rsid w:val="00D35A50"/>
    <w:rsid w:val="00D366F9"/>
    <w:rsid w:val="00D36BC0"/>
    <w:rsid w:val="00D36D90"/>
    <w:rsid w:val="00D3750B"/>
    <w:rsid w:val="00D3796A"/>
    <w:rsid w:val="00D37EFA"/>
    <w:rsid w:val="00D4025B"/>
    <w:rsid w:val="00D408E2"/>
    <w:rsid w:val="00D41C55"/>
    <w:rsid w:val="00D421A2"/>
    <w:rsid w:val="00D4228E"/>
    <w:rsid w:val="00D4243C"/>
    <w:rsid w:val="00D42F53"/>
    <w:rsid w:val="00D447E5"/>
    <w:rsid w:val="00D44D32"/>
    <w:rsid w:val="00D456FA"/>
    <w:rsid w:val="00D46B44"/>
    <w:rsid w:val="00D515AA"/>
    <w:rsid w:val="00D51744"/>
    <w:rsid w:val="00D51C98"/>
    <w:rsid w:val="00D523F1"/>
    <w:rsid w:val="00D53B52"/>
    <w:rsid w:val="00D53D2D"/>
    <w:rsid w:val="00D54154"/>
    <w:rsid w:val="00D548F8"/>
    <w:rsid w:val="00D54AB4"/>
    <w:rsid w:val="00D5535C"/>
    <w:rsid w:val="00D56773"/>
    <w:rsid w:val="00D5776F"/>
    <w:rsid w:val="00D57778"/>
    <w:rsid w:val="00D60A68"/>
    <w:rsid w:val="00D6168F"/>
    <w:rsid w:val="00D616E7"/>
    <w:rsid w:val="00D61815"/>
    <w:rsid w:val="00D6269F"/>
    <w:rsid w:val="00D63074"/>
    <w:rsid w:val="00D637E0"/>
    <w:rsid w:val="00D64A67"/>
    <w:rsid w:val="00D64F4D"/>
    <w:rsid w:val="00D64F86"/>
    <w:rsid w:val="00D652A5"/>
    <w:rsid w:val="00D655B3"/>
    <w:rsid w:val="00D65BF6"/>
    <w:rsid w:val="00D65C76"/>
    <w:rsid w:val="00D6741E"/>
    <w:rsid w:val="00D675FE"/>
    <w:rsid w:val="00D67FB5"/>
    <w:rsid w:val="00D701CD"/>
    <w:rsid w:val="00D701FC"/>
    <w:rsid w:val="00D70915"/>
    <w:rsid w:val="00D70EE3"/>
    <w:rsid w:val="00D71428"/>
    <w:rsid w:val="00D716F7"/>
    <w:rsid w:val="00D717BC"/>
    <w:rsid w:val="00D71A2E"/>
    <w:rsid w:val="00D72259"/>
    <w:rsid w:val="00D7236F"/>
    <w:rsid w:val="00D72CFE"/>
    <w:rsid w:val="00D72FBD"/>
    <w:rsid w:val="00D73590"/>
    <w:rsid w:val="00D73A99"/>
    <w:rsid w:val="00D73E35"/>
    <w:rsid w:val="00D74606"/>
    <w:rsid w:val="00D74C4D"/>
    <w:rsid w:val="00D75B0C"/>
    <w:rsid w:val="00D76186"/>
    <w:rsid w:val="00D765E6"/>
    <w:rsid w:val="00D76746"/>
    <w:rsid w:val="00D7697F"/>
    <w:rsid w:val="00D77B24"/>
    <w:rsid w:val="00D802B2"/>
    <w:rsid w:val="00D805F9"/>
    <w:rsid w:val="00D80C49"/>
    <w:rsid w:val="00D813C1"/>
    <w:rsid w:val="00D8205C"/>
    <w:rsid w:val="00D84350"/>
    <w:rsid w:val="00D844EF"/>
    <w:rsid w:val="00D84965"/>
    <w:rsid w:val="00D84E26"/>
    <w:rsid w:val="00D84F3E"/>
    <w:rsid w:val="00D85BB6"/>
    <w:rsid w:val="00D85D4D"/>
    <w:rsid w:val="00D86671"/>
    <w:rsid w:val="00D86BAA"/>
    <w:rsid w:val="00D871A8"/>
    <w:rsid w:val="00D87946"/>
    <w:rsid w:val="00D87BC0"/>
    <w:rsid w:val="00D9090E"/>
    <w:rsid w:val="00D91271"/>
    <w:rsid w:val="00D9174C"/>
    <w:rsid w:val="00D9240E"/>
    <w:rsid w:val="00D924A5"/>
    <w:rsid w:val="00D93059"/>
    <w:rsid w:val="00D932F6"/>
    <w:rsid w:val="00D93531"/>
    <w:rsid w:val="00D95039"/>
    <w:rsid w:val="00D958EA"/>
    <w:rsid w:val="00D95967"/>
    <w:rsid w:val="00D96567"/>
    <w:rsid w:val="00D96AA7"/>
    <w:rsid w:val="00D96F87"/>
    <w:rsid w:val="00D97793"/>
    <w:rsid w:val="00DA011A"/>
    <w:rsid w:val="00DA063D"/>
    <w:rsid w:val="00DA1476"/>
    <w:rsid w:val="00DA1598"/>
    <w:rsid w:val="00DA15C4"/>
    <w:rsid w:val="00DA1C5A"/>
    <w:rsid w:val="00DA2169"/>
    <w:rsid w:val="00DA2B9C"/>
    <w:rsid w:val="00DA2EB4"/>
    <w:rsid w:val="00DA2F73"/>
    <w:rsid w:val="00DA4101"/>
    <w:rsid w:val="00DA42E8"/>
    <w:rsid w:val="00DA4A53"/>
    <w:rsid w:val="00DA5D46"/>
    <w:rsid w:val="00DA7AE6"/>
    <w:rsid w:val="00DA7BEB"/>
    <w:rsid w:val="00DB0760"/>
    <w:rsid w:val="00DB0DE2"/>
    <w:rsid w:val="00DB114A"/>
    <w:rsid w:val="00DB1392"/>
    <w:rsid w:val="00DB17B7"/>
    <w:rsid w:val="00DB17C5"/>
    <w:rsid w:val="00DB1D00"/>
    <w:rsid w:val="00DB1D26"/>
    <w:rsid w:val="00DB1D29"/>
    <w:rsid w:val="00DB270E"/>
    <w:rsid w:val="00DB2C2B"/>
    <w:rsid w:val="00DB2CEA"/>
    <w:rsid w:val="00DB3458"/>
    <w:rsid w:val="00DB37A0"/>
    <w:rsid w:val="00DB3BD9"/>
    <w:rsid w:val="00DB4A10"/>
    <w:rsid w:val="00DB4CD9"/>
    <w:rsid w:val="00DB54B1"/>
    <w:rsid w:val="00DB581C"/>
    <w:rsid w:val="00DB6312"/>
    <w:rsid w:val="00DB660D"/>
    <w:rsid w:val="00DB6E42"/>
    <w:rsid w:val="00DB71BC"/>
    <w:rsid w:val="00DB72CC"/>
    <w:rsid w:val="00DB748D"/>
    <w:rsid w:val="00DC0019"/>
    <w:rsid w:val="00DC018B"/>
    <w:rsid w:val="00DC05B9"/>
    <w:rsid w:val="00DC0795"/>
    <w:rsid w:val="00DC0F3D"/>
    <w:rsid w:val="00DC193F"/>
    <w:rsid w:val="00DC1A83"/>
    <w:rsid w:val="00DC21D9"/>
    <w:rsid w:val="00DC2321"/>
    <w:rsid w:val="00DC23F0"/>
    <w:rsid w:val="00DC2893"/>
    <w:rsid w:val="00DC30CF"/>
    <w:rsid w:val="00DC36D5"/>
    <w:rsid w:val="00DC3C4F"/>
    <w:rsid w:val="00DC41CF"/>
    <w:rsid w:val="00DC462F"/>
    <w:rsid w:val="00DC4DBE"/>
    <w:rsid w:val="00DC5CDC"/>
    <w:rsid w:val="00DC600B"/>
    <w:rsid w:val="00DC7081"/>
    <w:rsid w:val="00DC7486"/>
    <w:rsid w:val="00DC782F"/>
    <w:rsid w:val="00DD02F3"/>
    <w:rsid w:val="00DD0398"/>
    <w:rsid w:val="00DD0453"/>
    <w:rsid w:val="00DD071D"/>
    <w:rsid w:val="00DD156F"/>
    <w:rsid w:val="00DD1805"/>
    <w:rsid w:val="00DD1C66"/>
    <w:rsid w:val="00DD1D64"/>
    <w:rsid w:val="00DD27B1"/>
    <w:rsid w:val="00DD33CE"/>
    <w:rsid w:val="00DD37FF"/>
    <w:rsid w:val="00DD54FE"/>
    <w:rsid w:val="00DD5D07"/>
    <w:rsid w:val="00DD601F"/>
    <w:rsid w:val="00DD6325"/>
    <w:rsid w:val="00DD6767"/>
    <w:rsid w:val="00DD6D4E"/>
    <w:rsid w:val="00DD752D"/>
    <w:rsid w:val="00DD7BAA"/>
    <w:rsid w:val="00DE01BB"/>
    <w:rsid w:val="00DE074C"/>
    <w:rsid w:val="00DE1776"/>
    <w:rsid w:val="00DE1A27"/>
    <w:rsid w:val="00DE1E17"/>
    <w:rsid w:val="00DE1F9D"/>
    <w:rsid w:val="00DE25BE"/>
    <w:rsid w:val="00DE2677"/>
    <w:rsid w:val="00DE2C6F"/>
    <w:rsid w:val="00DE2F25"/>
    <w:rsid w:val="00DE2FC0"/>
    <w:rsid w:val="00DE3605"/>
    <w:rsid w:val="00DE373D"/>
    <w:rsid w:val="00DE3D9A"/>
    <w:rsid w:val="00DE6FCC"/>
    <w:rsid w:val="00DE74E9"/>
    <w:rsid w:val="00DE7848"/>
    <w:rsid w:val="00DE7BBE"/>
    <w:rsid w:val="00DF14E6"/>
    <w:rsid w:val="00DF164A"/>
    <w:rsid w:val="00DF176D"/>
    <w:rsid w:val="00DF264B"/>
    <w:rsid w:val="00DF2AD6"/>
    <w:rsid w:val="00DF2DCE"/>
    <w:rsid w:val="00DF36CD"/>
    <w:rsid w:val="00DF376F"/>
    <w:rsid w:val="00DF53B7"/>
    <w:rsid w:val="00DF54AF"/>
    <w:rsid w:val="00DF5DA7"/>
    <w:rsid w:val="00DF5FA4"/>
    <w:rsid w:val="00DF6150"/>
    <w:rsid w:val="00DF61B0"/>
    <w:rsid w:val="00DF632A"/>
    <w:rsid w:val="00DF63F3"/>
    <w:rsid w:val="00DF65BF"/>
    <w:rsid w:val="00DF6731"/>
    <w:rsid w:val="00DF6971"/>
    <w:rsid w:val="00DF74D7"/>
    <w:rsid w:val="00DF767C"/>
    <w:rsid w:val="00DF7A5D"/>
    <w:rsid w:val="00E00015"/>
    <w:rsid w:val="00E00279"/>
    <w:rsid w:val="00E003E7"/>
    <w:rsid w:val="00E0047C"/>
    <w:rsid w:val="00E006C0"/>
    <w:rsid w:val="00E00C93"/>
    <w:rsid w:val="00E014AF"/>
    <w:rsid w:val="00E01C54"/>
    <w:rsid w:val="00E02B6B"/>
    <w:rsid w:val="00E03013"/>
    <w:rsid w:val="00E0473E"/>
    <w:rsid w:val="00E0525D"/>
    <w:rsid w:val="00E06709"/>
    <w:rsid w:val="00E06C35"/>
    <w:rsid w:val="00E06FAD"/>
    <w:rsid w:val="00E07810"/>
    <w:rsid w:val="00E133B3"/>
    <w:rsid w:val="00E1415A"/>
    <w:rsid w:val="00E148AA"/>
    <w:rsid w:val="00E14CA2"/>
    <w:rsid w:val="00E15676"/>
    <w:rsid w:val="00E169C5"/>
    <w:rsid w:val="00E173F3"/>
    <w:rsid w:val="00E206EA"/>
    <w:rsid w:val="00E20759"/>
    <w:rsid w:val="00E21BF4"/>
    <w:rsid w:val="00E222E7"/>
    <w:rsid w:val="00E22395"/>
    <w:rsid w:val="00E227C2"/>
    <w:rsid w:val="00E22FC0"/>
    <w:rsid w:val="00E23427"/>
    <w:rsid w:val="00E234D8"/>
    <w:rsid w:val="00E23640"/>
    <w:rsid w:val="00E236A2"/>
    <w:rsid w:val="00E23806"/>
    <w:rsid w:val="00E23C31"/>
    <w:rsid w:val="00E243DF"/>
    <w:rsid w:val="00E24EBD"/>
    <w:rsid w:val="00E24FA3"/>
    <w:rsid w:val="00E25165"/>
    <w:rsid w:val="00E258C3"/>
    <w:rsid w:val="00E25EF1"/>
    <w:rsid w:val="00E266C0"/>
    <w:rsid w:val="00E2691F"/>
    <w:rsid w:val="00E27DB9"/>
    <w:rsid w:val="00E301BB"/>
    <w:rsid w:val="00E3020A"/>
    <w:rsid w:val="00E30C2D"/>
    <w:rsid w:val="00E30F1C"/>
    <w:rsid w:val="00E31F6E"/>
    <w:rsid w:val="00E3225E"/>
    <w:rsid w:val="00E322E6"/>
    <w:rsid w:val="00E323D1"/>
    <w:rsid w:val="00E325D6"/>
    <w:rsid w:val="00E326B1"/>
    <w:rsid w:val="00E328CD"/>
    <w:rsid w:val="00E32F57"/>
    <w:rsid w:val="00E33F03"/>
    <w:rsid w:val="00E3415A"/>
    <w:rsid w:val="00E353CC"/>
    <w:rsid w:val="00E357A5"/>
    <w:rsid w:val="00E35BC6"/>
    <w:rsid w:val="00E36171"/>
    <w:rsid w:val="00E36185"/>
    <w:rsid w:val="00E36468"/>
    <w:rsid w:val="00E37469"/>
    <w:rsid w:val="00E3766A"/>
    <w:rsid w:val="00E376E0"/>
    <w:rsid w:val="00E37E4A"/>
    <w:rsid w:val="00E40F94"/>
    <w:rsid w:val="00E41051"/>
    <w:rsid w:val="00E4198F"/>
    <w:rsid w:val="00E41A1B"/>
    <w:rsid w:val="00E42351"/>
    <w:rsid w:val="00E42CC5"/>
    <w:rsid w:val="00E43813"/>
    <w:rsid w:val="00E43F4A"/>
    <w:rsid w:val="00E44223"/>
    <w:rsid w:val="00E4579C"/>
    <w:rsid w:val="00E45954"/>
    <w:rsid w:val="00E45D6D"/>
    <w:rsid w:val="00E46008"/>
    <w:rsid w:val="00E46181"/>
    <w:rsid w:val="00E463B0"/>
    <w:rsid w:val="00E46B34"/>
    <w:rsid w:val="00E46F4B"/>
    <w:rsid w:val="00E471BD"/>
    <w:rsid w:val="00E47FC0"/>
    <w:rsid w:val="00E51016"/>
    <w:rsid w:val="00E518B6"/>
    <w:rsid w:val="00E51F75"/>
    <w:rsid w:val="00E52425"/>
    <w:rsid w:val="00E52E57"/>
    <w:rsid w:val="00E53177"/>
    <w:rsid w:val="00E532C4"/>
    <w:rsid w:val="00E537E0"/>
    <w:rsid w:val="00E54439"/>
    <w:rsid w:val="00E55664"/>
    <w:rsid w:val="00E568A2"/>
    <w:rsid w:val="00E570BE"/>
    <w:rsid w:val="00E57705"/>
    <w:rsid w:val="00E601B8"/>
    <w:rsid w:val="00E60916"/>
    <w:rsid w:val="00E6099E"/>
    <w:rsid w:val="00E60D57"/>
    <w:rsid w:val="00E61CA3"/>
    <w:rsid w:val="00E629B0"/>
    <w:rsid w:val="00E634F3"/>
    <w:rsid w:val="00E63C8B"/>
    <w:rsid w:val="00E6418C"/>
    <w:rsid w:val="00E64361"/>
    <w:rsid w:val="00E644A0"/>
    <w:rsid w:val="00E64688"/>
    <w:rsid w:val="00E653B0"/>
    <w:rsid w:val="00E6689A"/>
    <w:rsid w:val="00E66B4D"/>
    <w:rsid w:val="00E6752F"/>
    <w:rsid w:val="00E67631"/>
    <w:rsid w:val="00E67AE7"/>
    <w:rsid w:val="00E70015"/>
    <w:rsid w:val="00E70C2F"/>
    <w:rsid w:val="00E70DAB"/>
    <w:rsid w:val="00E70FEF"/>
    <w:rsid w:val="00E719AB"/>
    <w:rsid w:val="00E719DD"/>
    <w:rsid w:val="00E71C65"/>
    <w:rsid w:val="00E725B2"/>
    <w:rsid w:val="00E72695"/>
    <w:rsid w:val="00E728FA"/>
    <w:rsid w:val="00E7464B"/>
    <w:rsid w:val="00E74B01"/>
    <w:rsid w:val="00E75B5F"/>
    <w:rsid w:val="00E75D90"/>
    <w:rsid w:val="00E77CE7"/>
    <w:rsid w:val="00E80867"/>
    <w:rsid w:val="00E80A0C"/>
    <w:rsid w:val="00E81170"/>
    <w:rsid w:val="00E814D5"/>
    <w:rsid w:val="00E82557"/>
    <w:rsid w:val="00E826AD"/>
    <w:rsid w:val="00E835AF"/>
    <w:rsid w:val="00E84964"/>
    <w:rsid w:val="00E84DA8"/>
    <w:rsid w:val="00E85132"/>
    <w:rsid w:val="00E8563A"/>
    <w:rsid w:val="00E856CC"/>
    <w:rsid w:val="00E8574C"/>
    <w:rsid w:val="00E85775"/>
    <w:rsid w:val="00E859E5"/>
    <w:rsid w:val="00E862F3"/>
    <w:rsid w:val="00E8679B"/>
    <w:rsid w:val="00E86B81"/>
    <w:rsid w:val="00E877F6"/>
    <w:rsid w:val="00E90383"/>
    <w:rsid w:val="00E9068A"/>
    <w:rsid w:val="00E9228E"/>
    <w:rsid w:val="00E9252B"/>
    <w:rsid w:val="00E92A17"/>
    <w:rsid w:val="00E9431E"/>
    <w:rsid w:val="00E94335"/>
    <w:rsid w:val="00E94923"/>
    <w:rsid w:val="00E94ADA"/>
    <w:rsid w:val="00E95409"/>
    <w:rsid w:val="00E95D79"/>
    <w:rsid w:val="00E9622E"/>
    <w:rsid w:val="00E96623"/>
    <w:rsid w:val="00E967A9"/>
    <w:rsid w:val="00E96EB3"/>
    <w:rsid w:val="00E972C2"/>
    <w:rsid w:val="00E97B41"/>
    <w:rsid w:val="00E97C26"/>
    <w:rsid w:val="00E97EF8"/>
    <w:rsid w:val="00EA0B26"/>
    <w:rsid w:val="00EA15C5"/>
    <w:rsid w:val="00EA1A51"/>
    <w:rsid w:val="00EA2C48"/>
    <w:rsid w:val="00EA2FC7"/>
    <w:rsid w:val="00EA3757"/>
    <w:rsid w:val="00EA3D37"/>
    <w:rsid w:val="00EA4489"/>
    <w:rsid w:val="00EA4560"/>
    <w:rsid w:val="00EA47E6"/>
    <w:rsid w:val="00EA59ED"/>
    <w:rsid w:val="00EA6059"/>
    <w:rsid w:val="00EB0785"/>
    <w:rsid w:val="00EB1020"/>
    <w:rsid w:val="00EB1396"/>
    <w:rsid w:val="00EB265A"/>
    <w:rsid w:val="00EB27C5"/>
    <w:rsid w:val="00EB33F1"/>
    <w:rsid w:val="00EB48D4"/>
    <w:rsid w:val="00EB4C5E"/>
    <w:rsid w:val="00EB4E44"/>
    <w:rsid w:val="00EB4FE5"/>
    <w:rsid w:val="00EB5140"/>
    <w:rsid w:val="00EB5475"/>
    <w:rsid w:val="00EB5880"/>
    <w:rsid w:val="00EB5BC8"/>
    <w:rsid w:val="00EB5DF3"/>
    <w:rsid w:val="00EB6261"/>
    <w:rsid w:val="00EB63EA"/>
    <w:rsid w:val="00EB6460"/>
    <w:rsid w:val="00EB64EB"/>
    <w:rsid w:val="00EB681F"/>
    <w:rsid w:val="00EB68E2"/>
    <w:rsid w:val="00EC030A"/>
    <w:rsid w:val="00EC04CC"/>
    <w:rsid w:val="00EC09FE"/>
    <w:rsid w:val="00EC0B42"/>
    <w:rsid w:val="00EC10F8"/>
    <w:rsid w:val="00EC25EA"/>
    <w:rsid w:val="00EC2957"/>
    <w:rsid w:val="00EC2BDB"/>
    <w:rsid w:val="00EC33FC"/>
    <w:rsid w:val="00EC351A"/>
    <w:rsid w:val="00EC353B"/>
    <w:rsid w:val="00EC4A06"/>
    <w:rsid w:val="00EC4E7C"/>
    <w:rsid w:val="00EC53DA"/>
    <w:rsid w:val="00EC54D5"/>
    <w:rsid w:val="00EC55C3"/>
    <w:rsid w:val="00EC575B"/>
    <w:rsid w:val="00EC585C"/>
    <w:rsid w:val="00EC5D42"/>
    <w:rsid w:val="00EC6073"/>
    <w:rsid w:val="00EC7A80"/>
    <w:rsid w:val="00EC7B44"/>
    <w:rsid w:val="00ED168A"/>
    <w:rsid w:val="00ED1760"/>
    <w:rsid w:val="00ED26F8"/>
    <w:rsid w:val="00ED2819"/>
    <w:rsid w:val="00ED29F9"/>
    <w:rsid w:val="00ED40BB"/>
    <w:rsid w:val="00ED4187"/>
    <w:rsid w:val="00ED42DF"/>
    <w:rsid w:val="00ED6A82"/>
    <w:rsid w:val="00ED6BB7"/>
    <w:rsid w:val="00ED6FE7"/>
    <w:rsid w:val="00ED758E"/>
    <w:rsid w:val="00ED77EF"/>
    <w:rsid w:val="00ED7B01"/>
    <w:rsid w:val="00ED7E1C"/>
    <w:rsid w:val="00EE02EA"/>
    <w:rsid w:val="00EE09B7"/>
    <w:rsid w:val="00EE0D89"/>
    <w:rsid w:val="00EE1513"/>
    <w:rsid w:val="00EE174E"/>
    <w:rsid w:val="00EE1EFF"/>
    <w:rsid w:val="00EE2941"/>
    <w:rsid w:val="00EE3437"/>
    <w:rsid w:val="00EE3C5D"/>
    <w:rsid w:val="00EE3FA6"/>
    <w:rsid w:val="00EE44D7"/>
    <w:rsid w:val="00EE5F30"/>
    <w:rsid w:val="00EE664F"/>
    <w:rsid w:val="00EE6DE7"/>
    <w:rsid w:val="00EE7223"/>
    <w:rsid w:val="00EE75CB"/>
    <w:rsid w:val="00EE7736"/>
    <w:rsid w:val="00EE7AF4"/>
    <w:rsid w:val="00EE7D13"/>
    <w:rsid w:val="00EE7EFD"/>
    <w:rsid w:val="00EF0C28"/>
    <w:rsid w:val="00EF174C"/>
    <w:rsid w:val="00EF2187"/>
    <w:rsid w:val="00EF21C9"/>
    <w:rsid w:val="00EF360E"/>
    <w:rsid w:val="00EF47A2"/>
    <w:rsid w:val="00EF5DD8"/>
    <w:rsid w:val="00EF637B"/>
    <w:rsid w:val="00EF63F0"/>
    <w:rsid w:val="00EF6B22"/>
    <w:rsid w:val="00EF72DE"/>
    <w:rsid w:val="00EF730B"/>
    <w:rsid w:val="00EF75D5"/>
    <w:rsid w:val="00EF76AC"/>
    <w:rsid w:val="00EF799B"/>
    <w:rsid w:val="00EF7FA2"/>
    <w:rsid w:val="00F004C2"/>
    <w:rsid w:val="00F00535"/>
    <w:rsid w:val="00F00CFF"/>
    <w:rsid w:val="00F01382"/>
    <w:rsid w:val="00F02A58"/>
    <w:rsid w:val="00F02BE1"/>
    <w:rsid w:val="00F02C16"/>
    <w:rsid w:val="00F03541"/>
    <w:rsid w:val="00F047DD"/>
    <w:rsid w:val="00F0484A"/>
    <w:rsid w:val="00F04C23"/>
    <w:rsid w:val="00F06C44"/>
    <w:rsid w:val="00F06F3C"/>
    <w:rsid w:val="00F079BF"/>
    <w:rsid w:val="00F100DF"/>
    <w:rsid w:val="00F10490"/>
    <w:rsid w:val="00F11726"/>
    <w:rsid w:val="00F11F8C"/>
    <w:rsid w:val="00F12B33"/>
    <w:rsid w:val="00F135A8"/>
    <w:rsid w:val="00F13ED5"/>
    <w:rsid w:val="00F14188"/>
    <w:rsid w:val="00F14C6D"/>
    <w:rsid w:val="00F14D4C"/>
    <w:rsid w:val="00F14F86"/>
    <w:rsid w:val="00F158F7"/>
    <w:rsid w:val="00F15910"/>
    <w:rsid w:val="00F15AB3"/>
    <w:rsid w:val="00F15D00"/>
    <w:rsid w:val="00F1664B"/>
    <w:rsid w:val="00F167C5"/>
    <w:rsid w:val="00F16A79"/>
    <w:rsid w:val="00F17365"/>
    <w:rsid w:val="00F17380"/>
    <w:rsid w:val="00F205D5"/>
    <w:rsid w:val="00F20D3D"/>
    <w:rsid w:val="00F21F90"/>
    <w:rsid w:val="00F23639"/>
    <w:rsid w:val="00F238DA"/>
    <w:rsid w:val="00F239FE"/>
    <w:rsid w:val="00F23E11"/>
    <w:rsid w:val="00F23ED9"/>
    <w:rsid w:val="00F2423B"/>
    <w:rsid w:val="00F24317"/>
    <w:rsid w:val="00F247D7"/>
    <w:rsid w:val="00F24829"/>
    <w:rsid w:val="00F24A76"/>
    <w:rsid w:val="00F24BC7"/>
    <w:rsid w:val="00F25760"/>
    <w:rsid w:val="00F25878"/>
    <w:rsid w:val="00F25C9D"/>
    <w:rsid w:val="00F26F3E"/>
    <w:rsid w:val="00F27C55"/>
    <w:rsid w:val="00F303E8"/>
    <w:rsid w:val="00F3073F"/>
    <w:rsid w:val="00F30F1D"/>
    <w:rsid w:val="00F3100E"/>
    <w:rsid w:val="00F31150"/>
    <w:rsid w:val="00F31A91"/>
    <w:rsid w:val="00F32318"/>
    <w:rsid w:val="00F323DE"/>
    <w:rsid w:val="00F32E11"/>
    <w:rsid w:val="00F336E1"/>
    <w:rsid w:val="00F338F0"/>
    <w:rsid w:val="00F34112"/>
    <w:rsid w:val="00F34898"/>
    <w:rsid w:val="00F348B2"/>
    <w:rsid w:val="00F34F4F"/>
    <w:rsid w:val="00F35048"/>
    <w:rsid w:val="00F35990"/>
    <w:rsid w:val="00F359F6"/>
    <w:rsid w:val="00F35EFE"/>
    <w:rsid w:val="00F36193"/>
    <w:rsid w:val="00F363D5"/>
    <w:rsid w:val="00F36888"/>
    <w:rsid w:val="00F3726C"/>
    <w:rsid w:val="00F37A6A"/>
    <w:rsid w:val="00F40B4D"/>
    <w:rsid w:val="00F41182"/>
    <w:rsid w:val="00F4147B"/>
    <w:rsid w:val="00F42F27"/>
    <w:rsid w:val="00F4330E"/>
    <w:rsid w:val="00F4420C"/>
    <w:rsid w:val="00F44C7F"/>
    <w:rsid w:val="00F44CBD"/>
    <w:rsid w:val="00F456C7"/>
    <w:rsid w:val="00F465BA"/>
    <w:rsid w:val="00F471E7"/>
    <w:rsid w:val="00F47F7D"/>
    <w:rsid w:val="00F506AF"/>
    <w:rsid w:val="00F51A04"/>
    <w:rsid w:val="00F52642"/>
    <w:rsid w:val="00F52A37"/>
    <w:rsid w:val="00F54158"/>
    <w:rsid w:val="00F54FA6"/>
    <w:rsid w:val="00F55591"/>
    <w:rsid w:val="00F5578B"/>
    <w:rsid w:val="00F55BDD"/>
    <w:rsid w:val="00F55C63"/>
    <w:rsid w:val="00F56B7C"/>
    <w:rsid w:val="00F57EED"/>
    <w:rsid w:val="00F602D4"/>
    <w:rsid w:val="00F610AB"/>
    <w:rsid w:val="00F616DA"/>
    <w:rsid w:val="00F61DFA"/>
    <w:rsid w:val="00F62BC2"/>
    <w:rsid w:val="00F6322C"/>
    <w:rsid w:val="00F636BE"/>
    <w:rsid w:val="00F65149"/>
    <w:rsid w:val="00F652B0"/>
    <w:rsid w:val="00F65793"/>
    <w:rsid w:val="00F65C7C"/>
    <w:rsid w:val="00F66AF8"/>
    <w:rsid w:val="00F677D5"/>
    <w:rsid w:val="00F67BD0"/>
    <w:rsid w:val="00F70DB9"/>
    <w:rsid w:val="00F70EE6"/>
    <w:rsid w:val="00F71A6E"/>
    <w:rsid w:val="00F727DF"/>
    <w:rsid w:val="00F72D79"/>
    <w:rsid w:val="00F7311E"/>
    <w:rsid w:val="00F731F8"/>
    <w:rsid w:val="00F73FD6"/>
    <w:rsid w:val="00F74423"/>
    <w:rsid w:val="00F751F7"/>
    <w:rsid w:val="00F75530"/>
    <w:rsid w:val="00F75FCD"/>
    <w:rsid w:val="00F7629A"/>
    <w:rsid w:val="00F76663"/>
    <w:rsid w:val="00F77276"/>
    <w:rsid w:val="00F77FB6"/>
    <w:rsid w:val="00F803C4"/>
    <w:rsid w:val="00F80EA5"/>
    <w:rsid w:val="00F81459"/>
    <w:rsid w:val="00F81B9B"/>
    <w:rsid w:val="00F82101"/>
    <w:rsid w:val="00F82A8C"/>
    <w:rsid w:val="00F83967"/>
    <w:rsid w:val="00F844BD"/>
    <w:rsid w:val="00F856DC"/>
    <w:rsid w:val="00F861C0"/>
    <w:rsid w:val="00F863A0"/>
    <w:rsid w:val="00F86568"/>
    <w:rsid w:val="00F9078E"/>
    <w:rsid w:val="00F90937"/>
    <w:rsid w:val="00F91923"/>
    <w:rsid w:val="00F931E4"/>
    <w:rsid w:val="00F933EF"/>
    <w:rsid w:val="00F9381F"/>
    <w:rsid w:val="00F93DD6"/>
    <w:rsid w:val="00F945B1"/>
    <w:rsid w:val="00F952DA"/>
    <w:rsid w:val="00F957EA"/>
    <w:rsid w:val="00F95982"/>
    <w:rsid w:val="00F95C23"/>
    <w:rsid w:val="00F9694D"/>
    <w:rsid w:val="00F96A90"/>
    <w:rsid w:val="00F96F94"/>
    <w:rsid w:val="00F97342"/>
    <w:rsid w:val="00F9773B"/>
    <w:rsid w:val="00F97BEF"/>
    <w:rsid w:val="00F97CC7"/>
    <w:rsid w:val="00FA0CB8"/>
    <w:rsid w:val="00FA3026"/>
    <w:rsid w:val="00FA389D"/>
    <w:rsid w:val="00FA3A25"/>
    <w:rsid w:val="00FA3F28"/>
    <w:rsid w:val="00FA56B3"/>
    <w:rsid w:val="00FA57CA"/>
    <w:rsid w:val="00FA5C20"/>
    <w:rsid w:val="00FA5E0E"/>
    <w:rsid w:val="00FA6131"/>
    <w:rsid w:val="00FA62A5"/>
    <w:rsid w:val="00FA65AF"/>
    <w:rsid w:val="00FA6B97"/>
    <w:rsid w:val="00FA7874"/>
    <w:rsid w:val="00FA7C3B"/>
    <w:rsid w:val="00FA7F2D"/>
    <w:rsid w:val="00FB2008"/>
    <w:rsid w:val="00FB2A70"/>
    <w:rsid w:val="00FB2F56"/>
    <w:rsid w:val="00FB34DE"/>
    <w:rsid w:val="00FB3AF8"/>
    <w:rsid w:val="00FB3EFE"/>
    <w:rsid w:val="00FB42AA"/>
    <w:rsid w:val="00FB42FE"/>
    <w:rsid w:val="00FB53AD"/>
    <w:rsid w:val="00FB54D5"/>
    <w:rsid w:val="00FB5D3D"/>
    <w:rsid w:val="00FB6785"/>
    <w:rsid w:val="00FB6B96"/>
    <w:rsid w:val="00FB7CA2"/>
    <w:rsid w:val="00FB7D21"/>
    <w:rsid w:val="00FB7D2E"/>
    <w:rsid w:val="00FC00B7"/>
    <w:rsid w:val="00FC053E"/>
    <w:rsid w:val="00FC0A9E"/>
    <w:rsid w:val="00FC163A"/>
    <w:rsid w:val="00FC172E"/>
    <w:rsid w:val="00FC2B58"/>
    <w:rsid w:val="00FC33B1"/>
    <w:rsid w:val="00FC353E"/>
    <w:rsid w:val="00FC3623"/>
    <w:rsid w:val="00FC3CA9"/>
    <w:rsid w:val="00FC4ACF"/>
    <w:rsid w:val="00FC582E"/>
    <w:rsid w:val="00FC61B0"/>
    <w:rsid w:val="00FC6361"/>
    <w:rsid w:val="00FC6BD2"/>
    <w:rsid w:val="00FC7B62"/>
    <w:rsid w:val="00FD07FB"/>
    <w:rsid w:val="00FD0EFD"/>
    <w:rsid w:val="00FD179D"/>
    <w:rsid w:val="00FD1A26"/>
    <w:rsid w:val="00FD1A8D"/>
    <w:rsid w:val="00FD1B66"/>
    <w:rsid w:val="00FD29DC"/>
    <w:rsid w:val="00FD30B4"/>
    <w:rsid w:val="00FD325B"/>
    <w:rsid w:val="00FD384A"/>
    <w:rsid w:val="00FD5EE9"/>
    <w:rsid w:val="00FD6011"/>
    <w:rsid w:val="00FD655E"/>
    <w:rsid w:val="00FD6AAD"/>
    <w:rsid w:val="00FD7383"/>
    <w:rsid w:val="00FD7549"/>
    <w:rsid w:val="00FD754C"/>
    <w:rsid w:val="00FD7894"/>
    <w:rsid w:val="00FE045A"/>
    <w:rsid w:val="00FE078B"/>
    <w:rsid w:val="00FE0E55"/>
    <w:rsid w:val="00FE1307"/>
    <w:rsid w:val="00FE1C2F"/>
    <w:rsid w:val="00FE2C6E"/>
    <w:rsid w:val="00FE2F1F"/>
    <w:rsid w:val="00FE3B7B"/>
    <w:rsid w:val="00FE40A6"/>
    <w:rsid w:val="00FE4601"/>
    <w:rsid w:val="00FE5479"/>
    <w:rsid w:val="00FE5D73"/>
    <w:rsid w:val="00FE6F33"/>
    <w:rsid w:val="00FE741F"/>
    <w:rsid w:val="00FF0D99"/>
    <w:rsid w:val="00FF140B"/>
    <w:rsid w:val="00FF14E8"/>
    <w:rsid w:val="00FF18BD"/>
    <w:rsid w:val="00FF2015"/>
    <w:rsid w:val="00FF2E0C"/>
    <w:rsid w:val="00FF3E5B"/>
    <w:rsid w:val="00FF4CFE"/>
    <w:rsid w:val="00FF606F"/>
    <w:rsid w:val="00FF6366"/>
    <w:rsid w:val="00FF6747"/>
    <w:rsid w:val="00FF67E2"/>
    <w:rsid w:val="00FF67F4"/>
    <w:rsid w:val="00FF7794"/>
    <w:rsid w:val="00FF7884"/>
    <w:rsid w:val="00FF78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F28AB0"/>
  <w15:docId w15:val="{848EFDFE-D973-480A-BF16-D5C417B3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38"/>
    <w:pPr>
      <w:spacing w:before="240" w:after="240"/>
    </w:pPr>
    <w:rPr>
      <w:rFonts w:ascii="Arial" w:hAnsi="Arial"/>
      <w:color w:val="000000"/>
      <w:sz w:val="24"/>
      <w:lang w:eastAsia="en-US"/>
    </w:rPr>
  </w:style>
  <w:style w:type="paragraph" w:styleId="Heading1">
    <w:name w:val="heading 1"/>
    <w:basedOn w:val="Normal"/>
    <w:next w:val="Normal"/>
    <w:link w:val="Heading1Char"/>
    <w:qFormat/>
    <w:rsid w:val="00F25760"/>
    <w:pPr>
      <w:keepNext/>
      <w:keepLines/>
      <w:numPr>
        <w:numId w:val="11"/>
      </w:numPr>
      <w:spacing w:before="360"/>
      <w:outlineLvl w:val="0"/>
    </w:pPr>
    <w:rPr>
      <w:b/>
      <w:bCs/>
      <w:sz w:val="28"/>
      <w:szCs w:val="28"/>
    </w:rPr>
  </w:style>
  <w:style w:type="paragraph" w:styleId="Heading2">
    <w:name w:val="heading 2"/>
    <w:basedOn w:val="Heading1"/>
    <w:next w:val="Normal"/>
    <w:link w:val="Heading2Char"/>
    <w:qFormat/>
    <w:rsid w:val="00012CC8"/>
    <w:pPr>
      <w:numPr>
        <w:ilvl w:val="1"/>
      </w:numPr>
      <w:tabs>
        <w:tab w:val="num" w:pos="284"/>
        <w:tab w:val="num" w:pos="567"/>
      </w:tabs>
      <w:ind w:left="1135"/>
      <w:outlineLvl w:val="1"/>
    </w:pPr>
    <w:rPr>
      <w:bCs w:val="0"/>
      <w:i/>
      <w:szCs w:val="26"/>
    </w:rPr>
  </w:style>
  <w:style w:type="paragraph" w:styleId="Heading3">
    <w:name w:val="heading 3"/>
    <w:basedOn w:val="Heading2"/>
    <w:next w:val="Normal"/>
    <w:link w:val="Heading3Char"/>
    <w:qFormat/>
    <w:rsid w:val="00F25760"/>
    <w:pPr>
      <w:numPr>
        <w:ilvl w:val="2"/>
      </w:numPr>
      <w:tabs>
        <w:tab w:val="num" w:pos="567"/>
      </w:tabs>
      <w:outlineLvl w:val="2"/>
    </w:pPr>
    <w:rPr>
      <w:b w:val="0"/>
      <w:bCs/>
      <w:color w:val="auto"/>
      <w:sz w:val="24"/>
    </w:rPr>
  </w:style>
  <w:style w:type="paragraph" w:styleId="Heading4">
    <w:name w:val="heading 4"/>
    <w:basedOn w:val="Heading3"/>
    <w:next w:val="Normal"/>
    <w:link w:val="Heading4Char"/>
    <w:qFormat/>
    <w:rsid w:val="00F25760"/>
    <w:pPr>
      <w:numPr>
        <w:ilvl w:val="3"/>
      </w:numPr>
      <w:outlineLvl w:val="3"/>
    </w:pPr>
    <w:rPr>
      <w:bCs w:val="0"/>
      <w:i w:val="0"/>
      <w:iCs/>
    </w:rPr>
  </w:style>
  <w:style w:type="paragraph" w:styleId="Heading5">
    <w:name w:val="heading 5"/>
    <w:basedOn w:val="Normal"/>
    <w:next w:val="Normal"/>
    <w:link w:val="Heading5Char"/>
    <w:qFormat/>
    <w:locked/>
    <w:rsid w:val="00F25760"/>
    <w:pPr>
      <w:keepNext/>
      <w:keepLines/>
      <w:numPr>
        <w:ilvl w:val="4"/>
        <w:numId w:val="11"/>
      </w:numPr>
      <w:spacing w:before="200"/>
      <w:outlineLvl w:val="4"/>
    </w:pPr>
    <w:rPr>
      <w:rFonts w:ascii="Cambria" w:hAnsi="Cambria"/>
      <w:color w:val="243F60"/>
    </w:rPr>
  </w:style>
  <w:style w:type="paragraph" w:styleId="Heading6">
    <w:name w:val="heading 6"/>
    <w:basedOn w:val="Normal"/>
    <w:next w:val="Normal"/>
    <w:link w:val="Heading6Char"/>
    <w:qFormat/>
    <w:locked/>
    <w:rsid w:val="00F25760"/>
    <w:pPr>
      <w:keepNext/>
      <w:keepLines/>
      <w:numPr>
        <w:ilvl w:val="5"/>
        <w:numId w:val="11"/>
      </w:numPr>
      <w:spacing w:before="200"/>
      <w:outlineLvl w:val="5"/>
    </w:pPr>
    <w:rPr>
      <w:rFonts w:ascii="Cambria" w:hAnsi="Cambria"/>
      <w:i/>
      <w:iCs/>
      <w:color w:val="243F60"/>
    </w:rPr>
  </w:style>
  <w:style w:type="paragraph" w:styleId="Heading7">
    <w:name w:val="heading 7"/>
    <w:basedOn w:val="Normal"/>
    <w:next w:val="Normal"/>
    <w:link w:val="Heading7Char"/>
    <w:qFormat/>
    <w:locked/>
    <w:rsid w:val="00F25760"/>
    <w:pPr>
      <w:keepNext/>
      <w:keepLines/>
      <w:numPr>
        <w:ilvl w:val="6"/>
        <w:numId w:val="11"/>
      </w:numPr>
      <w:spacing w:before="200"/>
      <w:outlineLvl w:val="6"/>
    </w:pPr>
    <w:rPr>
      <w:rFonts w:ascii="Cambria" w:hAnsi="Cambria"/>
      <w:i/>
      <w:iCs/>
      <w:color w:val="404040"/>
    </w:rPr>
  </w:style>
  <w:style w:type="paragraph" w:styleId="Heading8">
    <w:name w:val="heading 8"/>
    <w:basedOn w:val="Normal"/>
    <w:next w:val="Normal"/>
    <w:link w:val="Heading8Char"/>
    <w:qFormat/>
    <w:locked/>
    <w:rsid w:val="00F25760"/>
    <w:pPr>
      <w:keepNext/>
      <w:keepLines/>
      <w:tabs>
        <w:tab w:val="num" w:pos="0"/>
      </w:tabs>
      <w:spacing w:before="200"/>
      <w:ind w:left="1440" w:hanging="1440"/>
      <w:outlineLvl w:val="7"/>
    </w:pPr>
    <w:rPr>
      <w:rFonts w:ascii="Cambria" w:hAnsi="Cambria"/>
      <w:color w:val="404040"/>
      <w:sz w:val="20"/>
    </w:rPr>
  </w:style>
  <w:style w:type="paragraph" w:styleId="Heading9">
    <w:name w:val="heading 9"/>
    <w:basedOn w:val="Normal"/>
    <w:next w:val="Normal"/>
    <w:link w:val="Heading9Char"/>
    <w:qFormat/>
    <w:locked/>
    <w:rsid w:val="00F25760"/>
    <w:pPr>
      <w:keepNext/>
      <w:keepLines/>
      <w:tabs>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25760"/>
    <w:rPr>
      <w:rFonts w:ascii="Arial" w:hAnsi="Arial"/>
      <w:b/>
      <w:bCs/>
      <w:color w:val="000000"/>
      <w:sz w:val="28"/>
      <w:szCs w:val="28"/>
      <w:lang w:eastAsia="en-US"/>
    </w:rPr>
  </w:style>
  <w:style w:type="character" w:customStyle="1" w:styleId="Heading2Char">
    <w:name w:val="Heading 2 Char"/>
    <w:link w:val="Heading2"/>
    <w:locked/>
    <w:rsid w:val="00012CC8"/>
    <w:rPr>
      <w:rFonts w:ascii="Arial" w:hAnsi="Arial"/>
      <w:b/>
      <w:i/>
      <w:color w:val="000000"/>
      <w:sz w:val="28"/>
      <w:szCs w:val="26"/>
      <w:lang w:eastAsia="en-US"/>
    </w:rPr>
  </w:style>
  <w:style w:type="character" w:customStyle="1" w:styleId="Heading3Char">
    <w:name w:val="Heading 3 Char"/>
    <w:link w:val="Heading3"/>
    <w:locked/>
    <w:rsid w:val="00F25760"/>
    <w:rPr>
      <w:rFonts w:ascii="Arial" w:hAnsi="Arial"/>
      <w:bCs/>
      <w:i/>
      <w:sz w:val="24"/>
      <w:szCs w:val="26"/>
      <w:lang w:eastAsia="en-US"/>
    </w:rPr>
  </w:style>
  <w:style w:type="character" w:customStyle="1" w:styleId="Heading4Char">
    <w:name w:val="Heading 4 Char"/>
    <w:link w:val="Heading4"/>
    <w:locked/>
    <w:rsid w:val="00F25760"/>
    <w:rPr>
      <w:rFonts w:ascii="Arial" w:hAnsi="Arial"/>
      <w:iCs/>
      <w:sz w:val="24"/>
      <w:szCs w:val="26"/>
      <w:lang w:eastAsia="en-US"/>
    </w:rPr>
  </w:style>
  <w:style w:type="character" w:customStyle="1" w:styleId="Heading5Char">
    <w:name w:val="Heading 5 Char"/>
    <w:link w:val="Heading5"/>
    <w:locked/>
    <w:rsid w:val="00F25760"/>
    <w:rPr>
      <w:rFonts w:ascii="Cambria" w:hAnsi="Cambria"/>
      <w:color w:val="243F60"/>
      <w:sz w:val="24"/>
      <w:lang w:eastAsia="en-US"/>
    </w:rPr>
  </w:style>
  <w:style w:type="character" w:customStyle="1" w:styleId="Heading6Char">
    <w:name w:val="Heading 6 Char"/>
    <w:link w:val="Heading6"/>
    <w:locked/>
    <w:rsid w:val="00F25760"/>
    <w:rPr>
      <w:rFonts w:ascii="Cambria" w:hAnsi="Cambria"/>
      <w:i/>
      <w:iCs/>
      <w:color w:val="243F60"/>
      <w:sz w:val="24"/>
      <w:lang w:eastAsia="en-US"/>
    </w:rPr>
  </w:style>
  <w:style w:type="character" w:customStyle="1" w:styleId="Heading7Char">
    <w:name w:val="Heading 7 Char"/>
    <w:link w:val="Heading7"/>
    <w:locked/>
    <w:rsid w:val="00F25760"/>
    <w:rPr>
      <w:rFonts w:ascii="Cambria" w:hAnsi="Cambria"/>
      <w:i/>
      <w:iCs/>
      <w:color w:val="404040"/>
      <w:sz w:val="24"/>
      <w:lang w:eastAsia="en-US"/>
    </w:rPr>
  </w:style>
  <w:style w:type="character" w:customStyle="1" w:styleId="Heading8Char">
    <w:name w:val="Heading 8 Char"/>
    <w:link w:val="Heading8"/>
    <w:locked/>
    <w:rsid w:val="00F25760"/>
    <w:rPr>
      <w:rFonts w:ascii="Cambria" w:hAnsi="Cambria"/>
      <w:color w:val="404040"/>
      <w:lang w:eastAsia="en-US"/>
    </w:rPr>
  </w:style>
  <w:style w:type="character" w:customStyle="1" w:styleId="Heading9Char">
    <w:name w:val="Heading 9 Char"/>
    <w:link w:val="Heading9"/>
    <w:locked/>
    <w:rsid w:val="00F25760"/>
    <w:rPr>
      <w:rFonts w:ascii="Cambria" w:hAnsi="Cambria"/>
      <w:i/>
      <w:iCs/>
      <w:color w:val="404040"/>
      <w:lang w:eastAsia="en-US"/>
    </w:rPr>
  </w:style>
  <w:style w:type="character" w:styleId="Strong">
    <w:name w:val="Strong"/>
    <w:qFormat/>
    <w:locked/>
    <w:rsid w:val="00F25760"/>
    <w:rPr>
      <w:b/>
      <w:bCs/>
    </w:rPr>
  </w:style>
  <w:style w:type="paragraph" w:styleId="Header">
    <w:name w:val="header"/>
    <w:basedOn w:val="Normal"/>
    <w:link w:val="HeaderChar"/>
    <w:uiPriority w:val="99"/>
    <w:semiHidden/>
    <w:rsid w:val="00E75D90"/>
    <w:pPr>
      <w:tabs>
        <w:tab w:val="center" w:pos="4513"/>
        <w:tab w:val="right" w:pos="9026"/>
      </w:tabs>
      <w:jc w:val="right"/>
    </w:pPr>
    <w:rPr>
      <w:sz w:val="22"/>
    </w:rPr>
  </w:style>
  <w:style w:type="character" w:customStyle="1" w:styleId="HeaderChar">
    <w:name w:val="Header Char"/>
    <w:basedOn w:val="DefaultParagraphFont"/>
    <w:link w:val="Header"/>
    <w:uiPriority w:val="99"/>
    <w:semiHidden/>
    <w:locked/>
    <w:rsid w:val="00E75D90"/>
    <w:rPr>
      <w:rFonts w:ascii="Arial" w:hAnsi="Arial" w:cs="Times New Roman"/>
      <w:sz w:val="24"/>
      <w:szCs w:val="24"/>
    </w:rPr>
  </w:style>
  <w:style w:type="paragraph" w:styleId="Footer">
    <w:name w:val="footer"/>
    <w:basedOn w:val="Normal"/>
    <w:link w:val="FooterChar"/>
    <w:uiPriority w:val="99"/>
    <w:rsid w:val="00E75D90"/>
    <w:pPr>
      <w:tabs>
        <w:tab w:val="center" w:pos="4513"/>
        <w:tab w:val="right" w:pos="9026"/>
      </w:tabs>
      <w:jc w:val="right"/>
    </w:pPr>
    <w:rPr>
      <w:sz w:val="22"/>
    </w:rPr>
  </w:style>
  <w:style w:type="character" w:customStyle="1" w:styleId="FooterChar">
    <w:name w:val="Footer Char"/>
    <w:basedOn w:val="DefaultParagraphFont"/>
    <w:link w:val="Footer"/>
    <w:uiPriority w:val="99"/>
    <w:locked/>
    <w:rsid w:val="00E75D90"/>
    <w:rPr>
      <w:rFonts w:ascii="Arial" w:hAnsi="Arial" w:cs="Times New Roman"/>
      <w:sz w:val="24"/>
      <w:szCs w:val="24"/>
    </w:rPr>
  </w:style>
  <w:style w:type="paragraph" w:styleId="TOC3">
    <w:name w:val="toc 3"/>
    <w:basedOn w:val="Normal"/>
    <w:next w:val="Normal"/>
    <w:autoRedefine/>
    <w:uiPriority w:val="39"/>
    <w:qFormat/>
    <w:locked/>
    <w:rsid w:val="00F25760"/>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rFonts w:cs="Times New Roman"/>
      <w:color w:val="808080"/>
    </w:rPr>
  </w:style>
  <w:style w:type="paragraph" w:styleId="ListContinue4">
    <w:name w:val="List Continue 4"/>
    <w:basedOn w:val="Normal"/>
    <w:uiPriority w:val="99"/>
    <w:semiHidden/>
    <w:locked/>
    <w:rsid w:val="0090165F"/>
    <w:pPr>
      <w:spacing w:after="120"/>
      <w:ind w:left="1132"/>
    </w:pPr>
  </w:style>
  <w:style w:type="paragraph" w:styleId="TOC1">
    <w:name w:val="toc 1"/>
    <w:basedOn w:val="Normal"/>
    <w:next w:val="Normal"/>
    <w:autoRedefine/>
    <w:uiPriority w:val="39"/>
    <w:qFormat/>
    <w:locked/>
    <w:rsid w:val="00F25760"/>
    <w:pPr>
      <w:tabs>
        <w:tab w:val="right" w:leader="dot" w:pos="9060"/>
      </w:tabs>
      <w:spacing w:after="0"/>
      <w:ind w:left="720" w:hanging="720"/>
    </w:pPr>
    <w:rPr>
      <w:b/>
      <w:noProof/>
    </w:rPr>
  </w:style>
  <w:style w:type="paragraph" w:styleId="TOC2">
    <w:name w:val="toc 2"/>
    <w:basedOn w:val="Normal"/>
    <w:next w:val="Normal"/>
    <w:autoRedefine/>
    <w:uiPriority w:val="39"/>
    <w:qFormat/>
    <w:locked/>
    <w:rsid w:val="00F25760"/>
    <w:pPr>
      <w:tabs>
        <w:tab w:val="right" w:leader="dot" w:pos="9060"/>
      </w:tabs>
      <w:spacing w:before="0" w:after="0"/>
      <w:ind w:left="958" w:hanging="720"/>
    </w:pPr>
    <w:rPr>
      <w:b/>
      <w:i/>
      <w:noProof/>
    </w:rPr>
  </w:style>
  <w:style w:type="paragraph" w:styleId="TOC4">
    <w:name w:val="toc 4"/>
    <w:basedOn w:val="Normal"/>
    <w:next w:val="Normal"/>
    <w:autoRedefine/>
    <w:uiPriority w:val="99"/>
    <w:semiHidden/>
    <w:locked/>
    <w:rsid w:val="008A2AF7"/>
    <w:pPr>
      <w:tabs>
        <w:tab w:val="left" w:pos="1440"/>
        <w:tab w:val="right" w:leader="dot" w:pos="9060"/>
      </w:tabs>
      <w:ind w:left="1440" w:hanging="720"/>
    </w:pPr>
    <w:rPr>
      <w:noProof/>
    </w:rPr>
  </w:style>
  <w:style w:type="character" w:styleId="Hyperlink">
    <w:name w:val="Hyperlink"/>
    <w:basedOn w:val="DefaultParagraphFont"/>
    <w:uiPriority w:val="99"/>
    <w:locked/>
    <w:rsid w:val="0024557E"/>
    <w:rPr>
      <w:rFonts w:cs="Times New Roman"/>
      <w:color w:val="0000FF"/>
      <w:u w:val="single"/>
    </w:rPr>
  </w:style>
  <w:style w:type="paragraph" w:styleId="TOCHeading">
    <w:name w:val="TOC Heading"/>
    <w:basedOn w:val="Heading1"/>
    <w:next w:val="Normal"/>
    <w:uiPriority w:val="39"/>
    <w:qFormat/>
    <w:locked/>
    <w:rsid w:val="00F25760"/>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
    <w:rsid w:val="00706FAB"/>
  </w:style>
  <w:style w:type="character" w:customStyle="1" w:styleId="EndnoteTextChar">
    <w:name w:val="Endnote Text Char"/>
    <w:basedOn w:val="DefaultParagraphFont"/>
    <w:link w:val="EndnoteText"/>
    <w:locked/>
    <w:rsid w:val="00706FAB"/>
    <w:rPr>
      <w:rFonts w:ascii="Arial" w:hAnsi="Arial" w:cs="Times New Roman"/>
      <w:lang w:val="en-AU" w:eastAsia="en-AU" w:bidi="ar-SA"/>
    </w:rPr>
  </w:style>
  <w:style w:type="character" w:styleId="EndnoteReference">
    <w:name w:val="endnote reference"/>
    <w:basedOn w:val="DefaultParagraphFont"/>
    <w:rsid w:val="00074CD6"/>
    <w:rPr>
      <w:rFonts w:ascii="Arial" w:hAnsi="Arial" w:cs="Times New Roman"/>
      <w:sz w:val="20"/>
      <w:vertAlign w:val="superscript"/>
    </w:r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character" w:customStyle="1" w:styleId="BodyTextChar">
    <w:name w:val="Body Text Char"/>
    <w:basedOn w:val="DefaultParagraphFont"/>
    <w:link w:val="BodyText"/>
    <w:uiPriority w:val="99"/>
    <w:semiHidden/>
    <w:locked/>
    <w:rsid w:val="00DE2F25"/>
    <w:rPr>
      <w:rFonts w:ascii="Arial" w:hAnsi="Arial" w:cs="Times New Roman"/>
      <w:spacing w:val="-5"/>
      <w:sz w:val="20"/>
      <w:szCs w:val="20"/>
      <w:lang w:eastAsia="en-US"/>
    </w:rPr>
  </w:style>
  <w:style w:type="paragraph" w:styleId="BodyText2">
    <w:name w:val="Body Text 2"/>
    <w:basedOn w:val="Normal"/>
    <w:link w:val="BodyText2Char"/>
    <w:uiPriority w:val="99"/>
    <w:semiHidden/>
    <w:locked/>
    <w:rsid w:val="00E45954"/>
    <w:pPr>
      <w:spacing w:after="120" w:line="480" w:lineRule="auto"/>
    </w:pPr>
  </w:style>
  <w:style w:type="character" w:customStyle="1" w:styleId="BodyText2Char">
    <w:name w:val="Body Text 2 Char"/>
    <w:basedOn w:val="DefaultParagraphFont"/>
    <w:link w:val="BodyText2"/>
    <w:uiPriority w:val="99"/>
    <w:semiHidden/>
    <w:locked/>
    <w:rsid w:val="00DE2F25"/>
    <w:rPr>
      <w:rFonts w:ascii="Arial" w:hAnsi="Arial" w:cs="Times New Roman"/>
      <w:spacing w:val="-5"/>
      <w:sz w:val="20"/>
      <w:szCs w:val="20"/>
      <w:lang w:eastAsia="en-US"/>
    </w:rPr>
  </w:style>
  <w:style w:type="paragraph" w:styleId="BodyText3">
    <w:name w:val="Body Text 3"/>
    <w:basedOn w:val="Normal"/>
    <w:link w:val="BodyText3Char"/>
    <w:uiPriority w:val="99"/>
    <w:semiHidden/>
    <w:locked/>
    <w:rsid w:val="00E45954"/>
    <w:pPr>
      <w:spacing w:after="120"/>
    </w:pPr>
    <w:rPr>
      <w:sz w:val="16"/>
      <w:szCs w:val="16"/>
    </w:rPr>
  </w:style>
  <w:style w:type="character" w:customStyle="1" w:styleId="BodyText3Char">
    <w:name w:val="Body Text 3 Char"/>
    <w:basedOn w:val="DefaultParagraphFont"/>
    <w:link w:val="BodyText3"/>
    <w:uiPriority w:val="99"/>
    <w:semiHidden/>
    <w:locked/>
    <w:rsid w:val="00DE2F25"/>
    <w:rPr>
      <w:rFonts w:ascii="Arial" w:hAnsi="Arial" w:cs="Times New Roman"/>
      <w:spacing w:val="-5"/>
      <w:sz w:val="16"/>
      <w:szCs w:val="16"/>
      <w:lang w:eastAsia="en-US"/>
    </w:rPr>
  </w:style>
  <w:style w:type="paragraph" w:styleId="BodyTextFirstIndent">
    <w:name w:val="Body Text First Indent"/>
    <w:basedOn w:val="BodyText"/>
    <w:link w:val="BodyTextFirstIndentChar"/>
    <w:uiPriority w:val="99"/>
    <w:semiHidden/>
    <w:locked/>
    <w:rsid w:val="00E45954"/>
    <w:pPr>
      <w:ind w:firstLine="210"/>
    </w:pPr>
  </w:style>
  <w:style w:type="character" w:customStyle="1" w:styleId="BodyTextFirstIndentChar">
    <w:name w:val="Body Text First Indent Char"/>
    <w:basedOn w:val="BodyTextChar"/>
    <w:link w:val="BodyTextFirstIndent"/>
    <w:uiPriority w:val="99"/>
    <w:semiHidden/>
    <w:locked/>
    <w:rsid w:val="00DE2F25"/>
    <w:rPr>
      <w:rFonts w:ascii="Arial" w:hAnsi="Arial" w:cs="Times New Roman"/>
      <w:spacing w:val="-5"/>
      <w:sz w:val="20"/>
      <w:szCs w:val="20"/>
      <w:lang w:eastAsia="en-US"/>
    </w:rPr>
  </w:style>
  <w:style w:type="paragraph" w:styleId="BodyTextIndent">
    <w:name w:val="Body Text Indent"/>
    <w:basedOn w:val="Normal"/>
    <w:link w:val="BodyTextIndentChar"/>
    <w:uiPriority w:val="99"/>
    <w:semiHidden/>
    <w:locked/>
    <w:rsid w:val="00E45954"/>
    <w:pPr>
      <w:spacing w:after="120"/>
      <w:ind w:left="283"/>
    </w:pPr>
  </w:style>
  <w:style w:type="character" w:customStyle="1" w:styleId="BodyTextIndentChar">
    <w:name w:val="Body Text Indent Char"/>
    <w:basedOn w:val="DefaultParagraphFont"/>
    <w:link w:val="BodyTextIndent"/>
    <w:uiPriority w:val="99"/>
    <w:semiHidden/>
    <w:locked/>
    <w:rsid w:val="00DE2F25"/>
    <w:rPr>
      <w:rFonts w:ascii="Arial" w:hAnsi="Arial" w:cs="Times New Roman"/>
      <w:spacing w:val="-5"/>
      <w:sz w:val="20"/>
      <w:szCs w:val="20"/>
      <w:lang w:eastAsia="en-US"/>
    </w:rPr>
  </w:style>
  <w:style w:type="paragraph" w:styleId="BodyTextFirstIndent2">
    <w:name w:val="Body Text First Indent 2"/>
    <w:basedOn w:val="BodyTextIndent"/>
    <w:link w:val="BodyTextFirstIndent2Char"/>
    <w:uiPriority w:val="99"/>
    <w:semiHidden/>
    <w:locked/>
    <w:rsid w:val="00E45954"/>
    <w:pPr>
      <w:ind w:firstLine="210"/>
    </w:pPr>
  </w:style>
  <w:style w:type="character" w:customStyle="1" w:styleId="BodyTextFirstIndent2Char">
    <w:name w:val="Body Text First Indent 2 Char"/>
    <w:basedOn w:val="BodyTextIndentChar"/>
    <w:link w:val="BodyTextFirstIndent2"/>
    <w:uiPriority w:val="99"/>
    <w:semiHidden/>
    <w:locked/>
    <w:rsid w:val="00DE2F25"/>
    <w:rPr>
      <w:rFonts w:ascii="Arial" w:hAnsi="Arial" w:cs="Times New Roman"/>
      <w:spacing w:val="-5"/>
      <w:sz w:val="20"/>
      <w:szCs w:val="20"/>
      <w:lang w:eastAsia="en-US"/>
    </w:rPr>
  </w:style>
  <w:style w:type="paragraph" w:styleId="BodyTextIndent2">
    <w:name w:val="Body Text Indent 2"/>
    <w:basedOn w:val="Normal"/>
    <w:link w:val="BodyTextIndent2Char"/>
    <w:uiPriority w:val="99"/>
    <w:semiHidden/>
    <w:locked/>
    <w:rsid w:val="00E4595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E2F25"/>
    <w:rPr>
      <w:rFonts w:ascii="Arial" w:hAnsi="Arial" w:cs="Times New Roman"/>
      <w:spacing w:val="-5"/>
      <w:sz w:val="20"/>
      <w:szCs w:val="20"/>
      <w:lang w:eastAsia="en-US"/>
    </w:r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E2F25"/>
    <w:rPr>
      <w:rFonts w:ascii="Arial" w:hAnsi="Arial" w:cs="Times New Roman"/>
      <w:spacing w:val="-5"/>
      <w:sz w:val="16"/>
      <w:szCs w:val="16"/>
      <w:lang w:eastAsia="en-US"/>
    </w:rPr>
  </w:style>
  <w:style w:type="paragraph" w:styleId="Closing">
    <w:name w:val="Closing"/>
    <w:basedOn w:val="Normal"/>
    <w:link w:val="ClosingChar"/>
    <w:uiPriority w:val="99"/>
    <w:semiHidden/>
    <w:locked/>
    <w:rsid w:val="00E45954"/>
    <w:pPr>
      <w:ind w:left="4252"/>
    </w:pPr>
  </w:style>
  <w:style w:type="character" w:customStyle="1" w:styleId="ClosingChar">
    <w:name w:val="Closing Char"/>
    <w:basedOn w:val="DefaultParagraphFont"/>
    <w:link w:val="Closing"/>
    <w:uiPriority w:val="99"/>
    <w:semiHidden/>
    <w:locked/>
    <w:rsid w:val="00DE2F25"/>
    <w:rPr>
      <w:rFonts w:ascii="Arial" w:hAnsi="Arial" w:cs="Times New Roman"/>
      <w:spacing w:val="-5"/>
      <w:sz w:val="20"/>
      <w:szCs w:val="20"/>
      <w:lang w:eastAsia="en-US"/>
    </w:rPr>
  </w:style>
  <w:style w:type="paragraph" w:styleId="Date">
    <w:name w:val="Date"/>
    <w:basedOn w:val="Normal"/>
    <w:next w:val="Normal"/>
    <w:link w:val="DateChar"/>
    <w:uiPriority w:val="99"/>
    <w:semiHidden/>
    <w:locked/>
    <w:rsid w:val="00E45954"/>
  </w:style>
  <w:style w:type="character" w:customStyle="1" w:styleId="DateChar">
    <w:name w:val="Date Char"/>
    <w:basedOn w:val="DefaultParagraphFont"/>
    <w:link w:val="Date"/>
    <w:uiPriority w:val="99"/>
    <w:semiHidden/>
    <w:locked/>
    <w:rsid w:val="00DE2F25"/>
    <w:rPr>
      <w:rFonts w:ascii="Arial" w:hAnsi="Arial" w:cs="Times New Roman"/>
      <w:spacing w:val="-5"/>
      <w:sz w:val="20"/>
      <w:szCs w:val="20"/>
      <w:lang w:eastAsia="en-US"/>
    </w:rPr>
  </w:style>
  <w:style w:type="paragraph" w:styleId="E-mailSignature">
    <w:name w:val="E-mail Signature"/>
    <w:basedOn w:val="Normal"/>
    <w:link w:val="E-mailSignatureChar"/>
    <w:uiPriority w:val="99"/>
    <w:semiHidden/>
    <w:locked/>
    <w:rsid w:val="00E45954"/>
  </w:style>
  <w:style w:type="character" w:customStyle="1" w:styleId="E-mailSignatureChar">
    <w:name w:val="E-mail Signature Char"/>
    <w:basedOn w:val="DefaultParagraphFont"/>
    <w:link w:val="E-mailSignature"/>
    <w:uiPriority w:val="99"/>
    <w:semiHidden/>
    <w:locked/>
    <w:rsid w:val="00DE2F25"/>
    <w:rPr>
      <w:rFonts w:ascii="Arial" w:hAnsi="Arial" w:cs="Times New Roman"/>
      <w:spacing w:val="-5"/>
      <w:sz w:val="20"/>
      <w:szCs w:val="20"/>
      <w:lang w:eastAsia="en-US"/>
    </w:rPr>
  </w:style>
  <w:style w:type="character" w:styleId="Emphasis">
    <w:name w:val="Emphasis"/>
    <w:qFormat/>
    <w:locked/>
    <w:rsid w:val="00F25760"/>
    <w:rPr>
      <w:i/>
      <w:iCs/>
    </w:rPr>
  </w:style>
  <w:style w:type="paragraph" w:styleId="EnvelopeAddress">
    <w:name w:val="envelope address"/>
    <w:basedOn w:val="Normal"/>
    <w:uiPriority w:val="99"/>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locked/>
    <w:rsid w:val="00E45954"/>
    <w:rPr>
      <w:rFonts w:cs="Arial"/>
    </w:rPr>
  </w:style>
  <w:style w:type="character" w:styleId="FootnoteReference">
    <w:name w:val="footnote reference"/>
    <w:basedOn w:val="DefaultParagraphFont"/>
    <w:rsid w:val="00074CD6"/>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
    <w:basedOn w:val="Normal"/>
    <w:link w:val="FootnoteTextChar"/>
    <w:semiHidden/>
    <w:rsid w:val="00706FAB"/>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
    <w:basedOn w:val="DefaultParagraphFont"/>
    <w:link w:val="FootnoteText"/>
    <w:semiHidden/>
    <w:locked/>
    <w:rsid w:val="00706FAB"/>
    <w:rPr>
      <w:rFonts w:ascii="Arial" w:hAnsi="Arial" w:cs="Times New Roman"/>
      <w:lang w:val="en-AU" w:eastAsia="en-AU" w:bidi="ar-SA"/>
    </w:rPr>
  </w:style>
  <w:style w:type="character" w:styleId="HTMLAcronym">
    <w:name w:val="HTML Acronym"/>
    <w:basedOn w:val="DefaultParagraphFont"/>
    <w:uiPriority w:val="99"/>
    <w:semiHidden/>
    <w:locked/>
    <w:rsid w:val="00E45954"/>
    <w:rPr>
      <w:rFonts w:cs="Times New Roman"/>
    </w:rPr>
  </w:style>
  <w:style w:type="paragraph" w:styleId="HTMLAddress">
    <w:name w:val="HTML Address"/>
    <w:basedOn w:val="Normal"/>
    <w:link w:val="HTMLAddressChar"/>
    <w:uiPriority w:val="99"/>
    <w:semiHidden/>
    <w:locked/>
    <w:rsid w:val="00E45954"/>
    <w:rPr>
      <w:i/>
      <w:iCs/>
    </w:rPr>
  </w:style>
  <w:style w:type="character" w:customStyle="1" w:styleId="HTMLAddressChar">
    <w:name w:val="HTML Address Char"/>
    <w:basedOn w:val="DefaultParagraphFont"/>
    <w:link w:val="HTMLAddress"/>
    <w:uiPriority w:val="99"/>
    <w:semiHidden/>
    <w:locked/>
    <w:rsid w:val="00DE2F25"/>
    <w:rPr>
      <w:rFonts w:ascii="Arial" w:hAnsi="Arial" w:cs="Times New Roman"/>
      <w:i/>
      <w:iCs/>
      <w:spacing w:val="-5"/>
      <w:sz w:val="20"/>
      <w:szCs w:val="20"/>
      <w:lang w:eastAsia="en-US"/>
    </w:rPr>
  </w:style>
  <w:style w:type="character" w:styleId="HTMLCite">
    <w:name w:val="HTML Cite"/>
    <w:basedOn w:val="DefaultParagraphFont"/>
    <w:uiPriority w:val="99"/>
    <w:semiHidden/>
    <w:locked/>
    <w:rsid w:val="00E45954"/>
    <w:rPr>
      <w:rFonts w:cs="Times New Roman"/>
      <w:i/>
      <w:iCs/>
    </w:rPr>
  </w:style>
  <w:style w:type="character" w:styleId="HTMLCode">
    <w:name w:val="HTML Code"/>
    <w:basedOn w:val="DefaultParagraphFont"/>
    <w:uiPriority w:val="99"/>
    <w:semiHidden/>
    <w:locked/>
    <w:rsid w:val="00E45954"/>
    <w:rPr>
      <w:rFonts w:ascii="Courier New" w:hAnsi="Courier New" w:cs="Courier New"/>
      <w:sz w:val="20"/>
      <w:szCs w:val="20"/>
    </w:rPr>
  </w:style>
  <w:style w:type="character" w:styleId="HTMLDefinition">
    <w:name w:val="HTML Definition"/>
    <w:basedOn w:val="DefaultParagraphFont"/>
    <w:uiPriority w:val="99"/>
    <w:semiHidden/>
    <w:locked/>
    <w:rsid w:val="00E45954"/>
    <w:rPr>
      <w:rFonts w:cs="Times New Roman"/>
      <w:i/>
      <w:iCs/>
    </w:rPr>
  </w:style>
  <w:style w:type="character" w:styleId="HTMLKeyboard">
    <w:name w:val="HTML Keyboard"/>
    <w:basedOn w:val="DefaultParagraphFont"/>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DE2F25"/>
    <w:rPr>
      <w:rFonts w:ascii="Courier New" w:hAnsi="Courier New" w:cs="Courier New"/>
      <w:spacing w:val="-5"/>
      <w:sz w:val="20"/>
      <w:szCs w:val="20"/>
      <w:lang w:eastAsia="en-US"/>
    </w:rPr>
  </w:style>
  <w:style w:type="character" w:styleId="HTMLSample">
    <w:name w:val="HTML Sample"/>
    <w:basedOn w:val="DefaultParagraphFont"/>
    <w:uiPriority w:val="99"/>
    <w:semiHidden/>
    <w:locked/>
    <w:rsid w:val="00E45954"/>
    <w:rPr>
      <w:rFonts w:ascii="Courier New" w:hAnsi="Courier New" w:cs="Courier New"/>
    </w:rPr>
  </w:style>
  <w:style w:type="character" w:styleId="HTMLTypewriter">
    <w:name w:val="HTML Typewriter"/>
    <w:basedOn w:val="DefaultParagraphFont"/>
    <w:uiPriority w:val="99"/>
    <w:semiHidden/>
    <w:locked/>
    <w:rsid w:val="00E45954"/>
    <w:rPr>
      <w:rFonts w:ascii="Courier New" w:hAnsi="Courier New" w:cs="Courier New"/>
      <w:sz w:val="20"/>
      <w:szCs w:val="20"/>
    </w:rPr>
  </w:style>
  <w:style w:type="character" w:styleId="HTMLVariable">
    <w:name w:val="HTML Variable"/>
    <w:basedOn w:val="DefaultParagraphFont"/>
    <w:uiPriority w:val="99"/>
    <w:semiHidden/>
    <w:locked/>
    <w:rsid w:val="00E45954"/>
    <w:rPr>
      <w:rFonts w:cs="Times New Roman"/>
      <w:i/>
      <w:iCs/>
    </w:rPr>
  </w:style>
  <w:style w:type="character" w:styleId="LineNumber">
    <w:name w:val="line number"/>
    <w:basedOn w:val="DefaultParagraphFont"/>
    <w:uiPriority w:val="99"/>
    <w:semiHidden/>
    <w:locked/>
    <w:rsid w:val="00E45954"/>
    <w:rPr>
      <w:rFonts w:cs="Times New Roman"/>
    </w:rPr>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2">
    <w:name w:val="List Bullet 2"/>
    <w:basedOn w:val="Normal"/>
    <w:uiPriority w:val="99"/>
    <w:semiHidden/>
    <w:locked/>
    <w:rsid w:val="00E45954"/>
    <w:pPr>
      <w:tabs>
        <w:tab w:val="num" w:pos="643"/>
      </w:tabs>
      <w:ind w:left="643" w:hanging="360"/>
    </w:pPr>
  </w:style>
  <w:style w:type="paragraph" w:styleId="ListBullet3">
    <w:name w:val="List Bullet 3"/>
    <w:basedOn w:val="Normal"/>
    <w:uiPriority w:val="99"/>
    <w:semiHidden/>
    <w:locked/>
    <w:rsid w:val="00E45954"/>
    <w:pPr>
      <w:tabs>
        <w:tab w:val="num" w:pos="926"/>
      </w:tabs>
      <w:ind w:left="926" w:hanging="360"/>
    </w:pPr>
  </w:style>
  <w:style w:type="paragraph" w:styleId="ListBullet4">
    <w:name w:val="List Bullet 4"/>
    <w:basedOn w:val="Normal"/>
    <w:uiPriority w:val="99"/>
    <w:semiHidden/>
    <w:locked/>
    <w:rsid w:val="00E45954"/>
    <w:pPr>
      <w:tabs>
        <w:tab w:val="num" w:pos="1209"/>
      </w:tabs>
      <w:ind w:left="1209" w:hanging="360"/>
    </w:pPr>
  </w:style>
  <w:style w:type="paragraph" w:styleId="ListBullet5">
    <w:name w:val="List Bullet 5"/>
    <w:basedOn w:val="Normal"/>
    <w:uiPriority w:val="99"/>
    <w:semiHidden/>
    <w:locked/>
    <w:rsid w:val="00E45954"/>
    <w:pPr>
      <w:tabs>
        <w:tab w:val="num" w:pos="1492"/>
      </w:tabs>
      <w:ind w:left="1492" w:hanging="360"/>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tabs>
        <w:tab w:val="num" w:pos="360"/>
      </w:tabs>
      <w:ind w:left="360" w:hanging="360"/>
    </w:pPr>
  </w:style>
  <w:style w:type="paragraph" w:styleId="ListNumber2">
    <w:name w:val="List Number 2"/>
    <w:basedOn w:val="Normal"/>
    <w:uiPriority w:val="99"/>
    <w:semiHidden/>
    <w:locked/>
    <w:rsid w:val="00E45954"/>
    <w:pPr>
      <w:tabs>
        <w:tab w:val="num" w:pos="643"/>
      </w:tabs>
      <w:ind w:left="643" w:hanging="360"/>
    </w:pPr>
  </w:style>
  <w:style w:type="paragraph" w:styleId="ListNumber3">
    <w:name w:val="List Number 3"/>
    <w:basedOn w:val="Normal"/>
    <w:uiPriority w:val="99"/>
    <w:semiHidden/>
    <w:locked/>
    <w:rsid w:val="00E45954"/>
    <w:pPr>
      <w:tabs>
        <w:tab w:val="num" w:pos="926"/>
      </w:tabs>
      <w:ind w:left="926" w:hanging="360"/>
    </w:pPr>
  </w:style>
  <w:style w:type="paragraph" w:styleId="ListNumber4">
    <w:name w:val="List Number 4"/>
    <w:basedOn w:val="Normal"/>
    <w:uiPriority w:val="99"/>
    <w:semiHidden/>
    <w:locked/>
    <w:rsid w:val="00E45954"/>
    <w:pPr>
      <w:tabs>
        <w:tab w:val="num" w:pos="1209"/>
      </w:tabs>
      <w:ind w:left="1209" w:hanging="360"/>
    </w:pPr>
  </w:style>
  <w:style w:type="paragraph" w:styleId="ListNumber5">
    <w:name w:val="List Number 5"/>
    <w:basedOn w:val="Normal"/>
    <w:uiPriority w:val="99"/>
    <w:semiHidden/>
    <w:locked/>
    <w:rsid w:val="00E45954"/>
    <w:pPr>
      <w:tabs>
        <w:tab w:val="num" w:pos="1492"/>
      </w:tabs>
      <w:ind w:left="1492" w:hanging="360"/>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uiPriority w:val="99"/>
    <w:semiHidden/>
    <w:locked/>
    <w:rsid w:val="00DE2F25"/>
    <w:rPr>
      <w:rFonts w:ascii="Cambria" w:hAnsi="Cambria" w:cs="Times New Roman"/>
      <w:spacing w:val="-5"/>
      <w:sz w:val="24"/>
      <w:szCs w:val="24"/>
      <w:shd w:val="pct20" w:color="auto" w:fill="auto"/>
      <w:lang w:eastAsia="en-US"/>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customStyle="1" w:styleId="NoteHeadingChar">
    <w:name w:val="Note Heading Char"/>
    <w:basedOn w:val="DefaultParagraphFont"/>
    <w:link w:val="NoteHeading"/>
    <w:uiPriority w:val="99"/>
    <w:semiHidden/>
    <w:locked/>
    <w:rsid w:val="00DE2F25"/>
    <w:rPr>
      <w:rFonts w:ascii="Arial" w:hAnsi="Arial" w:cs="Times New Roman"/>
      <w:spacing w:val="-5"/>
      <w:sz w:val="20"/>
      <w:szCs w:val="20"/>
      <w:lang w:eastAsia="en-US"/>
    </w:rPr>
  </w:style>
  <w:style w:type="character" w:styleId="PageNumber">
    <w:name w:val="page number"/>
    <w:basedOn w:val="DefaultParagraphFont"/>
    <w:uiPriority w:val="99"/>
    <w:semiHidden/>
    <w:locked/>
    <w:rsid w:val="00E45954"/>
    <w:rPr>
      <w:rFonts w:cs="Times New Roman"/>
    </w:rPr>
  </w:style>
  <w:style w:type="paragraph" w:styleId="PlainText">
    <w:name w:val="Plain Text"/>
    <w:basedOn w:val="Normal"/>
    <w:link w:val="PlainTextChar"/>
    <w:uiPriority w:val="99"/>
    <w:semiHidden/>
    <w:locked/>
    <w:rsid w:val="00E45954"/>
    <w:rPr>
      <w:rFonts w:ascii="Courier New" w:hAnsi="Courier New" w:cs="Courier New"/>
    </w:rPr>
  </w:style>
  <w:style w:type="character" w:customStyle="1" w:styleId="PlainTextChar">
    <w:name w:val="Plain Text Char"/>
    <w:basedOn w:val="DefaultParagraphFont"/>
    <w:link w:val="PlainText"/>
    <w:uiPriority w:val="99"/>
    <w:semiHidden/>
    <w:locked/>
    <w:rsid w:val="00DE2F25"/>
    <w:rPr>
      <w:rFonts w:ascii="Courier New" w:hAnsi="Courier New" w:cs="Courier New"/>
      <w:spacing w:val="-5"/>
      <w:sz w:val="20"/>
      <w:szCs w:val="20"/>
      <w:lang w:eastAsia="en-US"/>
    </w:rPr>
  </w:style>
  <w:style w:type="paragraph" w:styleId="Salutation">
    <w:name w:val="Salutation"/>
    <w:basedOn w:val="Normal"/>
    <w:next w:val="Normal"/>
    <w:link w:val="SalutationChar"/>
    <w:uiPriority w:val="99"/>
    <w:semiHidden/>
    <w:locked/>
    <w:rsid w:val="00E45954"/>
  </w:style>
  <w:style w:type="character" w:customStyle="1" w:styleId="SalutationChar">
    <w:name w:val="Salutation Char"/>
    <w:basedOn w:val="DefaultParagraphFont"/>
    <w:link w:val="Salutation"/>
    <w:uiPriority w:val="99"/>
    <w:semiHidden/>
    <w:locked/>
    <w:rsid w:val="00DE2F25"/>
    <w:rPr>
      <w:rFonts w:ascii="Arial" w:hAnsi="Arial" w:cs="Times New Roman"/>
      <w:spacing w:val="-5"/>
      <w:sz w:val="20"/>
      <w:szCs w:val="20"/>
      <w:lang w:eastAsia="en-US"/>
    </w:rPr>
  </w:style>
  <w:style w:type="paragraph" w:styleId="Signature">
    <w:name w:val="Signature"/>
    <w:basedOn w:val="Normal"/>
    <w:link w:val="SignatureChar"/>
    <w:uiPriority w:val="99"/>
    <w:semiHidden/>
    <w:locked/>
    <w:rsid w:val="00E45954"/>
    <w:pPr>
      <w:ind w:left="4252"/>
    </w:pPr>
  </w:style>
  <w:style w:type="character" w:customStyle="1" w:styleId="SignatureChar">
    <w:name w:val="Signature Char"/>
    <w:basedOn w:val="DefaultParagraphFont"/>
    <w:link w:val="Signature"/>
    <w:uiPriority w:val="99"/>
    <w:semiHidden/>
    <w:locked/>
    <w:rsid w:val="00DE2F25"/>
    <w:rPr>
      <w:rFonts w:ascii="Arial" w:hAnsi="Arial" w:cs="Times New Roman"/>
      <w:spacing w:val="-5"/>
      <w:sz w:val="20"/>
      <w:szCs w:val="20"/>
      <w:lang w:eastAsia="en-US"/>
    </w:rPr>
  </w:style>
  <w:style w:type="paragraph" w:styleId="Subtitle">
    <w:name w:val="Subtitle"/>
    <w:basedOn w:val="Normal"/>
    <w:link w:val="SubtitleChar"/>
    <w:qFormat/>
    <w:locked/>
    <w:rsid w:val="00F25760"/>
    <w:pPr>
      <w:spacing w:after="60"/>
      <w:jc w:val="center"/>
      <w:outlineLvl w:val="1"/>
    </w:pPr>
    <w:rPr>
      <w:rFonts w:cs="Arial"/>
    </w:rPr>
  </w:style>
  <w:style w:type="character" w:customStyle="1" w:styleId="SubtitleChar">
    <w:name w:val="Subtitle Char"/>
    <w:basedOn w:val="DefaultParagraphFont"/>
    <w:link w:val="Subtitle"/>
    <w:locked/>
    <w:rsid w:val="00DE2F25"/>
    <w:rPr>
      <w:rFonts w:ascii="Arial" w:hAnsi="Arial" w:cs="Arial"/>
      <w:color w:val="000000"/>
      <w:sz w:val="24"/>
      <w:lang w:eastAsia="en-US"/>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25760"/>
    <w:pPr>
      <w:spacing w:after="60"/>
      <w:jc w:val="center"/>
      <w:outlineLvl w:val="0"/>
    </w:pPr>
    <w:rPr>
      <w:rFonts w:cs="Arial"/>
      <w:b/>
      <w:bCs/>
      <w:kern w:val="28"/>
      <w:sz w:val="32"/>
      <w:szCs w:val="32"/>
    </w:rPr>
  </w:style>
  <w:style w:type="character" w:customStyle="1" w:styleId="TitleChar">
    <w:name w:val="Title Char"/>
    <w:basedOn w:val="DefaultParagraphFont"/>
    <w:link w:val="Title"/>
    <w:locked/>
    <w:rsid w:val="00DE2F25"/>
    <w:rPr>
      <w:rFonts w:ascii="Arial" w:hAnsi="Arial" w:cs="Arial"/>
      <w:b/>
      <w:bCs/>
      <w:color w:val="000000"/>
      <w:kern w:val="28"/>
      <w:sz w:val="32"/>
      <w:szCs w:val="32"/>
      <w:lang w:eastAsia="en-US"/>
    </w:rPr>
  </w:style>
  <w:style w:type="character" w:styleId="FollowedHyperlink">
    <w:name w:val="FollowedHyperlink"/>
    <w:basedOn w:val="DefaultParagraphFont"/>
    <w:uiPriority w:val="99"/>
    <w:semiHidden/>
    <w:locked/>
    <w:rsid w:val="00E45954"/>
    <w:rPr>
      <w:rFonts w:cs="Times New Roman"/>
      <w:color w:val="800080"/>
      <w:u w:val="single"/>
    </w:rPr>
  </w:style>
  <w:style w:type="paragraph" w:styleId="ListBullet">
    <w:name w:val="List Bullet"/>
    <w:basedOn w:val="Normal"/>
    <w:uiPriority w:val="99"/>
    <w:semiHidden/>
    <w:locked/>
    <w:rsid w:val="00950E88"/>
    <w:pPr>
      <w:tabs>
        <w:tab w:val="num" w:pos="360"/>
      </w:tabs>
      <w:ind w:left="360" w:hanging="360"/>
    </w:pPr>
  </w:style>
  <w:style w:type="paragraph" w:customStyle="1" w:styleId="Contactdetails">
    <w:name w:val="Contact details"/>
    <w:basedOn w:val="Normal"/>
    <w:uiPriority w:val="99"/>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lang w:val="en-US"/>
    </w:rPr>
  </w:style>
  <w:style w:type="character" w:customStyle="1" w:styleId="CharChar9">
    <w:name w:val="Char Char9"/>
    <w:basedOn w:val="DefaultParagraphFont"/>
    <w:uiPriority w:val="99"/>
    <w:semiHidden/>
    <w:locked/>
    <w:rsid w:val="001C451B"/>
    <w:rPr>
      <w:rFonts w:ascii="Arial" w:hAnsi="Arial" w:cs="Times New Roman"/>
      <w:bCs/>
      <w:i/>
      <w:sz w:val="26"/>
      <w:szCs w:val="26"/>
      <w:lang w:val="en-AU" w:eastAsia="en-AU" w:bidi="ar-SA"/>
    </w:rPr>
  </w:style>
  <w:style w:type="character" w:customStyle="1" w:styleId="CharChar8">
    <w:name w:val="Char Char8"/>
    <w:basedOn w:val="DefaultParagraphFont"/>
    <w:uiPriority w:val="99"/>
    <w:semiHidden/>
    <w:locked/>
    <w:rsid w:val="001C451B"/>
    <w:rPr>
      <w:rFonts w:ascii="Arial" w:hAnsi="Arial" w:cs="Times New Roman"/>
      <w:iCs/>
      <w:sz w:val="26"/>
      <w:szCs w:val="26"/>
      <w:lang w:val="en-AU" w:eastAsia="en-AU" w:bidi="ar-SA"/>
    </w:rPr>
  </w:style>
  <w:style w:type="character" w:customStyle="1" w:styleId="CharChar">
    <w:name w:val="Char Char"/>
    <w:basedOn w:val="DefaultParagraphFont"/>
    <w:uiPriority w:val="99"/>
    <w:semiHidden/>
    <w:locked/>
    <w:rsid w:val="001C451B"/>
    <w:rPr>
      <w:rFonts w:ascii="Arial" w:hAnsi="Arial" w:cs="Arial"/>
      <w:lang w:val="en-AU" w:eastAsia="en-AU" w:bidi="ar-SA"/>
    </w:rPr>
  </w:style>
  <w:style w:type="paragraph" w:customStyle="1" w:styleId="DocumentLabel">
    <w:name w:val="Document Label"/>
    <w:basedOn w:val="Normal"/>
    <w:next w:val="Normal"/>
    <w:uiPriority w:val="99"/>
    <w:rsid w:val="004E5579"/>
    <w:pPr>
      <w:keepNext/>
      <w:keepLines/>
      <w:spacing w:before="400" w:after="120" w:line="240" w:lineRule="atLeast"/>
      <w:ind w:left="-840"/>
    </w:pPr>
    <w:rPr>
      <w:rFonts w:ascii="Arial Black" w:hAnsi="Arial Black"/>
      <w:kern w:val="28"/>
      <w:sz w:val="96"/>
    </w:rPr>
  </w:style>
  <w:style w:type="character" w:styleId="CommentReference">
    <w:name w:val="annotation reference"/>
    <w:basedOn w:val="DefaultParagraphFont"/>
    <w:uiPriority w:val="99"/>
    <w:semiHidden/>
    <w:locked/>
    <w:rsid w:val="00C27C28"/>
    <w:rPr>
      <w:rFonts w:cs="Times New Roman"/>
      <w:sz w:val="16"/>
      <w:szCs w:val="16"/>
    </w:rPr>
  </w:style>
  <w:style w:type="paragraph" w:styleId="CommentText">
    <w:name w:val="annotation text"/>
    <w:basedOn w:val="Normal"/>
    <w:link w:val="CommentTextChar"/>
    <w:uiPriority w:val="99"/>
    <w:semiHidden/>
    <w:locked/>
    <w:rsid w:val="00C27C28"/>
  </w:style>
  <w:style w:type="character" w:customStyle="1" w:styleId="CommentTextChar">
    <w:name w:val="Comment Text Char"/>
    <w:basedOn w:val="DefaultParagraphFont"/>
    <w:link w:val="CommentText"/>
    <w:uiPriority w:val="99"/>
    <w:semiHidden/>
    <w:locked/>
    <w:rsid w:val="00DE2F25"/>
    <w:rPr>
      <w:rFonts w:ascii="Arial" w:hAnsi="Arial" w:cs="Times New Roman"/>
      <w:spacing w:val="-5"/>
      <w:sz w:val="20"/>
      <w:szCs w:val="20"/>
      <w:lang w:eastAsia="en-US"/>
    </w:rPr>
  </w:style>
  <w:style w:type="paragraph" w:styleId="CommentSubject">
    <w:name w:val="annotation subject"/>
    <w:basedOn w:val="CommentText"/>
    <w:next w:val="CommentText"/>
    <w:link w:val="CommentSubjectChar"/>
    <w:uiPriority w:val="99"/>
    <w:semiHidden/>
    <w:locked/>
    <w:rsid w:val="00C27C28"/>
    <w:rPr>
      <w:b/>
      <w:bCs/>
    </w:rPr>
  </w:style>
  <w:style w:type="character" w:customStyle="1" w:styleId="CommentSubjectChar">
    <w:name w:val="Comment Subject Char"/>
    <w:basedOn w:val="CommentTextChar"/>
    <w:link w:val="CommentSubject"/>
    <w:uiPriority w:val="99"/>
    <w:semiHidden/>
    <w:locked/>
    <w:rsid w:val="00DE2F25"/>
    <w:rPr>
      <w:rFonts w:ascii="Arial" w:hAnsi="Arial" w:cs="Times New Roman"/>
      <w:b/>
      <w:bCs/>
      <w:spacing w:val="-5"/>
      <w:sz w:val="20"/>
      <w:szCs w:val="20"/>
      <w:lang w:eastAsia="en-US"/>
    </w:rPr>
  </w:style>
  <w:style w:type="paragraph" w:styleId="BalloonText">
    <w:name w:val="Balloon Text"/>
    <w:basedOn w:val="Normal"/>
    <w:link w:val="BalloonTextChar"/>
    <w:uiPriority w:val="99"/>
    <w:semiHidden/>
    <w:locked/>
    <w:rsid w:val="00C27C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2F25"/>
    <w:rPr>
      <w:rFonts w:cs="Times New Roman"/>
      <w:spacing w:val="-5"/>
      <w:sz w:val="2"/>
      <w:lang w:eastAsia="en-US"/>
    </w:rPr>
  </w:style>
  <w:style w:type="character" w:customStyle="1" w:styleId="citation">
    <w:name w:val="citation"/>
    <w:basedOn w:val="DefaultParagraphFont"/>
    <w:uiPriority w:val="99"/>
    <w:rsid w:val="00740B7E"/>
    <w:rPr>
      <w:rFonts w:cs="Times New Roman"/>
    </w:rPr>
  </w:style>
  <w:style w:type="paragraph" w:customStyle="1" w:styleId="Definition">
    <w:name w:val="Definition"/>
    <w:aliases w:val="dd"/>
    <w:basedOn w:val="Normal"/>
    <w:uiPriority w:val="99"/>
    <w:rsid w:val="003972AD"/>
    <w:pPr>
      <w:autoSpaceDE w:val="0"/>
      <w:autoSpaceDN w:val="0"/>
      <w:spacing w:before="180" w:line="260" w:lineRule="atLeast"/>
      <w:ind w:left="1134"/>
    </w:pPr>
    <w:rPr>
      <w:rFonts w:ascii="Times" w:hAnsi="Times" w:cs="Times"/>
      <w:sz w:val="22"/>
      <w:szCs w:val="22"/>
      <w:lang w:eastAsia="en-AU"/>
    </w:rPr>
  </w:style>
  <w:style w:type="paragraph" w:customStyle="1" w:styleId="indenta">
    <w:name w:val="indent(a)"/>
    <w:aliases w:val="a,paragraph"/>
    <w:basedOn w:val="Normal"/>
    <w:rsid w:val="003972AD"/>
    <w:pPr>
      <w:tabs>
        <w:tab w:val="right" w:pos="1531"/>
      </w:tabs>
      <w:autoSpaceDE w:val="0"/>
      <w:autoSpaceDN w:val="0"/>
      <w:spacing w:before="40" w:line="260" w:lineRule="atLeast"/>
      <w:ind w:left="1644" w:hanging="1644"/>
    </w:pPr>
    <w:rPr>
      <w:rFonts w:ascii="Times" w:hAnsi="Times" w:cs="Times"/>
      <w:sz w:val="22"/>
      <w:szCs w:val="22"/>
      <w:lang w:eastAsia="en-AU"/>
    </w:rPr>
  </w:style>
  <w:style w:type="paragraph" w:customStyle="1" w:styleId="indentii">
    <w:name w:val="indent(ii)"/>
    <w:aliases w:val="aa,paragraph(sub)"/>
    <w:basedOn w:val="indenta"/>
    <w:uiPriority w:val="99"/>
    <w:rsid w:val="003972AD"/>
    <w:pPr>
      <w:tabs>
        <w:tab w:val="clear" w:pos="1531"/>
        <w:tab w:val="right" w:pos="1985"/>
      </w:tabs>
      <w:ind w:left="2098" w:hanging="2098"/>
    </w:pPr>
  </w:style>
  <w:style w:type="character" w:customStyle="1" w:styleId="streetline">
    <w:name w:val="streetline"/>
    <w:basedOn w:val="DefaultParagraphFont"/>
    <w:uiPriority w:val="99"/>
    <w:rsid w:val="00244506"/>
    <w:rPr>
      <w:rFonts w:cs="Times New Roman"/>
    </w:rPr>
  </w:style>
  <w:style w:type="character" w:customStyle="1" w:styleId="locality3">
    <w:name w:val="locality3"/>
    <w:basedOn w:val="DefaultParagraphFont"/>
    <w:uiPriority w:val="99"/>
    <w:rsid w:val="00244506"/>
    <w:rPr>
      <w:rFonts w:cs="Times New Roman"/>
      <w:color w:val="666666"/>
    </w:rPr>
  </w:style>
  <w:style w:type="character" w:customStyle="1" w:styleId="state">
    <w:name w:val="state"/>
    <w:basedOn w:val="DefaultParagraphFont"/>
    <w:uiPriority w:val="99"/>
    <w:rsid w:val="00244506"/>
    <w:rPr>
      <w:rFonts w:cs="Times New Roman"/>
    </w:rPr>
  </w:style>
  <w:style w:type="character" w:customStyle="1" w:styleId="postcode">
    <w:name w:val="postcode"/>
    <w:basedOn w:val="DefaultParagraphFont"/>
    <w:uiPriority w:val="99"/>
    <w:rsid w:val="00244506"/>
    <w:rPr>
      <w:rFonts w:cs="Times New Roman"/>
    </w:rPr>
  </w:style>
  <w:style w:type="paragraph" w:styleId="Revision">
    <w:name w:val="Revision"/>
    <w:hidden/>
    <w:uiPriority w:val="99"/>
    <w:semiHidden/>
    <w:rsid w:val="002314FC"/>
    <w:rPr>
      <w:rFonts w:ascii="Arial" w:hAnsi="Arial"/>
      <w:spacing w:val="-5"/>
      <w:lang w:eastAsia="en-US"/>
    </w:rPr>
  </w:style>
  <w:style w:type="paragraph" w:customStyle="1" w:styleId="subsection">
    <w:name w:val="subsection"/>
    <w:aliases w:val="ss"/>
    <w:rsid w:val="003C0EE0"/>
    <w:pPr>
      <w:tabs>
        <w:tab w:val="right" w:pos="1021"/>
      </w:tabs>
      <w:spacing w:before="180"/>
      <w:ind w:left="1134" w:hanging="1134"/>
    </w:pPr>
  </w:style>
  <w:style w:type="paragraph" w:customStyle="1" w:styleId="Style1">
    <w:name w:val="Style1"/>
    <w:basedOn w:val="FootnoteText"/>
    <w:uiPriority w:val="99"/>
    <w:rsid w:val="00A247AA"/>
  </w:style>
  <w:style w:type="paragraph" w:customStyle="1" w:styleId="SubmissionNormal">
    <w:name w:val="Submission Normal"/>
    <w:aliases w:val="No Spacing,No Spacing1"/>
    <w:basedOn w:val="Normal"/>
    <w:link w:val="SubmissionNormalChar"/>
    <w:rsid w:val="00306EBC"/>
    <w:pPr>
      <w:numPr>
        <w:numId w:val="6"/>
      </w:numPr>
    </w:pPr>
    <w:rPr>
      <w:szCs w:val="24"/>
      <w:lang w:eastAsia="en-AU"/>
    </w:rPr>
  </w:style>
  <w:style w:type="character" w:customStyle="1" w:styleId="SubmissionNormalChar">
    <w:name w:val="Submission Normal Char"/>
    <w:aliases w:val="No Spacing Char,No Spacing1 Char"/>
    <w:basedOn w:val="DefaultParagraphFont"/>
    <w:link w:val="SubmissionNormal"/>
    <w:locked/>
    <w:rsid w:val="00306EBC"/>
    <w:rPr>
      <w:rFonts w:ascii="Arial" w:hAnsi="Arial"/>
      <w:color w:val="000000"/>
      <w:sz w:val="24"/>
      <w:szCs w:val="24"/>
    </w:rPr>
  </w:style>
  <w:style w:type="paragraph" w:customStyle="1" w:styleId="msolistparagraph0">
    <w:name w:val="msolistparagraph"/>
    <w:basedOn w:val="Normal"/>
    <w:uiPriority w:val="99"/>
    <w:rsid w:val="00D35380"/>
    <w:pPr>
      <w:ind w:left="720"/>
    </w:pPr>
    <w:rPr>
      <w:rFonts w:ascii="Calibri" w:hAnsi="Calibri"/>
      <w:sz w:val="22"/>
      <w:szCs w:val="22"/>
      <w:lang w:eastAsia="en-AU"/>
    </w:rPr>
  </w:style>
  <w:style w:type="paragraph" w:customStyle="1" w:styleId="MainTitle">
    <w:name w:val="Main Title"/>
    <w:uiPriority w:val="99"/>
    <w:semiHidden/>
    <w:rsid w:val="00BE2BC6"/>
    <w:pPr>
      <w:pBdr>
        <w:top w:val="single" w:sz="12" w:space="10" w:color="0070C0"/>
        <w:bottom w:val="single" w:sz="12" w:space="10" w:color="0070C0"/>
      </w:pBdr>
      <w:spacing w:before="240" w:after="240"/>
    </w:pPr>
    <w:rPr>
      <w:rFonts w:ascii="Arial" w:hAnsi="Arial"/>
      <w:bCs/>
      <w:kern w:val="32"/>
      <w:sz w:val="100"/>
      <w:szCs w:val="32"/>
    </w:rPr>
  </w:style>
  <w:style w:type="numbering" w:styleId="ArticleSection">
    <w:name w:val="Outline List 3"/>
    <w:basedOn w:val="NoList"/>
    <w:uiPriority w:val="99"/>
    <w:semiHidden/>
    <w:unhideWhenUsed/>
    <w:locked/>
    <w:rsid w:val="00F04B47"/>
    <w:pPr>
      <w:numPr>
        <w:numId w:val="3"/>
      </w:numPr>
    </w:pPr>
  </w:style>
  <w:style w:type="numbering" w:styleId="1ai">
    <w:name w:val="Outline List 1"/>
    <w:basedOn w:val="NoList"/>
    <w:uiPriority w:val="99"/>
    <w:semiHidden/>
    <w:unhideWhenUsed/>
    <w:locked/>
    <w:rsid w:val="00F04B47"/>
    <w:pPr>
      <w:numPr>
        <w:numId w:val="2"/>
      </w:numPr>
    </w:pPr>
  </w:style>
  <w:style w:type="numbering" w:customStyle="1" w:styleId="StyleNumbered">
    <w:name w:val="Style Numbered"/>
    <w:rsid w:val="00F04B47"/>
    <w:pPr>
      <w:numPr>
        <w:numId w:val="4"/>
      </w:numPr>
    </w:pPr>
  </w:style>
  <w:style w:type="numbering" w:styleId="111111">
    <w:name w:val="Outline List 2"/>
    <w:basedOn w:val="NoList"/>
    <w:semiHidden/>
    <w:unhideWhenUsed/>
    <w:locked/>
    <w:rsid w:val="00F04B47"/>
    <w:pPr>
      <w:numPr>
        <w:numId w:val="1"/>
      </w:numPr>
    </w:pPr>
  </w:style>
  <w:style w:type="paragraph" w:styleId="ListParagraph">
    <w:name w:val="List Paragraph"/>
    <w:basedOn w:val="Normal"/>
    <w:uiPriority w:val="34"/>
    <w:qFormat/>
    <w:rsid w:val="006935F1"/>
    <w:pPr>
      <w:ind w:left="720"/>
    </w:pPr>
  </w:style>
  <w:style w:type="paragraph" w:customStyle="1" w:styleId="paragraphsub">
    <w:name w:val="paragraphsub"/>
    <w:basedOn w:val="Normal"/>
    <w:rsid w:val="006A539A"/>
    <w:pPr>
      <w:spacing w:before="100" w:beforeAutospacing="1" w:after="100" w:afterAutospacing="1"/>
    </w:pPr>
    <w:rPr>
      <w:rFonts w:ascii="Times New Roman" w:hAnsi="Times New Roman"/>
      <w:szCs w:val="24"/>
      <w:lang w:eastAsia="en-AU"/>
    </w:rPr>
  </w:style>
  <w:style w:type="paragraph" w:customStyle="1" w:styleId="NameInsert">
    <w:name w:val="Name Insert"/>
    <w:basedOn w:val="BodyText"/>
    <w:rsid w:val="00846885"/>
    <w:pPr>
      <w:jc w:val="both"/>
    </w:pPr>
    <w:rPr>
      <w:lang w:val="en-US" w:bidi="en-US"/>
    </w:rPr>
  </w:style>
  <w:style w:type="paragraph" w:customStyle="1" w:styleId="Bullet">
    <w:name w:val="Bullet"/>
    <w:basedOn w:val="Normal"/>
    <w:rsid w:val="00BC6494"/>
    <w:pPr>
      <w:numPr>
        <w:numId w:val="8"/>
      </w:numPr>
      <w:spacing w:before="60" w:after="60" w:line="360" w:lineRule="exact"/>
      <w:jc w:val="both"/>
    </w:pPr>
  </w:style>
  <w:style w:type="paragraph" w:styleId="Quote">
    <w:name w:val="Quote"/>
    <w:basedOn w:val="Normal"/>
    <w:link w:val="QuoteChar"/>
    <w:uiPriority w:val="29"/>
    <w:qFormat/>
    <w:rsid w:val="002128CB"/>
    <w:rPr>
      <w:i/>
      <w:iCs/>
      <w:szCs w:val="24"/>
      <w:lang w:eastAsia="en-AU"/>
    </w:rPr>
  </w:style>
  <w:style w:type="character" w:customStyle="1" w:styleId="QuoteChar">
    <w:name w:val="Quote Char"/>
    <w:basedOn w:val="DefaultParagraphFont"/>
    <w:link w:val="Quote"/>
    <w:uiPriority w:val="29"/>
    <w:rsid w:val="002128CB"/>
    <w:rPr>
      <w:rFonts w:ascii="Arial" w:hAnsi="Arial"/>
      <w:i/>
      <w:iCs/>
      <w:color w:val="000000"/>
      <w:sz w:val="24"/>
      <w:szCs w:val="24"/>
    </w:rPr>
  </w:style>
  <w:style w:type="paragraph" w:customStyle="1" w:styleId="InternalTitleBold">
    <w:name w:val="Internal Title Bold"/>
    <w:basedOn w:val="Normal"/>
    <w:uiPriority w:val="99"/>
    <w:rsid w:val="004E15D0"/>
    <w:pPr>
      <w:keepNext/>
      <w:widowControl w:val="0"/>
      <w:tabs>
        <w:tab w:val="left" w:pos="567"/>
      </w:tabs>
      <w:suppressAutoHyphens/>
      <w:autoSpaceDE w:val="0"/>
      <w:autoSpaceDN w:val="0"/>
      <w:adjustRightInd w:val="0"/>
      <w:spacing w:before="0" w:after="283" w:line="400" w:lineRule="atLeast"/>
      <w:textAlignment w:val="center"/>
    </w:pPr>
    <w:rPr>
      <w:rFonts w:ascii="HelveticaCYBold" w:hAnsi="HelveticaCYBold" w:cs="HelveticaCYBold"/>
      <w:b/>
      <w:bCs/>
      <w:color w:val="4C4C4C"/>
      <w:sz w:val="36"/>
      <w:szCs w:val="36"/>
      <w:lang w:eastAsia="en-AU"/>
    </w:rPr>
  </w:style>
  <w:style w:type="paragraph" w:customStyle="1" w:styleId="InternalSubTitlePlain">
    <w:name w:val="Internal Sub Title Plain"/>
    <w:basedOn w:val="Normal"/>
    <w:uiPriority w:val="99"/>
    <w:rsid w:val="004E15D0"/>
    <w:pPr>
      <w:keepNext/>
      <w:widowControl w:val="0"/>
      <w:tabs>
        <w:tab w:val="left" w:pos="567"/>
      </w:tabs>
      <w:suppressAutoHyphens/>
      <w:autoSpaceDE w:val="0"/>
      <w:autoSpaceDN w:val="0"/>
      <w:adjustRightInd w:val="0"/>
      <w:spacing w:before="0" w:after="850" w:line="360" w:lineRule="atLeast"/>
      <w:textAlignment w:val="center"/>
    </w:pPr>
    <w:rPr>
      <w:rFonts w:ascii="HelveticaCYPlain" w:hAnsi="HelveticaCYPlain" w:cs="HelveticaCYPlain"/>
      <w:color w:val="4C4C4C"/>
      <w:sz w:val="32"/>
      <w:szCs w:val="32"/>
      <w:lang w:eastAsia="en-AU"/>
    </w:rPr>
  </w:style>
  <w:style w:type="paragraph" w:customStyle="1" w:styleId="CopyrightText">
    <w:name w:val="Copyright Text"/>
    <w:basedOn w:val="Normal"/>
    <w:uiPriority w:val="99"/>
    <w:rsid w:val="004E15D0"/>
    <w:pPr>
      <w:widowControl w:val="0"/>
      <w:tabs>
        <w:tab w:val="left" w:pos="170"/>
      </w:tabs>
      <w:suppressAutoHyphens/>
      <w:autoSpaceDE w:val="0"/>
      <w:autoSpaceDN w:val="0"/>
      <w:adjustRightInd w:val="0"/>
      <w:spacing w:before="0" w:after="57" w:line="288" w:lineRule="auto"/>
      <w:textAlignment w:val="center"/>
    </w:pPr>
    <w:rPr>
      <w:rFonts w:eastAsiaTheme="minorEastAsia" w:cs="HelveticaCYPlain"/>
      <w:color w:val="auto"/>
      <w:sz w:val="20"/>
      <w:szCs w:val="16"/>
      <w:u w:color="000000"/>
      <w:lang w:val="it-IT" w:eastAsia="en-AU"/>
    </w:rPr>
  </w:style>
  <w:style w:type="character" w:customStyle="1" w:styleId="Bold">
    <w:name w:val="Bold"/>
    <w:uiPriority w:val="99"/>
    <w:rsid w:val="002848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9820">
      <w:marLeft w:val="0"/>
      <w:marRight w:val="0"/>
      <w:marTop w:val="0"/>
      <w:marBottom w:val="0"/>
      <w:divBdr>
        <w:top w:val="none" w:sz="0" w:space="0" w:color="auto"/>
        <w:left w:val="none" w:sz="0" w:space="0" w:color="auto"/>
        <w:bottom w:val="none" w:sz="0" w:space="0" w:color="auto"/>
        <w:right w:val="none" w:sz="0" w:space="0" w:color="auto"/>
      </w:divBdr>
      <w:divsChild>
        <w:div w:id="103619826">
          <w:marLeft w:val="0"/>
          <w:marRight w:val="0"/>
          <w:marTop w:val="0"/>
          <w:marBottom w:val="0"/>
          <w:divBdr>
            <w:top w:val="none" w:sz="0" w:space="0" w:color="auto"/>
            <w:left w:val="none" w:sz="0" w:space="0" w:color="auto"/>
            <w:bottom w:val="none" w:sz="0" w:space="0" w:color="auto"/>
            <w:right w:val="none" w:sz="0" w:space="0" w:color="auto"/>
          </w:divBdr>
          <w:divsChild>
            <w:div w:id="1036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21">
      <w:marLeft w:val="0"/>
      <w:marRight w:val="0"/>
      <w:marTop w:val="0"/>
      <w:marBottom w:val="0"/>
      <w:divBdr>
        <w:top w:val="none" w:sz="0" w:space="0" w:color="auto"/>
        <w:left w:val="none" w:sz="0" w:space="0" w:color="auto"/>
        <w:bottom w:val="none" w:sz="0" w:space="0" w:color="auto"/>
        <w:right w:val="none" w:sz="0" w:space="0" w:color="auto"/>
      </w:divBdr>
    </w:div>
    <w:div w:id="103619822">
      <w:marLeft w:val="0"/>
      <w:marRight w:val="0"/>
      <w:marTop w:val="0"/>
      <w:marBottom w:val="0"/>
      <w:divBdr>
        <w:top w:val="none" w:sz="0" w:space="0" w:color="auto"/>
        <w:left w:val="none" w:sz="0" w:space="0" w:color="auto"/>
        <w:bottom w:val="none" w:sz="0" w:space="0" w:color="auto"/>
        <w:right w:val="none" w:sz="0" w:space="0" w:color="auto"/>
      </w:divBdr>
    </w:div>
    <w:div w:id="103619823">
      <w:marLeft w:val="0"/>
      <w:marRight w:val="0"/>
      <w:marTop w:val="0"/>
      <w:marBottom w:val="0"/>
      <w:divBdr>
        <w:top w:val="none" w:sz="0" w:space="0" w:color="auto"/>
        <w:left w:val="none" w:sz="0" w:space="0" w:color="auto"/>
        <w:bottom w:val="none" w:sz="0" w:space="0" w:color="auto"/>
        <w:right w:val="none" w:sz="0" w:space="0" w:color="auto"/>
      </w:divBdr>
    </w:div>
    <w:div w:id="103619824">
      <w:marLeft w:val="0"/>
      <w:marRight w:val="0"/>
      <w:marTop w:val="0"/>
      <w:marBottom w:val="0"/>
      <w:divBdr>
        <w:top w:val="none" w:sz="0" w:space="0" w:color="auto"/>
        <w:left w:val="none" w:sz="0" w:space="0" w:color="auto"/>
        <w:bottom w:val="none" w:sz="0" w:space="0" w:color="auto"/>
        <w:right w:val="none" w:sz="0" w:space="0" w:color="auto"/>
      </w:divBdr>
    </w:div>
    <w:div w:id="103619828">
      <w:marLeft w:val="0"/>
      <w:marRight w:val="0"/>
      <w:marTop w:val="0"/>
      <w:marBottom w:val="0"/>
      <w:divBdr>
        <w:top w:val="none" w:sz="0" w:space="0" w:color="auto"/>
        <w:left w:val="none" w:sz="0" w:space="0" w:color="auto"/>
        <w:bottom w:val="none" w:sz="0" w:space="0" w:color="auto"/>
        <w:right w:val="none" w:sz="0" w:space="0" w:color="auto"/>
      </w:divBdr>
    </w:div>
    <w:div w:id="103619829">
      <w:marLeft w:val="0"/>
      <w:marRight w:val="0"/>
      <w:marTop w:val="0"/>
      <w:marBottom w:val="0"/>
      <w:divBdr>
        <w:top w:val="none" w:sz="0" w:space="0" w:color="auto"/>
        <w:left w:val="none" w:sz="0" w:space="0" w:color="auto"/>
        <w:bottom w:val="none" w:sz="0" w:space="0" w:color="auto"/>
        <w:right w:val="none" w:sz="0" w:space="0" w:color="auto"/>
      </w:divBdr>
    </w:div>
    <w:div w:id="103619830">
      <w:marLeft w:val="0"/>
      <w:marRight w:val="0"/>
      <w:marTop w:val="0"/>
      <w:marBottom w:val="0"/>
      <w:divBdr>
        <w:top w:val="none" w:sz="0" w:space="0" w:color="auto"/>
        <w:left w:val="none" w:sz="0" w:space="0" w:color="auto"/>
        <w:bottom w:val="none" w:sz="0" w:space="0" w:color="auto"/>
        <w:right w:val="none" w:sz="0" w:space="0" w:color="auto"/>
      </w:divBdr>
      <w:divsChild>
        <w:div w:id="103619819">
          <w:marLeft w:val="0"/>
          <w:marRight w:val="0"/>
          <w:marTop w:val="0"/>
          <w:marBottom w:val="0"/>
          <w:divBdr>
            <w:top w:val="none" w:sz="0" w:space="0" w:color="auto"/>
            <w:left w:val="none" w:sz="0" w:space="0" w:color="auto"/>
            <w:bottom w:val="none" w:sz="0" w:space="0" w:color="auto"/>
            <w:right w:val="none" w:sz="0" w:space="0" w:color="auto"/>
          </w:divBdr>
          <w:divsChild>
            <w:div w:id="1036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1">
      <w:marLeft w:val="0"/>
      <w:marRight w:val="0"/>
      <w:marTop w:val="0"/>
      <w:marBottom w:val="0"/>
      <w:divBdr>
        <w:top w:val="none" w:sz="0" w:space="0" w:color="auto"/>
        <w:left w:val="none" w:sz="0" w:space="0" w:color="auto"/>
        <w:bottom w:val="none" w:sz="0" w:space="0" w:color="auto"/>
        <w:right w:val="none" w:sz="0" w:space="0" w:color="auto"/>
      </w:divBdr>
    </w:div>
    <w:div w:id="103619832">
      <w:marLeft w:val="0"/>
      <w:marRight w:val="0"/>
      <w:marTop w:val="0"/>
      <w:marBottom w:val="0"/>
      <w:divBdr>
        <w:top w:val="none" w:sz="0" w:space="0" w:color="auto"/>
        <w:left w:val="none" w:sz="0" w:space="0" w:color="auto"/>
        <w:bottom w:val="none" w:sz="0" w:space="0" w:color="auto"/>
        <w:right w:val="none" w:sz="0" w:space="0" w:color="auto"/>
      </w:divBdr>
    </w:div>
    <w:div w:id="103619833">
      <w:marLeft w:val="0"/>
      <w:marRight w:val="0"/>
      <w:marTop w:val="0"/>
      <w:marBottom w:val="0"/>
      <w:divBdr>
        <w:top w:val="none" w:sz="0" w:space="0" w:color="auto"/>
        <w:left w:val="none" w:sz="0" w:space="0" w:color="auto"/>
        <w:bottom w:val="none" w:sz="0" w:space="0" w:color="auto"/>
        <w:right w:val="none" w:sz="0" w:space="0" w:color="auto"/>
      </w:divBdr>
    </w:div>
    <w:div w:id="103619834">
      <w:marLeft w:val="0"/>
      <w:marRight w:val="0"/>
      <w:marTop w:val="0"/>
      <w:marBottom w:val="0"/>
      <w:divBdr>
        <w:top w:val="none" w:sz="0" w:space="0" w:color="auto"/>
        <w:left w:val="none" w:sz="0" w:space="0" w:color="auto"/>
        <w:bottom w:val="none" w:sz="0" w:space="0" w:color="auto"/>
        <w:right w:val="none" w:sz="0" w:space="0" w:color="auto"/>
      </w:divBdr>
      <w:divsChild>
        <w:div w:id="103619836">
          <w:marLeft w:val="0"/>
          <w:marRight w:val="0"/>
          <w:marTop w:val="0"/>
          <w:marBottom w:val="0"/>
          <w:divBdr>
            <w:top w:val="none" w:sz="0" w:space="0" w:color="auto"/>
            <w:left w:val="none" w:sz="0" w:space="0" w:color="auto"/>
            <w:bottom w:val="none" w:sz="0" w:space="0" w:color="auto"/>
            <w:right w:val="none" w:sz="0" w:space="0" w:color="auto"/>
          </w:divBdr>
          <w:divsChild>
            <w:div w:id="1036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835">
      <w:marLeft w:val="0"/>
      <w:marRight w:val="0"/>
      <w:marTop w:val="0"/>
      <w:marBottom w:val="0"/>
      <w:divBdr>
        <w:top w:val="none" w:sz="0" w:space="0" w:color="auto"/>
        <w:left w:val="none" w:sz="0" w:space="0" w:color="auto"/>
        <w:bottom w:val="none" w:sz="0" w:space="0" w:color="auto"/>
        <w:right w:val="none" w:sz="0" w:space="0" w:color="auto"/>
      </w:divBdr>
    </w:div>
    <w:div w:id="139539942">
      <w:bodyDiv w:val="1"/>
      <w:marLeft w:val="0"/>
      <w:marRight w:val="0"/>
      <w:marTop w:val="0"/>
      <w:marBottom w:val="0"/>
      <w:divBdr>
        <w:top w:val="none" w:sz="0" w:space="0" w:color="auto"/>
        <w:left w:val="none" w:sz="0" w:space="0" w:color="auto"/>
        <w:bottom w:val="none" w:sz="0" w:space="0" w:color="auto"/>
        <w:right w:val="none" w:sz="0" w:space="0" w:color="auto"/>
      </w:divBdr>
    </w:div>
    <w:div w:id="337469033">
      <w:bodyDiv w:val="1"/>
      <w:marLeft w:val="0"/>
      <w:marRight w:val="0"/>
      <w:marTop w:val="0"/>
      <w:marBottom w:val="0"/>
      <w:divBdr>
        <w:top w:val="none" w:sz="0" w:space="0" w:color="auto"/>
        <w:left w:val="none" w:sz="0" w:space="0" w:color="auto"/>
        <w:bottom w:val="none" w:sz="0" w:space="0" w:color="auto"/>
        <w:right w:val="none" w:sz="0" w:space="0" w:color="auto"/>
      </w:divBdr>
    </w:div>
    <w:div w:id="355353605">
      <w:bodyDiv w:val="1"/>
      <w:marLeft w:val="0"/>
      <w:marRight w:val="0"/>
      <w:marTop w:val="0"/>
      <w:marBottom w:val="0"/>
      <w:divBdr>
        <w:top w:val="none" w:sz="0" w:space="0" w:color="auto"/>
        <w:left w:val="none" w:sz="0" w:space="0" w:color="auto"/>
        <w:bottom w:val="none" w:sz="0" w:space="0" w:color="auto"/>
        <w:right w:val="none" w:sz="0" w:space="0" w:color="auto"/>
      </w:divBdr>
    </w:div>
    <w:div w:id="564148833">
      <w:bodyDiv w:val="1"/>
      <w:marLeft w:val="0"/>
      <w:marRight w:val="0"/>
      <w:marTop w:val="0"/>
      <w:marBottom w:val="0"/>
      <w:divBdr>
        <w:top w:val="none" w:sz="0" w:space="0" w:color="auto"/>
        <w:left w:val="none" w:sz="0" w:space="0" w:color="auto"/>
        <w:bottom w:val="none" w:sz="0" w:space="0" w:color="auto"/>
        <w:right w:val="none" w:sz="0" w:space="0" w:color="auto"/>
      </w:divBdr>
      <w:divsChild>
        <w:div w:id="1019815089">
          <w:marLeft w:val="0"/>
          <w:marRight w:val="0"/>
          <w:marTop w:val="0"/>
          <w:marBottom w:val="0"/>
          <w:divBdr>
            <w:top w:val="none" w:sz="0" w:space="0" w:color="auto"/>
            <w:left w:val="none" w:sz="0" w:space="0" w:color="auto"/>
            <w:bottom w:val="none" w:sz="0" w:space="0" w:color="auto"/>
            <w:right w:val="none" w:sz="0" w:space="0" w:color="auto"/>
          </w:divBdr>
          <w:divsChild>
            <w:div w:id="1470317821">
              <w:marLeft w:val="0"/>
              <w:marRight w:val="0"/>
              <w:marTop w:val="0"/>
              <w:marBottom w:val="0"/>
              <w:divBdr>
                <w:top w:val="none" w:sz="0" w:space="0" w:color="auto"/>
                <w:left w:val="none" w:sz="0" w:space="0" w:color="auto"/>
                <w:bottom w:val="none" w:sz="0" w:space="0" w:color="auto"/>
                <w:right w:val="none" w:sz="0" w:space="0" w:color="auto"/>
              </w:divBdr>
              <w:divsChild>
                <w:div w:id="1527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80739">
      <w:bodyDiv w:val="1"/>
      <w:marLeft w:val="0"/>
      <w:marRight w:val="0"/>
      <w:marTop w:val="0"/>
      <w:marBottom w:val="0"/>
      <w:divBdr>
        <w:top w:val="none" w:sz="0" w:space="0" w:color="auto"/>
        <w:left w:val="none" w:sz="0" w:space="0" w:color="auto"/>
        <w:bottom w:val="none" w:sz="0" w:space="0" w:color="auto"/>
        <w:right w:val="none" w:sz="0" w:space="0" w:color="auto"/>
      </w:divBdr>
    </w:div>
    <w:div w:id="1063715832">
      <w:bodyDiv w:val="1"/>
      <w:marLeft w:val="0"/>
      <w:marRight w:val="0"/>
      <w:marTop w:val="0"/>
      <w:marBottom w:val="0"/>
      <w:divBdr>
        <w:top w:val="none" w:sz="0" w:space="0" w:color="auto"/>
        <w:left w:val="none" w:sz="0" w:space="0" w:color="auto"/>
        <w:bottom w:val="none" w:sz="0" w:space="0" w:color="auto"/>
        <w:right w:val="none" w:sz="0" w:space="0" w:color="auto"/>
      </w:divBdr>
    </w:div>
    <w:div w:id="1156798644">
      <w:bodyDiv w:val="1"/>
      <w:marLeft w:val="0"/>
      <w:marRight w:val="0"/>
      <w:marTop w:val="0"/>
      <w:marBottom w:val="0"/>
      <w:divBdr>
        <w:top w:val="none" w:sz="0" w:space="0" w:color="auto"/>
        <w:left w:val="none" w:sz="0" w:space="0" w:color="auto"/>
        <w:bottom w:val="none" w:sz="0" w:space="0" w:color="auto"/>
        <w:right w:val="none" w:sz="0" w:space="0" w:color="auto"/>
      </w:divBdr>
    </w:div>
    <w:div w:id="1196650023">
      <w:bodyDiv w:val="1"/>
      <w:marLeft w:val="0"/>
      <w:marRight w:val="0"/>
      <w:marTop w:val="0"/>
      <w:marBottom w:val="0"/>
      <w:divBdr>
        <w:top w:val="none" w:sz="0" w:space="0" w:color="auto"/>
        <w:left w:val="none" w:sz="0" w:space="0" w:color="auto"/>
        <w:bottom w:val="none" w:sz="0" w:space="0" w:color="auto"/>
        <w:right w:val="none" w:sz="0" w:space="0" w:color="auto"/>
      </w:divBdr>
    </w:div>
    <w:div w:id="1293711185">
      <w:bodyDiv w:val="1"/>
      <w:marLeft w:val="0"/>
      <w:marRight w:val="0"/>
      <w:marTop w:val="0"/>
      <w:marBottom w:val="0"/>
      <w:divBdr>
        <w:top w:val="none" w:sz="0" w:space="0" w:color="auto"/>
        <w:left w:val="none" w:sz="0" w:space="0" w:color="auto"/>
        <w:bottom w:val="none" w:sz="0" w:space="0" w:color="auto"/>
        <w:right w:val="none" w:sz="0" w:space="0" w:color="auto"/>
      </w:divBdr>
    </w:div>
    <w:div w:id="1680616649">
      <w:bodyDiv w:val="1"/>
      <w:marLeft w:val="0"/>
      <w:marRight w:val="0"/>
      <w:marTop w:val="0"/>
      <w:marBottom w:val="0"/>
      <w:divBdr>
        <w:top w:val="none" w:sz="0" w:space="0" w:color="auto"/>
        <w:left w:val="none" w:sz="0" w:space="0" w:color="auto"/>
        <w:bottom w:val="none" w:sz="0" w:space="0" w:color="auto"/>
        <w:right w:val="none" w:sz="0" w:space="0" w:color="auto"/>
      </w:divBdr>
      <w:divsChild>
        <w:div w:id="1345397315">
          <w:marLeft w:val="0"/>
          <w:marRight w:val="0"/>
          <w:marTop w:val="0"/>
          <w:marBottom w:val="0"/>
          <w:divBdr>
            <w:top w:val="none" w:sz="0" w:space="0" w:color="auto"/>
            <w:left w:val="none" w:sz="0" w:space="0" w:color="auto"/>
            <w:bottom w:val="none" w:sz="0" w:space="0" w:color="auto"/>
            <w:right w:val="none" w:sz="0" w:space="0" w:color="auto"/>
          </w:divBdr>
          <w:divsChild>
            <w:div w:id="1846675919">
              <w:marLeft w:val="0"/>
              <w:marRight w:val="0"/>
              <w:marTop w:val="0"/>
              <w:marBottom w:val="0"/>
              <w:divBdr>
                <w:top w:val="none" w:sz="0" w:space="0" w:color="auto"/>
                <w:left w:val="none" w:sz="0" w:space="0" w:color="auto"/>
                <w:bottom w:val="none" w:sz="0" w:space="0" w:color="auto"/>
                <w:right w:val="none" w:sz="0" w:space="0" w:color="auto"/>
              </w:divBdr>
              <w:divsChild>
                <w:div w:id="1596212615">
                  <w:marLeft w:val="0"/>
                  <w:marRight w:val="0"/>
                  <w:marTop w:val="0"/>
                  <w:marBottom w:val="0"/>
                  <w:divBdr>
                    <w:top w:val="none" w:sz="0" w:space="0" w:color="auto"/>
                    <w:left w:val="none" w:sz="0" w:space="0" w:color="auto"/>
                    <w:bottom w:val="none" w:sz="0" w:space="0" w:color="auto"/>
                    <w:right w:val="none" w:sz="0" w:space="0" w:color="auto"/>
                  </w:divBdr>
                  <w:divsChild>
                    <w:div w:id="1119452805">
                      <w:marLeft w:val="0"/>
                      <w:marRight w:val="0"/>
                      <w:marTop w:val="0"/>
                      <w:marBottom w:val="0"/>
                      <w:divBdr>
                        <w:top w:val="none" w:sz="0" w:space="0" w:color="auto"/>
                        <w:left w:val="none" w:sz="0" w:space="0" w:color="auto"/>
                        <w:bottom w:val="none" w:sz="0" w:space="0" w:color="auto"/>
                        <w:right w:val="none" w:sz="0" w:space="0" w:color="auto"/>
                      </w:divBdr>
                      <w:divsChild>
                        <w:div w:id="900821739">
                          <w:marLeft w:val="0"/>
                          <w:marRight w:val="0"/>
                          <w:marTop w:val="0"/>
                          <w:marBottom w:val="0"/>
                          <w:divBdr>
                            <w:top w:val="none" w:sz="0" w:space="0" w:color="auto"/>
                            <w:left w:val="none" w:sz="0" w:space="0" w:color="auto"/>
                            <w:bottom w:val="none" w:sz="0" w:space="0" w:color="auto"/>
                            <w:right w:val="none" w:sz="0" w:space="0" w:color="auto"/>
                          </w:divBdr>
                          <w:divsChild>
                            <w:div w:id="440027746">
                              <w:marLeft w:val="0"/>
                              <w:marRight w:val="0"/>
                              <w:marTop w:val="0"/>
                              <w:marBottom w:val="0"/>
                              <w:divBdr>
                                <w:top w:val="none" w:sz="0" w:space="0" w:color="auto"/>
                                <w:left w:val="none" w:sz="0" w:space="0" w:color="auto"/>
                                <w:bottom w:val="none" w:sz="0" w:space="0" w:color="auto"/>
                                <w:right w:val="none" w:sz="0" w:space="0" w:color="auto"/>
                              </w:divBdr>
                              <w:divsChild>
                                <w:div w:id="19461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36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03A46.C71F3FA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munications@humanrights.gov.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4399-931C-4868-B6B6-9F44B6C6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4057</Words>
  <Characters>21235</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Bronwyn Byrnes</dc:creator>
  <cp:lastModifiedBy>Isobel McGarity</cp:lastModifiedBy>
  <cp:revision>7</cp:revision>
  <cp:lastPrinted>2015-03-24T23:28:00Z</cp:lastPrinted>
  <dcterms:created xsi:type="dcterms:W3CDTF">2015-10-14T03:01:00Z</dcterms:created>
  <dcterms:modified xsi:type="dcterms:W3CDTF">2015-10-20T04:32:00Z</dcterms:modified>
</cp:coreProperties>
</file>