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EFA3" w14:textId="17814125" w:rsidR="00A355F9" w:rsidRDefault="00906D33" w:rsidP="00A355F9">
      <w:pPr>
        <w:pStyle w:val="MainTitle"/>
      </w:pPr>
      <w:r>
        <w:t>Review into an appropriate cost model for Commonwealth anti</w:t>
      </w:r>
      <w:r>
        <w:noBreakHyphen/>
        <w:t>discrimination laws</w:t>
      </w:r>
    </w:p>
    <w:p w14:paraId="2DAC0E4B" w14:textId="77777777" w:rsidR="00817C73" w:rsidRDefault="00817C73" w:rsidP="00817C73">
      <w:pPr>
        <w:pStyle w:val="Subtitle"/>
      </w:pPr>
      <w:bookmarkStart w:id="0" w:name="_Toc515873204"/>
      <w:bookmarkStart w:id="1" w:name="_Toc131574032"/>
      <w:bookmarkStart w:id="2" w:name="_Toc131577722"/>
      <w:bookmarkStart w:id="3" w:name="_Toc131579138"/>
      <w:r>
        <w:t>Australian Human Rights Commission</w:t>
      </w:r>
      <w:bookmarkEnd w:id="0"/>
      <w:bookmarkEnd w:id="1"/>
      <w:bookmarkEnd w:id="2"/>
      <w:bookmarkEnd w:id="3"/>
    </w:p>
    <w:p w14:paraId="3CAD1110" w14:textId="07B8B544" w:rsidR="00817C73" w:rsidRDefault="00817C73" w:rsidP="00817C73">
      <w:pPr>
        <w:pStyle w:val="Subtitle"/>
      </w:pPr>
      <w:bookmarkStart w:id="4" w:name="_Toc515873205"/>
      <w:bookmarkStart w:id="5" w:name="_Toc131574033"/>
      <w:bookmarkStart w:id="6" w:name="_Toc131577723"/>
      <w:bookmarkStart w:id="7" w:name="_Toc131579139"/>
      <w:r>
        <w:t xml:space="preserve">Submission to the </w:t>
      </w:r>
      <w:bookmarkEnd w:id="4"/>
      <w:r w:rsidR="00906D33">
        <w:t>Attorney-General’s Department</w:t>
      </w:r>
      <w:bookmarkEnd w:id="5"/>
      <w:bookmarkEnd w:id="6"/>
      <w:bookmarkEnd w:id="7"/>
    </w:p>
    <w:p w14:paraId="56746708" w14:textId="60DE22B8" w:rsidR="00F220A5" w:rsidRPr="00817C73" w:rsidRDefault="00906D33" w:rsidP="00F220A5">
      <w:pPr>
        <w:pStyle w:val="Date"/>
      </w:pPr>
      <w:r w:rsidRPr="001406A5">
        <w:t>1</w:t>
      </w:r>
      <w:r w:rsidR="001406A5" w:rsidRPr="001406A5">
        <w:t>2</w:t>
      </w:r>
      <w:r>
        <w:t xml:space="preserve"> April 2023</w:t>
      </w:r>
    </w:p>
    <w:p w14:paraId="4AA17E0A" w14:textId="77777777" w:rsidR="00AC636D" w:rsidRDefault="00AC636D" w:rsidP="00AC636D"/>
    <w:p w14:paraId="306D2132" w14:textId="77777777" w:rsidR="009E4BD0" w:rsidRPr="00AC636D" w:rsidRDefault="009E4BD0" w:rsidP="00AC636D">
      <w:pPr>
        <w:sectPr w:rsidR="009E4BD0"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p>
    <w:p w14:paraId="1397BC3A" w14:textId="77777777" w:rsidR="00D64C71" w:rsidRDefault="00D64C71" w:rsidP="00C60343">
      <w:pPr>
        <w:pStyle w:val="TOC1"/>
      </w:pPr>
      <w:bookmarkStart w:id="8" w:name="_Toc209316062"/>
      <w:bookmarkEnd w:id="8"/>
    </w:p>
    <w:p w14:paraId="55A07037" w14:textId="3E4FB9CD" w:rsidR="00EA40CA" w:rsidRDefault="000B5B68" w:rsidP="00C60343">
      <w:pPr>
        <w:pStyle w:val="TOC1"/>
      </w:pPr>
      <w:r>
        <w:t>Contents</w:t>
      </w:r>
      <w:r w:rsidRPr="000465F1">
        <w:fldChar w:fldCharType="begin"/>
      </w:r>
      <w:r>
        <w:instrText xml:space="preserve"> TOC \o "1-3" \h \z \u </w:instrText>
      </w:r>
      <w:r w:rsidRPr="000465F1">
        <w:fldChar w:fldCharType="separate"/>
      </w:r>
    </w:p>
    <w:p w14:paraId="7CCAC091" w14:textId="2BFEF8A9" w:rsidR="00EA40CA" w:rsidRDefault="00000000">
      <w:pPr>
        <w:pStyle w:val="TOC1"/>
        <w:rPr>
          <w:rFonts w:asciiTheme="minorHAnsi" w:eastAsiaTheme="minorEastAsia" w:hAnsiTheme="minorHAnsi" w:cstheme="minorBidi"/>
          <w:b w:val="0"/>
          <w:sz w:val="22"/>
          <w:szCs w:val="22"/>
        </w:rPr>
      </w:pPr>
      <w:hyperlink w:anchor="_Toc131579140" w:history="1">
        <w:r w:rsidR="00EA40CA" w:rsidRPr="00EB16E2">
          <w:rPr>
            <w:rStyle w:val="Hyperlink"/>
          </w:rPr>
          <w:t>1</w:t>
        </w:r>
        <w:r w:rsidR="00EA40CA">
          <w:rPr>
            <w:rFonts w:asciiTheme="minorHAnsi" w:eastAsiaTheme="minorEastAsia" w:hAnsiTheme="minorHAnsi" w:cstheme="minorBidi"/>
            <w:b w:val="0"/>
            <w:sz w:val="22"/>
            <w:szCs w:val="22"/>
          </w:rPr>
          <w:tab/>
        </w:r>
        <w:r w:rsidR="00EA40CA" w:rsidRPr="00EB16E2">
          <w:rPr>
            <w:rStyle w:val="Hyperlink"/>
          </w:rPr>
          <w:t>Introduction</w:t>
        </w:r>
        <w:r w:rsidR="00EA40CA">
          <w:rPr>
            <w:webHidden/>
          </w:rPr>
          <w:tab/>
        </w:r>
        <w:r w:rsidR="00EA40CA">
          <w:rPr>
            <w:webHidden/>
          </w:rPr>
          <w:fldChar w:fldCharType="begin"/>
        </w:r>
        <w:r w:rsidR="00EA40CA">
          <w:rPr>
            <w:webHidden/>
          </w:rPr>
          <w:instrText xml:space="preserve"> PAGEREF _Toc131579140 \h </w:instrText>
        </w:r>
        <w:r w:rsidR="00EA40CA">
          <w:rPr>
            <w:webHidden/>
          </w:rPr>
        </w:r>
        <w:r w:rsidR="00EA40CA">
          <w:rPr>
            <w:webHidden/>
          </w:rPr>
          <w:fldChar w:fldCharType="separate"/>
        </w:r>
        <w:r w:rsidR="008509EC">
          <w:rPr>
            <w:webHidden/>
          </w:rPr>
          <w:t>3</w:t>
        </w:r>
        <w:r w:rsidR="00EA40CA">
          <w:rPr>
            <w:webHidden/>
          </w:rPr>
          <w:fldChar w:fldCharType="end"/>
        </w:r>
      </w:hyperlink>
    </w:p>
    <w:p w14:paraId="094A76C3" w14:textId="44B2A09F" w:rsidR="00EA40CA" w:rsidRDefault="00000000">
      <w:pPr>
        <w:pStyle w:val="TOC1"/>
        <w:rPr>
          <w:rFonts w:asciiTheme="minorHAnsi" w:eastAsiaTheme="minorEastAsia" w:hAnsiTheme="minorHAnsi" w:cstheme="minorBidi"/>
          <w:b w:val="0"/>
          <w:sz w:val="22"/>
          <w:szCs w:val="22"/>
        </w:rPr>
      </w:pPr>
      <w:hyperlink w:anchor="_Toc131579141" w:history="1">
        <w:r w:rsidR="00EA40CA" w:rsidRPr="00EB16E2">
          <w:rPr>
            <w:rStyle w:val="Hyperlink"/>
          </w:rPr>
          <w:t>2</w:t>
        </w:r>
        <w:r w:rsidR="00EA40CA">
          <w:rPr>
            <w:rFonts w:asciiTheme="minorHAnsi" w:eastAsiaTheme="minorEastAsia" w:hAnsiTheme="minorHAnsi" w:cstheme="minorBidi"/>
            <w:b w:val="0"/>
            <w:sz w:val="22"/>
            <w:szCs w:val="22"/>
          </w:rPr>
          <w:tab/>
        </w:r>
        <w:r w:rsidR="00EA40CA" w:rsidRPr="00EB16E2">
          <w:rPr>
            <w:rStyle w:val="Hyperlink"/>
          </w:rPr>
          <w:t>Recommendations</w:t>
        </w:r>
        <w:r w:rsidR="00EA40CA">
          <w:rPr>
            <w:webHidden/>
          </w:rPr>
          <w:tab/>
        </w:r>
        <w:r w:rsidR="00EA40CA">
          <w:rPr>
            <w:webHidden/>
          </w:rPr>
          <w:fldChar w:fldCharType="begin"/>
        </w:r>
        <w:r w:rsidR="00EA40CA">
          <w:rPr>
            <w:webHidden/>
          </w:rPr>
          <w:instrText xml:space="preserve"> PAGEREF _Toc131579141 \h </w:instrText>
        </w:r>
        <w:r w:rsidR="00EA40CA">
          <w:rPr>
            <w:webHidden/>
          </w:rPr>
        </w:r>
        <w:r w:rsidR="00EA40CA">
          <w:rPr>
            <w:webHidden/>
          </w:rPr>
          <w:fldChar w:fldCharType="separate"/>
        </w:r>
        <w:r w:rsidR="008509EC">
          <w:rPr>
            <w:webHidden/>
          </w:rPr>
          <w:t>4</w:t>
        </w:r>
        <w:r w:rsidR="00EA40CA">
          <w:rPr>
            <w:webHidden/>
          </w:rPr>
          <w:fldChar w:fldCharType="end"/>
        </w:r>
      </w:hyperlink>
    </w:p>
    <w:p w14:paraId="08BAC287" w14:textId="1AEBAE74" w:rsidR="00EA40CA" w:rsidRDefault="00000000">
      <w:pPr>
        <w:pStyle w:val="TOC1"/>
        <w:rPr>
          <w:rFonts w:asciiTheme="minorHAnsi" w:eastAsiaTheme="minorEastAsia" w:hAnsiTheme="minorHAnsi" w:cstheme="minorBidi"/>
          <w:b w:val="0"/>
          <w:sz w:val="22"/>
          <w:szCs w:val="22"/>
        </w:rPr>
      </w:pPr>
      <w:hyperlink w:anchor="_Toc131579142" w:history="1">
        <w:r w:rsidR="00EA40CA" w:rsidRPr="00EB16E2">
          <w:rPr>
            <w:rStyle w:val="Hyperlink"/>
          </w:rPr>
          <w:t>3</w:t>
        </w:r>
        <w:r w:rsidR="00EA40CA">
          <w:rPr>
            <w:rFonts w:asciiTheme="minorHAnsi" w:eastAsiaTheme="minorEastAsia" w:hAnsiTheme="minorHAnsi" w:cstheme="minorBidi"/>
            <w:b w:val="0"/>
            <w:sz w:val="22"/>
            <w:szCs w:val="22"/>
          </w:rPr>
          <w:tab/>
        </w:r>
        <w:r w:rsidR="00EA40CA" w:rsidRPr="00EB16E2">
          <w:rPr>
            <w:rStyle w:val="Hyperlink"/>
          </w:rPr>
          <w:t>Current model</w:t>
        </w:r>
        <w:r w:rsidR="00EA40CA">
          <w:rPr>
            <w:webHidden/>
          </w:rPr>
          <w:tab/>
        </w:r>
        <w:r w:rsidR="00EA40CA">
          <w:rPr>
            <w:webHidden/>
          </w:rPr>
          <w:fldChar w:fldCharType="begin"/>
        </w:r>
        <w:r w:rsidR="00EA40CA">
          <w:rPr>
            <w:webHidden/>
          </w:rPr>
          <w:instrText xml:space="preserve"> PAGEREF _Toc131579142 \h </w:instrText>
        </w:r>
        <w:r w:rsidR="00EA40CA">
          <w:rPr>
            <w:webHidden/>
          </w:rPr>
        </w:r>
        <w:r w:rsidR="00EA40CA">
          <w:rPr>
            <w:webHidden/>
          </w:rPr>
          <w:fldChar w:fldCharType="separate"/>
        </w:r>
        <w:r w:rsidR="008509EC">
          <w:rPr>
            <w:webHidden/>
          </w:rPr>
          <w:t>4</w:t>
        </w:r>
        <w:r w:rsidR="00EA40CA">
          <w:rPr>
            <w:webHidden/>
          </w:rPr>
          <w:fldChar w:fldCharType="end"/>
        </w:r>
      </w:hyperlink>
    </w:p>
    <w:p w14:paraId="7FC5648B" w14:textId="63EAB8F4" w:rsidR="00EA40CA" w:rsidRDefault="00000000">
      <w:pPr>
        <w:pStyle w:val="TOC1"/>
        <w:rPr>
          <w:rFonts w:asciiTheme="minorHAnsi" w:eastAsiaTheme="minorEastAsia" w:hAnsiTheme="minorHAnsi" w:cstheme="minorBidi"/>
          <w:b w:val="0"/>
          <w:sz w:val="22"/>
          <w:szCs w:val="22"/>
        </w:rPr>
      </w:pPr>
      <w:hyperlink w:anchor="_Toc131579143" w:history="1">
        <w:r w:rsidR="00EA40CA" w:rsidRPr="00EB16E2">
          <w:rPr>
            <w:rStyle w:val="Hyperlink"/>
          </w:rPr>
          <w:t>4</w:t>
        </w:r>
        <w:r w:rsidR="00EA40CA">
          <w:rPr>
            <w:rFonts w:asciiTheme="minorHAnsi" w:eastAsiaTheme="minorEastAsia" w:hAnsiTheme="minorHAnsi" w:cstheme="minorBidi"/>
            <w:b w:val="0"/>
            <w:sz w:val="22"/>
            <w:szCs w:val="22"/>
          </w:rPr>
          <w:tab/>
        </w:r>
        <w:r w:rsidR="00EA40CA" w:rsidRPr="00EB16E2">
          <w:rPr>
            <w:rStyle w:val="Hyperlink"/>
          </w:rPr>
          <w:t>‘Hard cost neutrality’ model</w:t>
        </w:r>
        <w:r w:rsidR="00EA40CA">
          <w:rPr>
            <w:webHidden/>
          </w:rPr>
          <w:tab/>
        </w:r>
        <w:r w:rsidR="00EA40CA">
          <w:rPr>
            <w:webHidden/>
          </w:rPr>
          <w:fldChar w:fldCharType="begin"/>
        </w:r>
        <w:r w:rsidR="00EA40CA">
          <w:rPr>
            <w:webHidden/>
          </w:rPr>
          <w:instrText xml:space="preserve"> PAGEREF _Toc131579143 \h </w:instrText>
        </w:r>
        <w:r w:rsidR="00EA40CA">
          <w:rPr>
            <w:webHidden/>
          </w:rPr>
        </w:r>
        <w:r w:rsidR="00EA40CA">
          <w:rPr>
            <w:webHidden/>
          </w:rPr>
          <w:fldChar w:fldCharType="separate"/>
        </w:r>
        <w:r w:rsidR="008509EC">
          <w:rPr>
            <w:webHidden/>
          </w:rPr>
          <w:t>5</w:t>
        </w:r>
        <w:r w:rsidR="00EA40CA">
          <w:rPr>
            <w:webHidden/>
          </w:rPr>
          <w:fldChar w:fldCharType="end"/>
        </w:r>
      </w:hyperlink>
    </w:p>
    <w:p w14:paraId="52AF2ED7" w14:textId="57DA0FE1" w:rsidR="00EA40CA" w:rsidRDefault="00000000">
      <w:pPr>
        <w:pStyle w:val="TOC1"/>
        <w:rPr>
          <w:rFonts w:asciiTheme="minorHAnsi" w:eastAsiaTheme="minorEastAsia" w:hAnsiTheme="minorHAnsi" w:cstheme="minorBidi"/>
          <w:b w:val="0"/>
          <w:sz w:val="22"/>
          <w:szCs w:val="22"/>
        </w:rPr>
      </w:pPr>
      <w:hyperlink w:anchor="_Toc131579144" w:history="1">
        <w:r w:rsidR="00EA40CA" w:rsidRPr="00EB16E2">
          <w:rPr>
            <w:rStyle w:val="Hyperlink"/>
          </w:rPr>
          <w:t>5</w:t>
        </w:r>
        <w:r w:rsidR="00EA40CA">
          <w:rPr>
            <w:rFonts w:asciiTheme="minorHAnsi" w:eastAsiaTheme="minorEastAsia" w:hAnsiTheme="minorHAnsi" w:cstheme="minorBidi"/>
            <w:b w:val="0"/>
            <w:sz w:val="22"/>
            <w:szCs w:val="22"/>
          </w:rPr>
          <w:tab/>
        </w:r>
        <w:r w:rsidR="00EA40CA" w:rsidRPr="00EB16E2">
          <w:rPr>
            <w:rStyle w:val="Hyperlink"/>
          </w:rPr>
          <w:t>‘Soft cost neutrality’ model</w:t>
        </w:r>
        <w:r w:rsidR="00EA40CA">
          <w:rPr>
            <w:webHidden/>
          </w:rPr>
          <w:tab/>
        </w:r>
        <w:r w:rsidR="00EA40CA">
          <w:rPr>
            <w:webHidden/>
          </w:rPr>
          <w:fldChar w:fldCharType="begin"/>
        </w:r>
        <w:r w:rsidR="00EA40CA">
          <w:rPr>
            <w:webHidden/>
          </w:rPr>
          <w:instrText xml:space="preserve"> PAGEREF _Toc131579144 \h </w:instrText>
        </w:r>
        <w:r w:rsidR="00EA40CA">
          <w:rPr>
            <w:webHidden/>
          </w:rPr>
        </w:r>
        <w:r w:rsidR="00EA40CA">
          <w:rPr>
            <w:webHidden/>
          </w:rPr>
          <w:fldChar w:fldCharType="separate"/>
        </w:r>
        <w:r w:rsidR="008509EC">
          <w:rPr>
            <w:webHidden/>
          </w:rPr>
          <w:t>6</w:t>
        </w:r>
        <w:r w:rsidR="00EA40CA">
          <w:rPr>
            <w:webHidden/>
          </w:rPr>
          <w:fldChar w:fldCharType="end"/>
        </w:r>
      </w:hyperlink>
    </w:p>
    <w:p w14:paraId="25A4E22C" w14:textId="0E83006E" w:rsidR="00EA40CA" w:rsidRDefault="00000000">
      <w:pPr>
        <w:pStyle w:val="TOC1"/>
        <w:rPr>
          <w:rFonts w:asciiTheme="minorHAnsi" w:eastAsiaTheme="minorEastAsia" w:hAnsiTheme="minorHAnsi" w:cstheme="minorBidi"/>
          <w:b w:val="0"/>
          <w:sz w:val="22"/>
          <w:szCs w:val="22"/>
        </w:rPr>
      </w:pPr>
      <w:hyperlink w:anchor="_Toc131579145" w:history="1">
        <w:r w:rsidR="00EA40CA" w:rsidRPr="00EB16E2">
          <w:rPr>
            <w:rStyle w:val="Hyperlink"/>
          </w:rPr>
          <w:t>6</w:t>
        </w:r>
        <w:r w:rsidR="00EA40CA">
          <w:rPr>
            <w:rFonts w:asciiTheme="minorHAnsi" w:eastAsiaTheme="minorEastAsia" w:hAnsiTheme="minorHAnsi" w:cstheme="minorBidi"/>
            <w:b w:val="0"/>
            <w:sz w:val="22"/>
            <w:szCs w:val="22"/>
          </w:rPr>
          <w:tab/>
        </w:r>
        <w:r w:rsidR="00EA40CA" w:rsidRPr="00EB16E2">
          <w:rPr>
            <w:rStyle w:val="Hyperlink"/>
          </w:rPr>
          <w:t>Asymmetrical cost model</w:t>
        </w:r>
        <w:r w:rsidR="00EA40CA">
          <w:rPr>
            <w:webHidden/>
          </w:rPr>
          <w:tab/>
        </w:r>
        <w:r w:rsidR="00EA40CA">
          <w:rPr>
            <w:webHidden/>
          </w:rPr>
          <w:fldChar w:fldCharType="begin"/>
        </w:r>
        <w:r w:rsidR="00EA40CA">
          <w:rPr>
            <w:webHidden/>
          </w:rPr>
          <w:instrText xml:space="preserve"> PAGEREF _Toc131579145 \h </w:instrText>
        </w:r>
        <w:r w:rsidR="00EA40CA">
          <w:rPr>
            <w:webHidden/>
          </w:rPr>
        </w:r>
        <w:r w:rsidR="00EA40CA">
          <w:rPr>
            <w:webHidden/>
          </w:rPr>
          <w:fldChar w:fldCharType="separate"/>
        </w:r>
        <w:r w:rsidR="008509EC">
          <w:rPr>
            <w:webHidden/>
          </w:rPr>
          <w:t>8</w:t>
        </w:r>
        <w:r w:rsidR="00EA40CA">
          <w:rPr>
            <w:webHidden/>
          </w:rPr>
          <w:fldChar w:fldCharType="end"/>
        </w:r>
      </w:hyperlink>
    </w:p>
    <w:p w14:paraId="41857352" w14:textId="66AF004C" w:rsidR="00EA40CA" w:rsidRDefault="00000000">
      <w:pPr>
        <w:pStyle w:val="TOC1"/>
        <w:rPr>
          <w:rFonts w:asciiTheme="minorHAnsi" w:eastAsiaTheme="minorEastAsia" w:hAnsiTheme="minorHAnsi" w:cstheme="minorBidi"/>
          <w:b w:val="0"/>
          <w:sz w:val="22"/>
          <w:szCs w:val="22"/>
        </w:rPr>
      </w:pPr>
      <w:hyperlink w:anchor="_Toc131579146" w:history="1">
        <w:r w:rsidR="00EA40CA" w:rsidRPr="00EB16E2">
          <w:rPr>
            <w:rStyle w:val="Hyperlink"/>
          </w:rPr>
          <w:t>7</w:t>
        </w:r>
        <w:r w:rsidR="00EA40CA">
          <w:rPr>
            <w:rFonts w:asciiTheme="minorHAnsi" w:eastAsiaTheme="minorEastAsia" w:hAnsiTheme="minorHAnsi" w:cstheme="minorBidi"/>
            <w:b w:val="0"/>
            <w:sz w:val="22"/>
            <w:szCs w:val="22"/>
          </w:rPr>
          <w:tab/>
        </w:r>
        <w:r w:rsidR="00EA40CA" w:rsidRPr="00EB16E2">
          <w:rPr>
            <w:rStyle w:val="Hyperlink"/>
          </w:rPr>
          <w:t>‘Applicant’s choice’ model</w:t>
        </w:r>
        <w:r w:rsidR="00EA40CA">
          <w:rPr>
            <w:webHidden/>
          </w:rPr>
          <w:tab/>
        </w:r>
        <w:r w:rsidR="00EA40CA">
          <w:rPr>
            <w:webHidden/>
          </w:rPr>
          <w:fldChar w:fldCharType="begin"/>
        </w:r>
        <w:r w:rsidR="00EA40CA">
          <w:rPr>
            <w:webHidden/>
          </w:rPr>
          <w:instrText xml:space="preserve"> PAGEREF _Toc131579146 \h </w:instrText>
        </w:r>
        <w:r w:rsidR="00EA40CA">
          <w:rPr>
            <w:webHidden/>
          </w:rPr>
        </w:r>
        <w:r w:rsidR="00EA40CA">
          <w:rPr>
            <w:webHidden/>
          </w:rPr>
          <w:fldChar w:fldCharType="separate"/>
        </w:r>
        <w:r w:rsidR="008509EC">
          <w:rPr>
            <w:webHidden/>
          </w:rPr>
          <w:t>9</w:t>
        </w:r>
        <w:r w:rsidR="00EA40CA">
          <w:rPr>
            <w:webHidden/>
          </w:rPr>
          <w:fldChar w:fldCharType="end"/>
        </w:r>
      </w:hyperlink>
    </w:p>
    <w:p w14:paraId="34BC5F4D" w14:textId="5F2D4D44" w:rsidR="00EA40CA" w:rsidRDefault="00000000" w:rsidP="00EA40CA">
      <w:pPr>
        <w:pStyle w:val="TOC1"/>
        <w:rPr>
          <w:rStyle w:val="Hyperlink"/>
        </w:rPr>
      </w:pPr>
      <w:hyperlink w:anchor="_Toc131579147" w:history="1">
        <w:r w:rsidR="00EA40CA" w:rsidRPr="00EB16E2">
          <w:rPr>
            <w:rStyle w:val="Hyperlink"/>
          </w:rPr>
          <w:t>8</w:t>
        </w:r>
        <w:r w:rsidR="00EA40CA">
          <w:rPr>
            <w:rFonts w:asciiTheme="minorHAnsi" w:eastAsiaTheme="minorEastAsia" w:hAnsiTheme="minorHAnsi" w:cstheme="minorBidi"/>
            <w:b w:val="0"/>
            <w:sz w:val="22"/>
            <w:szCs w:val="22"/>
          </w:rPr>
          <w:tab/>
        </w:r>
        <w:r w:rsidR="00EA40CA" w:rsidRPr="00EB16E2">
          <w:rPr>
            <w:rStyle w:val="Hyperlink"/>
          </w:rPr>
          <w:t>Preferred cost model</w:t>
        </w:r>
        <w:r w:rsidR="00EA40CA">
          <w:rPr>
            <w:webHidden/>
          </w:rPr>
          <w:tab/>
        </w:r>
        <w:r w:rsidR="00EA40CA">
          <w:rPr>
            <w:webHidden/>
          </w:rPr>
          <w:fldChar w:fldCharType="begin"/>
        </w:r>
        <w:r w:rsidR="00EA40CA">
          <w:rPr>
            <w:webHidden/>
          </w:rPr>
          <w:instrText xml:space="preserve"> PAGEREF _Toc131579147 \h </w:instrText>
        </w:r>
        <w:r w:rsidR="00EA40CA">
          <w:rPr>
            <w:webHidden/>
          </w:rPr>
        </w:r>
        <w:r w:rsidR="00EA40CA">
          <w:rPr>
            <w:webHidden/>
          </w:rPr>
          <w:fldChar w:fldCharType="separate"/>
        </w:r>
        <w:r w:rsidR="008509EC">
          <w:rPr>
            <w:webHidden/>
          </w:rPr>
          <w:t>10</w:t>
        </w:r>
        <w:r w:rsidR="00EA40CA">
          <w:rPr>
            <w:webHidden/>
          </w:rPr>
          <w:fldChar w:fldCharType="end"/>
        </w:r>
      </w:hyperlink>
    </w:p>
    <w:p w14:paraId="4A0DDEF2" w14:textId="77777777" w:rsidR="00EA40CA" w:rsidRDefault="00EA40CA">
      <w:pPr>
        <w:spacing w:before="0" w:after="0"/>
        <w:rPr>
          <w:rStyle w:val="Hyperlink"/>
          <w:b/>
          <w:noProof/>
        </w:rPr>
      </w:pPr>
      <w:r>
        <w:rPr>
          <w:rStyle w:val="Hyperlink"/>
          <w:noProof/>
        </w:rPr>
        <w:br w:type="page"/>
      </w:r>
    </w:p>
    <w:p w14:paraId="380F767F" w14:textId="04A22AB2" w:rsidR="00510390" w:rsidRDefault="000B5B68" w:rsidP="00A27ABE">
      <w:pPr>
        <w:pStyle w:val="Heading1"/>
      </w:pPr>
      <w:r w:rsidRPr="000465F1">
        <w:lastRenderedPageBreak/>
        <w:fldChar w:fldCharType="end"/>
      </w:r>
      <w:bookmarkStart w:id="9" w:name="_Toc207761830"/>
      <w:bookmarkStart w:id="10" w:name="_Toc209578266"/>
      <w:bookmarkStart w:id="11" w:name="_Toc209941766"/>
      <w:bookmarkStart w:id="12" w:name="_Toc131579140"/>
      <w:r w:rsidR="009F2764" w:rsidRPr="009E08D1">
        <w:t>Introduction</w:t>
      </w:r>
      <w:bookmarkEnd w:id="9"/>
      <w:bookmarkEnd w:id="10"/>
      <w:bookmarkEnd w:id="11"/>
      <w:bookmarkEnd w:id="12"/>
    </w:p>
    <w:p w14:paraId="3F39DFDF" w14:textId="6F551750" w:rsidR="00906D33" w:rsidRDefault="00906D33" w:rsidP="00CC7AB8">
      <w:pPr>
        <w:pStyle w:val="ListNumber"/>
      </w:pPr>
      <w:r w:rsidRPr="003C2EFC">
        <w:t xml:space="preserve">The Australian Human Rights Commission </w:t>
      </w:r>
      <w:r w:rsidR="003C2EFC">
        <w:t xml:space="preserve">(Commission) </w:t>
      </w:r>
      <w:r w:rsidRPr="003C2EFC">
        <w:t>makes this submission to the Attorney</w:t>
      </w:r>
      <w:r w:rsidRPr="003C2EFC">
        <w:noBreakHyphen/>
        <w:t xml:space="preserve">General’s Department </w:t>
      </w:r>
      <w:r w:rsidR="00FA3E25">
        <w:t xml:space="preserve">(AGD) </w:t>
      </w:r>
      <w:r w:rsidRPr="003C2EFC">
        <w:t>in relation to its review into an appropriate cost model for Commonwealth anti</w:t>
      </w:r>
      <w:r w:rsidR="008347CD">
        <w:noBreakHyphen/>
      </w:r>
      <w:r w:rsidRPr="003C2EFC">
        <w:t xml:space="preserve">discrimination laws. </w:t>
      </w:r>
    </w:p>
    <w:p w14:paraId="6006591B" w14:textId="66A5500B" w:rsidR="001A5DC9" w:rsidRDefault="00AE63FC" w:rsidP="00CC7AB8">
      <w:pPr>
        <w:pStyle w:val="ListNumber"/>
      </w:pPr>
      <w:r>
        <w:t xml:space="preserve">The </w:t>
      </w:r>
      <w:r w:rsidR="00185B94">
        <w:t xml:space="preserve">Commission heard in its </w:t>
      </w:r>
      <w:r w:rsidR="00761FC2">
        <w:t>National Inquiry into Sexual Harassment in Australian workplaces (</w:t>
      </w:r>
      <w:proofErr w:type="spellStart"/>
      <w:r>
        <w:t>Respect@Work</w:t>
      </w:r>
      <w:proofErr w:type="spellEnd"/>
      <w:r>
        <w:t xml:space="preserve"> </w:t>
      </w:r>
      <w:r w:rsidR="00185B94">
        <w:t>inquiry</w:t>
      </w:r>
      <w:r w:rsidR="00761FC2">
        <w:t>)</w:t>
      </w:r>
      <w:r w:rsidR="00185B94">
        <w:t xml:space="preserve"> </w:t>
      </w:r>
      <w:r>
        <w:t xml:space="preserve">that the current cost </w:t>
      </w:r>
      <w:r w:rsidR="00185B94">
        <w:t xml:space="preserve">regime in the federal courts </w:t>
      </w:r>
      <w:r>
        <w:t xml:space="preserve">operates as a </w:t>
      </w:r>
      <w:r w:rsidR="00F31495">
        <w:t>significant</w:t>
      </w:r>
      <w:r w:rsidR="006B3470">
        <w:t xml:space="preserve"> </w:t>
      </w:r>
      <w:r>
        <w:t xml:space="preserve">disincentive for </w:t>
      </w:r>
      <w:r w:rsidR="001C1CDF">
        <w:t xml:space="preserve">applicants to pursue sexual harassment matters under the </w:t>
      </w:r>
      <w:r w:rsidR="001C1CDF" w:rsidRPr="001C1CDF">
        <w:rPr>
          <w:i/>
          <w:iCs/>
        </w:rPr>
        <w:t xml:space="preserve">Sex Discrimination Act </w:t>
      </w:r>
      <w:r w:rsidR="001C1CDF" w:rsidRPr="00A67EF1">
        <w:rPr>
          <w:i/>
          <w:iCs/>
        </w:rPr>
        <w:t>1984</w:t>
      </w:r>
      <w:r w:rsidR="001C1CDF">
        <w:t xml:space="preserve"> (</w:t>
      </w:r>
      <w:proofErr w:type="spellStart"/>
      <w:r w:rsidR="001C1CDF">
        <w:t>Cth</w:t>
      </w:r>
      <w:proofErr w:type="spellEnd"/>
      <w:r w:rsidR="001C1CDF">
        <w:t>)</w:t>
      </w:r>
      <w:r w:rsidR="00A67EF1">
        <w:t xml:space="preserve"> (SDA)</w:t>
      </w:r>
      <w:r w:rsidR="00185B94">
        <w:t>, particularly for vulnerable members of the community</w:t>
      </w:r>
      <w:r w:rsidR="001C1CDF">
        <w:t>.</w:t>
      </w:r>
      <w:r w:rsidR="00185B94">
        <w:rPr>
          <w:rStyle w:val="EndnoteReference"/>
        </w:rPr>
        <w:endnoteReference w:id="1"/>
      </w:r>
      <w:r w:rsidR="001C1CDF">
        <w:t xml:space="preserve"> </w:t>
      </w:r>
      <w:r w:rsidR="001A5DC9">
        <w:t xml:space="preserve">The federal courts have generally exercised discretionary powers to make costs orders according to the guiding principle that ‘costs follow the event’. The threat of an adverse costs order </w:t>
      </w:r>
      <w:r w:rsidR="0028152B">
        <w:t xml:space="preserve">is reported to </w:t>
      </w:r>
      <w:r w:rsidR="001A5DC9">
        <w:t xml:space="preserve">discourage the pursuit of legitimate claims. </w:t>
      </w:r>
    </w:p>
    <w:p w14:paraId="02718472" w14:textId="6831A810" w:rsidR="00D515D1" w:rsidRDefault="00D515D1" w:rsidP="00D515D1">
      <w:pPr>
        <w:pStyle w:val="ListNumber"/>
      </w:pPr>
      <w:r>
        <w:t xml:space="preserve">In 2020, the Sex Discrimination Commissioner released the Commission’s </w:t>
      </w:r>
      <w:r w:rsidR="004B49E7">
        <w:t>‘</w:t>
      </w:r>
      <w:proofErr w:type="spellStart"/>
      <w:r>
        <w:t>Respect@Work</w:t>
      </w:r>
      <w:proofErr w:type="spellEnd"/>
      <w:r>
        <w:t xml:space="preserve">: National Inquiry </w:t>
      </w:r>
      <w:r w:rsidR="00761FC2">
        <w:t xml:space="preserve">into Sexual Harassment in Australian workplaces </w:t>
      </w:r>
      <w:r>
        <w:t>Report</w:t>
      </w:r>
      <w:r w:rsidR="004B49E7">
        <w:t>’</w:t>
      </w:r>
      <w:r>
        <w:t xml:space="preserve"> (</w:t>
      </w:r>
      <w:proofErr w:type="spellStart"/>
      <w:r>
        <w:t>Respect@Work</w:t>
      </w:r>
      <w:proofErr w:type="spellEnd"/>
      <w:r>
        <w:t xml:space="preserve"> report).</w:t>
      </w:r>
      <w:r>
        <w:rPr>
          <w:rStyle w:val="EndnoteReference"/>
        </w:rPr>
        <w:endnoteReference w:id="2"/>
      </w:r>
      <w:r>
        <w:t xml:space="preserve"> That report made 55 recommendations.</w:t>
      </w:r>
    </w:p>
    <w:p w14:paraId="762FDD0D" w14:textId="65EDF870" w:rsidR="00774DF5" w:rsidRDefault="00CC2C29" w:rsidP="00CC7AB8">
      <w:pPr>
        <w:pStyle w:val="ListNumber"/>
      </w:pPr>
      <w:r>
        <w:t xml:space="preserve">Recommendation 25 </w:t>
      </w:r>
      <w:r w:rsidR="008C6E23">
        <w:t>proposed</w:t>
      </w:r>
      <w:r w:rsidR="00185B94">
        <w:t xml:space="preserve"> </w:t>
      </w:r>
      <w:r w:rsidR="008C6E23">
        <w:t xml:space="preserve">that the </w:t>
      </w:r>
      <w:r w:rsidR="008C6E23" w:rsidRPr="00785220">
        <w:rPr>
          <w:i/>
          <w:iCs/>
        </w:rPr>
        <w:t>Australian Human Rights Commission Act</w:t>
      </w:r>
      <w:r w:rsidR="00785220">
        <w:t xml:space="preserve"> </w:t>
      </w:r>
      <w:r w:rsidR="00785220" w:rsidRPr="00372E19">
        <w:rPr>
          <w:i/>
          <w:iCs/>
        </w:rPr>
        <w:t>1986</w:t>
      </w:r>
      <w:r w:rsidR="00785220">
        <w:t xml:space="preserve"> (</w:t>
      </w:r>
      <w:proofErr w:type="spellStart"/>
      <w:r w:rsidR="00785220">
        <w:t>Cth</w:t>
      </w:r>
      <w:proofErr w:type="spellEnd"/>
      <w:r w:rsidR="00785220">
        <w:t>)</w:t>
      </w:r>
      <w:r w:rsidR="008C6E23">
        <w:t xml:space="preserve"> </w:t>
      </w:r>
      <w:r w:rsidR="00785220">
        <w:t xml:space="preserve">(AHRC Act) </w:t>
      </w:r>
      <w:r w:rsidR="008C6E23">
        <w:t xml:space="preserve">be amended to insert a cost provision consistent with s 570 of the </w:t>
      </w:r>
      <w:r w:rsidR="008C6E23" w:rsidRPr="008F77A5">
        <w:rPr>
          <w:i/>
          <w:iCs/>
        </w:rPr>
        <w:t>Fair Work Act 2009</w:t>
      </w:r>
      <w:r w:rsidR="008C6E23">
        <w:t xml:space="preserve"> (</w:t>
      </w:r>
      <w:proofErr w:type="spellStart"/>
      <w:r w:rsidR="008C6E23">
        <w:t>Cth</w:t>
      </w:r>
      <w:proofErr w:type="spellEnd"/>
      <w:r w:rsidR="008C6E23">
        <w:t>) (Fair Work Act)</w:t>
      </w:r>
      <w:r w:rsidR="00E40516">
        <w:t xml:space="preserve">, referred to in the </w:t>
      </w:r>
      <w:r w:rsidR="004B49E7">
        <w:t>AGD’s ‘</w:t>
      </w:r>
      <w:r w:rsidR="00E40516">
        <w:t>Consultation Paper</w:t>
      </w:r>
      <w:r w:rsidR="004B49E7">
        <w:t>: Review into an appropriate cost model for Commonwealth anti-discrimination laws’ (Consultation Paper)</w:t>
      </w:r>
      <w:r w:rsidR="00E40516">
        <w:t xml:space="preserve"> as </w:t>
      </w:r>
      <w:r w:rsidR="006453CB">
        <w:t>‘</w:t>
      </w:r>
      <w:r w:rsidR="004B49E7">
        <w:t>h</w:t>
      </w:r>
      <w:r w:rsidR="00E40516">
        <w:t xml:space="preserve">ard </w:t>
      </w:r>
      <w:r w:rsidR="004B49E7">
        <w:t>c</w:t>
      </w:r>
      <w:r w:rsidR="00E40516">
        <w:t xml:space="preserve">ost </w:t>
      </w:r>
      <w:r w:rsidR="004B49E7">
        <w:t>n</w:t>
      </w:r>
      <w:r w:rsidR="00E40516">
        <w:t>eutrality</w:t>
      </w:r>
      <w:r w:rsidR="006453CB">
        <w:t>’</w:t>
      </w:r>
      <w:r w:rsidR="00D67ECD">
        <w:t>.</w:t>
      </w:r>
      <w:r w:rsidR="00372E19" w:rsidRPr="003B41BC">
        <w:rPr>
          <w:vertAlign w:val="superscript"/>
        </w:rPr>
        <w:endnoteReference w:id="3"/>
      </w:r>
    </w:p>
    <w:p w14:paraId="3772D79D" w14:textId="1782D38C" w:rsidR="003B41BC" w:rsidRPr="003B41BC" w:rsidRDefault="00FE3564" w:rsidP="00CC7AB8">
      <w:pPr>
        <w:pStyle w:val="ListNumber"/>
      </w:pPr>
      <w:r>
        <w:t>The</w:t>
      </w:r>
      <w:r w:rsidR="001C1CDF">
        <w:t xml:space="preserve"> </w:t>
      </w:r>
      <w:r w:rsidR="00185B94">
        <w:t xml:space="preserve">Commission’s </w:t>
      </w:r>
      <w:r w:rsidR="003B3CC4">
        <w:t>Free and Equal project</w:t>
      </w:r>
      <w:r>
        <w:t xml:space="preserve"> involved wide consultation on</w:t>
      </w:r>
      <w:r w:rsidR="003B3CC4">
        <w:t xml:space="preserve"> the issue of costs in unlawful discrimination matters</w:t>
      </w:r>
      <w:r w:rsidR="00955BD4">
        <w:t>. Th</w:t>
      </w:r>
      <w:r w:rsidR="000C0743">
        <w:t xml:space="preserve">e Commission’s view on </w:t>
      </w:r>
      <w:r w:rsidR="003B3CC4">
        <w:t>a</w:t>
      </w:r>
      <w:r w:rsidR="00DB02AC">
        <w:t xml:space="preserve">n appropriate </w:t>
      </w:r>
      <w:r w:rsidR="003B3CC4">
        <w:t>cost model</w:t>
      </w:r>
      <w:r w:rsidR="00DB02AC">
        <w:t xml:space="preserve"> to address the issues raised in consultation</w:t>
      </w:r>
      <w:r w:rsidR="003B3CC4">
        <w:t xml:space="preserve"> evolved</w:t>
      </w:r>
      <w:r w:rsidR="000C0743">
        <w:t xml:space="preserve"> to </w:t>
      </w:r>
      <w:r w:rsidR="00DB02AC">
        <w:t xml:space="preserve">recommending </w:t>
      </w:r>
      <w:r w:rsidR="008F77A5">
        <w:t>a cost regime under which the default position would have each party bearing their own costs</w:t>
      </w:r>
      <w:r w:rsidR="00C41010">
        <w:t xml:space="preserve"> with a discretion for the court to award costs in the interests of justice having regard to certain mandatory criteria</w:t>
      </w:r>
      <w:r w:rsidR="00C85D72">
        <w:t>. This model is referred to in the Consultation Paper as</w:t>
      </w:r>
      <w:r w:rsidR="00C41010">
        <w:t xml:space="preserve"> </w:t>
      </w:r>
      <w:r w:rsidR="00C85D72">
        <w:t>‘</w:t>
      </w:r>
      <w:r w:rsidR="004B49E7">
        <w:t>s</w:t>
      </w:r>
      <w:r w:rsidR="00C41010">
        <w:t xml:space="preserve">oft </w:t>
      </w:r>
      <w:r w:rsidR="004B49E7">
        <w:t>c</w:t>
      </w:r>
      <w:r w:rsidR="00C41010">
        <w:t xml:space="preserve">ost </w:t>
      </w:r>
      <w:r w:rsidR="004B49E7">
        <w:t>n</w:t>
      </w:r>
      <w:r w:rsidR="00C41010">
        <w:t>eutrality</w:t>
      </w:r>
      <w:r w:rsidR="00C85D72">
        <w:t>’</w:t>
      </w:r>
      <w:r w:rsidR="008F77A5">
        <w:t>.</w:t>
      </w:r>
      <w:r w:rsidR="00C41010" w:rsidRPr="003B41BC">
        <w:rPr>
          <w:vertAlign w:val="superscript"/>
        </w:rPr>
        <w:endnoteReference w:id="4"/>
      </w:r>
      <w:r w:rsidR="003B41BC" w:rsidRPr="003B41BC">
        <w:t xml:space="preserve"> </w:t>
      </w:r>
    </w:p>
    <w:p w14:paraId="20E3C91D" w14:textId="36136D37" w:rsidR="00FA0312" w:rsidRDefault="00FA0312" w:rsidP="00CC7AB8">
      <w:pPr>
        <w:pStyle w:val="ListNumber"/>
      </w:pPr>
      <w:r>
        <w:t>The Anti</w:t>
      </w:r>
      <w:r>
        <w:noBreakHyphen/>
        <w:t xml:space="preserve">Discrimination and Human Rights Legislation Amendment (Respect at Work) Bill 2022 proposed amendments </w:t>
      </w:r>
      <w:r w:rsidR="00EB01B4">
        <w:t xml:space="preserve">in Schedule 5 </w:t>
      </w:r>
      <w:r>
        <w:t>to implement Recommendation 25</w:t>
      </w:r>
      <w:r w:rsidR="003B41BC">
        <w:t xml:space="preserve"> consistent with the </w:t>
      </w:r>
      <w:r w:rsidR="004B49E7">
        <w:t>s</w:t>
      </w:r>
      <w:r w:rsidR="003B41BC">
        <w:t xml:space="preserve">oft </w:t>
      </w:r>
      <w:r w:rsidR="004B49E7">
        <w:t>c</w:t>
      </w:r>
      <w:r w:rsidR="003B41BC">
        <w:t xml:space="preserve">ost </w:t>
      </w:r>
      <w:r w:rsidR="004B49E7">
        <w:t>n</w:t>
      </w:r>
      <w:r w:rsidR="003B41BC">
        <w:t xml:space="preserve">eutrality approach proposed by the Commission in its </w:t>
      </w:r>
      <w:r w:rsidR="00372E19">
        <w:t>‘</w:t>
      </w:r>
      <w:r w:rsidR="00372E19" w:rsidRPr="00A82CA5">
        <w:t>Free and Equal: A reform agenda for federal discrimination law — Position Paper’</w:t>
      </w:r>
      <w:r w:rsidR="00372E19" w:rsidRPr="00372E19">
        <w:t xml:space="preserve"> (‘</w:t>
      </w:r>
      <w:r w:rsidR="003B41BC" w:rsidRPr="00372E19">
        <w:t>Free and Equal position paper</w:t>
      </w:r>
      <w:r w:rsidR="00372E19" w:rsidRPr="00372E19">
        <w:t>)</w:t>
      </w:r>
      <w:r w:rsidR="003B41BC" w:rsidRPr="00372E19">
        <w:t>.</w:t>
      </w:r>
      <w:r w:rsidR="00372E19">
        <w:rPr>
          <w:rStyle w:val="EndnoteReference"/>
        </w:rPr>
        <w:endnoteReference w:id="5"/>
      </w:r>
      <w:r w:rsidR="003B41BC">
        <w:t xml:space="preserve"> </w:t>
      </w:r>
    </w:p>
    <w:p w14:paraId="62D379CD" w14:textId="716C6F80" w:rsidR="00325D6F" w:rsidRDefault="00325D6F" w:rsidP="00325D6F">
      <w:pPr>
        <w:pStyle w:val="ListNumber"/>
      </w:pPr>
      <w:r>
        <w:lastRenderedPageBreak/>
        <w:t>The Commission provided a submission to the Senate Legal and Constitutional Affairs Committee in October 2022 concerning, amongst other things, the cost model proposed for federal discrimination law matters in the Anti</w:t>
      </w:r>
      <w:r>
        <w:noBreakHyphen/>
        <w:t>Discrimination and Human Rights Legislation Amendment (Respect at Work) Bill 2022.</w:t>
      </w:r>
      <w:r>
        <w:rPr>
          <w:rStyle w:val="EndnoteReference"/>
        </w:rPr>
        <w:endnoteReference w:id="6"/>
      </w:r>
      <w:r>
        <w:t xml:space="preserve"> </w:t>
      </w:r>
      <w:r w:rsidR="001E7E8F">
        <w:t>The Commission supported the costs model proposed in the Bill.</w:t>
      </w:r>
    </w:p>
    <w:p w14:paraId="4187C802" w14:textId="779791CD" w:rsidR="00A82CA5" w:rsidRPr="003C2EFC" w:rsidRDefault="00A82CA5" w:rsidP="00325D6F">
      <w:pPr>
        <w:pStyle w:val="ListNumber"/>
      </w:pPr>
      <w:r>
        <w:t>The amendments in Schedule 5 were removed prior to passage of the Bill, with the government referring the issue of an appropriate costs model to the AGD.</w:t>
      </w:r>
    </w:p>
    <w:p w14:paraId="3033E16F" w14:textId="5759F5DD" w:rsidR="00DD0437" w:rsidRDefault="00961D71" w:rsidP="00CC7AB8">
      <w:pPr>
        <w:pStyle w:val="ListNumber"/>
      </w:pPr>
      <w:r>
        <w:t>This consultation process by t</w:t>
      </w:r>
      <w:r w:rsidR="003B41BC">
        <w:t xml:space="preserve">he </w:t>
      </w:r>
      <w:r w:rsidR="00876532">
        <w:t>AGD</w:t>
      </w:r>
      <w:r w:rsidR="003B41BC">
        <w:t xml:space="preserve"> </w:t>
      </w:r>
      <w:r>
        <w:t xml:space="preserve">is being conducted to determine an appropriate costs protection model for federal unlawful discrimination matters. </w:t>
      </w:r>
      <w:r w:rsidR="004B49E7">
        <w:t xml:space="preserve">The AGD’s Consultation Paper proposes four </w:t>
      </w:r>
      <w:r w:rsidR="00A82CA5">
        <w:t xml:space="preserve">cost </w:t>
      </w:r>
      <w:r w:rsidR="004B49E7">
        <w:t>models</w:t>
      </w:r>
      <w:r w:rsidR="00AF3D0D">
        <w:t xml:space="preserve"> for consideration</w:t>
      </w:r>
      <w:r w:rsidR="004B49E7">
        <w:t xml:space="preserve">: </w:t>
      </w:r>
    </w:p>
    <w:p w14:paraId="2E0FB6ED" w14:textId="2450849F" w:rsidR="004B49E7" w:rsidRDefault="004B49E7" w:rsidP="004B49E7">
      <w:pPr>
        <w:pStyle w:val="ListBullet"/>
      </w:pPr>
      <w:r>
        <w:t>Hard cost neutrality model</w:t>
      </w:r>
    </w:p>
    <w:p w14:paraId="61E87D14" w14:textId="1C7DA1EB" w:rsidR="004B49E7" w:rsidRDefault="004B49E7" w:rsidP="004B49E7">
      <w:pPr>
        <w:pStyle w:val="ListBullet"/>
      </w:pPr>
      <w:r>
        <w:t>Soft cost neutrality model</w:t>
      </w:r>
    </w:p>
    <w:p w14:paraId="09F134C3" w14:textId="3FE5E139" w:rsidR="004B49E7" w:rsidRDefault="004B49E7" w:rsidP="004B49E7">
      <w:pPr>
        <w:pStyle w:val="ListBullet"/>
      </w:pPr>
      <w:r>
        <w:t>Asymmetric cost model</w:t>
      </w:r>
    </w:p>
    <w:p w14:paraId="77BF1EE3" w14:textId="70FE25D0" w:rsidR="004B49E7" w:rsidRDefault="004B49E7" w:rsidP="004B49E7">
      <w:pPr>
        <w:pStyle w:val="ListBullet"/>
      </w:pPr>
      <w:r>
        <w:t>Applicant’s choice model.</w:t>
      </w:r>
    </w:p>
    <w:p w14:paraId="02237091" w14:textId="6D4D72A3" w:rsidR="00785220" w:rsidRDefault="00785220" w:rsidP="009704A3">
      <w:pPr>
        <w:pStyle w:val="Heading1"/>
      </w:pPr>
      <w:bookmarkStart w:id="13" w:name="_Toc131579141"/>
      <w:r>
        <w:t>Recommendation</w:t>
      </w:r>
      <w:r w:rsidR="00270161">
        <w:t>s</w:t>
      </w:r>
      <w:bookmarkEnd w:id="13"/>
    </w:p>
    <w:p w14:paraId="20A44ABD" w14:textId="77777777" w:rsidR="00270161" w:rsidRDefault="00270161" w:rsidP="00270161">
      <w:pPr>
        <w:pStyle w:val="ListNumber"/>
      </w:pPr>
      <w:r w:rsidRPr="00B30585">
        <w:t xml:space="preserve">The Commission </w:t>
      </w:r>
      <w:r>
        <w:t>makes the following recommendations:</w:t>
      </w:r>
      <w:r w:rsidRPr="00B30585">
        <w:t xml:space="preserve"> </w:t>
      </w:r>
    </w:p>
    <w:p w14:paraId="59D3FEB0" w14:textId="77777777" w:rsidR="00270161" w:rsidRPr="00270161" w:rsidRDefault="00270161" w:rsidP="00270161">
      <w:pPr>
        <w:pStyle w:val="ListNumber"/>
        <w:numPr>
          <w:ilvl w:val="0"/>
          <w:numId w:val="0"/>
        </w:numPr>
        <w:ind w:left="567"/>
        <w:rPr>
          <w:b/>
          <w:bCs/>
        </w:rPr>
      </w:pPr>
      <w:r w:rsidRPr="00270161">
        <w:rPr>
          <w:b/>
          <w:bCs/>
        </w:rPr>
        <w:t xml:space="preserve">Recommendation 1 </w:t>
      </w:r>
    </w:p>
    <w:p w14:paraId="34DE9176" w14:textId="77777777" w:rsidR="00270161" w:rsidRDefault="00270161" w:rsidP="00270161">
      <w:pPr>
        <w:pStyle w:val="ListNumber"/>
        <w:numPr>
          <w:ilvl w:val="0"/>
          <w:numId w:val="0"/>
        </w:numPr>
        <w:ind w:left="567"/>
      </w:pPr>
      <w:r>
        <w:t>T</w:t>
      </w:r>
      <w:r w:rsidRPr="00B30585">
        <w:t>he</w:t>
      </w:r>
      <w:r>
        <w:t xml:space="preserve"> Commission recommends that the</w:t>
      </w:r>
      <w:r w:rsidRPr="00B30585">
        <w:t xml:space="preserve"> AHRC Act be amended to insert a cost provision consistent with the ‘soft cost neutrality’ model proposed in the AGD’s Consultation Paper. </w:t>
      </w:r>
    </w:p>
    <w:p w14:paraId="597F2871" w14:textId="77777777" w:rsidR="00270161" w:rsidRPr="00270161" w:rsidRDefault="00270161" w:rsidP="00270161">
      <w:pPr>
        <w:pStyle w:val="ListNumber"/>
        <w:numPr>
          <w:ilvl w:val="0"/>
          <w:numId w:val="0"/>
        </w:numPr>
        <w:ind w:left="567"/>
        <w:rPr>
          <w:b/>
          <w:bCs/>
        </w:rPr>
      </w:pPr>
      <w:r w:rsidRPr="00270161">
        <w:rPr>
          <w:b/>
          <w:bCs/>
        </w:rPr>
        <w:t>Recommendation 2</w:t>
      </w:r>
    </w:p>
    <w:p w14:paraId="7E3F6950" w14:textId="054AC270" w:rsidR="00270161" w:rsidRPr="003423F4" w:rsidRDefault="00270161" w:rsidP="00270161">
      <w:pPr>
        <w:pStyle w:val="ListNumber"/>
        <w:numPr>
          <w:ilvl w:val="0"/>
          <w:numId w:val="0"/>
        </w:numPr>
        <w:ind w:left="567"/>
      </w:pPr>
      <w:r w:rsidRPr="00A82CA5">
        <w:t>The</w:t>
      </w:r>
      <w:r w:rsidR="00A82CA5" w:rsidRPr="00A82CA5">
        <w:t xml:space="preserve"> legislative</w:t>
      </w:r>
      <w:r w:rsidRPr="00A82CA5">
        <w:t xml:space="preserve"> amendments to the AHRC Act </w:t>
      </w:r>
      <w:r w:rsidR="00EA40CA">
        <w:t xml:space="preserve">include a provision requiring a review of the operation of the amendments to </w:t>
      </w:r>
      <w:r w:rsidRPr="00A82CA5">
        <w:t xml:space="preserve">be </w:t>
      </w:r>
      <w:r w:rsidR="00EA40CA">
        <w:t>conducted</w:t>
      </w:r>
      <w:r w:rsidRPr="00A82CA5">
        <w:t xml:space="preserve"> within 5 years of their </w:t>
      </w:r>
      <w:r w:rsidR="00A82CA5" w:rsidRPr="00A82CA5">
        <w:t>commencement</w:t>
      </w:r>
      <w:r w:rsidRPr="00A82CA5">
        <w:t>.</w:t>
      </w:r>
      <w:r>
        <w:t xml:space="preserve"> </w:t>
      </w:r>
    </w:p>
    <w:p w14:paraId="3FD115D1" w14:textId="32EE7C4D" w:rsidR="00AE3A8B" w:rsidRDefault="00AE3A8B" w:rsidP="009704A3">
      <w:pPr>
        <w:pStyle w:val="Heading1"/>
      </w:pPr>
      <w:bookmarkStart w:id="14" w:name="_Toc131579142"/>
      <w:r>
        <w:t>Current model</w:t>
      </w:r>
      <w:bookmarkEnd w:id="14"/>
    </w:p>
    <w:p w14:paraId="54817107" w14:textId="77777777" w:rsidR="00495235" w:rsidRDefault="00EA58EE" w:rsidP="00261154">
      <w:pPr>
        <w:pStyle w:val="ListNumber"/>
      </w:pPr>
      <w:r>
        <w:t>There are presently no specific provisions relating to costs in unlawful discrimination proceedings</w:t>
      </w:r>
      <w:r w:rsidR="00495235">
        <w:t xml:space="preserve"> before the Federal Court of Australia (FCA) or the Federal Circuit and Family Court of Australia (FCFCA). </w:t>
      </w:r>
    </w:p>
    <w:p w14:paraId="01465880" w14:textId="138EEAE6" w:rsidR="002835F0" w:rsidRDefault="006070ED" w:rsidP="002D55D1">
      <w:pPr>
        <w:pStyle w:val="ListNumber"/>
      </w:pPr>
      <w:r>
        <w:t xml:space="preserve">Under </w:t>
      </w:r>
      <w:r w:rsidR="00E50ABF">
        <w:t xml:space="preserve">federal discrimination law, </w:t>
      </w:r>
      <w:r w:rsidR="00AC13BA">
        <w:t>complaints</w:t>
      </w:r>
      <w:r w:rsidR="00E50ABF">
        <w:t xml:space="preserve"> of unlawful discrimination must </w:t>
      </w:r>
      <w:r w:rsidR="00AC13BA">
        <w:t>first be made to the Commission and</w:t>
      </w:r>
      <w:r w:rsidR="00AF3D0D">
        <w:t>, where appropriate,</w:t>
      </w:r>
      <w:r w:rsidR="00B4079B">
        <w:t xml:space="preserve"> conciliated </w:t>
      </w:r>
      <w:r w:rsidR="00B4079B">
        <w:lastRenderedPageBreak/>
        <w:t>to seek to resolve the dispute early. Where the complai</w:t>
      </w:r>
      <w:r w:rsidR="006F5211">
        <w:t>nt is unable to be resolved or is terminated by the Commission</w:t>
      </w:r>
      <w:r w:rsidR="00AF3D0D">
        <w:t xml:space="preserve"> for another reason</w:t>
      </w:r>
      <w:r w:rsidR="006F5211">
        <w:t xml:space="preserve">, the </w:t>
      </w:r>
      <w:r w:rsidR="005C18B2">
        <w:t xml:space="preserve">complainant may commence proceedings in the </w:t>
      </w:r>
      <w:r w:rsidR="00495235">
        <w:t>FCA or the FCFCA</w:t>
      </w:r>
      <w:r w:rsidR="00920214">
        <w:t>.</w:t>
      </w:r>
      <w:r w:rsidR="007239CC">
        <w:t xml:space="preserve"> Depending on the nature of the termination, leave of the court may be required to proceed with the matter to court.</w:t>
      </w:r>
    </w:p>
    <w:p w14:paraId="47EA42CC" w14:textId="719659CB" w:rsidR="002835F0" w:rsidRDefault="00920214" w:rsidP="00261154">
      <w:pPr>
        <w:pStyle w:val="ListNumber"/>
      </w:pPr>
      <w:r>
        <w:t xml:space="preserve">While the federal courts have </w:t>
      </w:r>
      <w:r w:rsidR="00E50DA1">
        <w:t xml:space="preserve">a general discretion to order costs </w:t>
      </w:r>
      <w:r w:rsidR="00095E15">
        <w:t>under the</w:t>
      </w:r>
      <w:r w:rsidR="007561CB">
        <w:t xml:space="preserve"> provisions of their establishing legislation</w:t>
      </w:r>
      <w:r w:rsidR="00515534">
        <w:t xml:space="preserve"> and the power to make </w:t>
      </w:r>
      <w:r w:rsidR="00515534" w:rsidRPr="00033484">
        <w:t>cost</w:t>
      </w:r>
      <w:r w:rsidR="00A3638B" w:rsidRPr="00033484">
        <w:noBreakHyphen/>
        <w:t>capping</w:t>
      </w:r>
      <w:r w:rsidR="00A3638B">
        <w:t xml:space="preserve"> orders</w:t>
      </w:r>
      <w:r w:rsidR="007561CB">
        <w:t>,</w:t>
      </w:r>
      <w:r w:rsidR="007561CB">
        <w:rPr>
          <w:rStyle w:val="EndnoteReference"/>
        </w:rPr>
        <w:endnoteReference w:id="7"/>
      </w:r>
      <w:r w:rsidR="007561CB">
        <w:t xml:space="preserve"> </w:t>
      </w:r>
      <w:r w:rsidR="00941E06">
        <w:t>that discretion is generally exercised according to the principle that ‘costs follow the event’</w:t>
      </w:r>
      <w:r w:rsidR="00DA02B7">
        <w:t xml:space="preserve"> and cost capping orders are seldom made</w:t>
      </w:r>
      <w:r w:rsidR="00941E06">
        <w:t>.</w:t>
      </w:r>
      <w:r w:rsidR="00DA02B7">
        <w:t xml:space="preserve"> This means that</w:t>
      </w:r>
      <w:r w:rsidR="00BC4D21">
        <w:t xml:space="preserve">, ordinarily, the unsuccessful party is required to pay the costs of the successful party. </w:t>
      </w:r>
    </w:p>
    <w:p w14:paraId="3DEE2177" w14:textId="4F42AAAF" w:rsidR="00DB790E" w:rsidRDefault="00066630" w:rsidP="006A5E3A">
      <w:pPr>
        <w:pStyle w:val="ListNumber"/>
      </w:pPr>
      <w:r>
        <w:t>The costs involved in legal proceedings can be considerable</w:t>
      </w:r>
      <w:r w:rsidR="00F63AB9">
        <w:t xml:space="preserve"> and</w:t>
      </w:r>
      <w:r w:rsidR="005D175F">
        <w:t xml:space="preserve"> the Commission heard in consultation that</w:t>
      </w:r>
      <w:r w:rsidR="00F63AB9">
        <w:t xml:space="preserve"> t</w:t>
      </w:r>
      <w:r w:rsidR="00306876">
        <w:t xml:space="preserve">he </w:t>
      </w:r>
      <w:r w:rsidR="002D5A9C">
        <w:t xml:space="preserve">threat of an adverse costs order </w:t>
      </w:r>
      <w:r w:rsidR="000A0FC7">
        <w:t xml:space="preserve">may </w:t>
      </w:r>
      <w:r w:rsidR="00CD4D3C">
        <w:t xml:space="preserve">discourage the pursuit of legitimate discrimination claims in the courts. </w:t>
      </w:r>
    </w:p>
    <w:p w14:paraId="17C6BBF8" w14:textId="3FD497B9" w:rsidR="00245765" w:rsidRDefault="00245765" w:rsidP="009029A5">
      <w:pPr>
        <w:pStyle w:val="ListNumber"/>
      </w:pPr>
      <w:r>
        <w:t xml:space="preserve">The Commission heard in its </w:t>
      </w:r>
      <w:proofErr w:type="spellStart"/>
      <w:r>
        <w:t>Respect@Work</w:t>
      </w:r>
      <w:proofErr w:type="spellEnd"/>
      <w:r>
        <w:t xml:space="preserve"> inquiry that the current cost regime in the federal courts operates as a significant </w:t>
      </w:r>
      <w:r w:rsidR="00330D34">
        <w:t xml:space="preserve">deterrent to people in deciding whether to </w:t>
      </w:r>
      <w:r>
        <w:t xml:space="preserve">pursue sexual harassment matters under the </w:t>
      </w:r>
      <w:r w:rsidR="009C2315">
        <w:t>SDA</w:t>
      </w:r>
      <w:r w:rsidR="00330D34">
        <w:t xml:space="preserve"> in the federal courts</w:t>
      </w:r>
      <w:r>
        <w:t>, particularly for vulnerable members of the community.</w:t>
      </w:r>
      <w:r>
        <w:rPr>
          <w:rStyle w:val="EndnoteReference"/>
        </w:rPr>
        <w:endnoteReference w:id="8"/>
      </w:r>
      <w:r w:rsidR="009029A5">
        <w:t xml:space="preserve"> </w:t>
      </w:r>
      <w:r w:rsidR="000818C7">
        <w:t>Similar concerns were expressed in the Commission</w:t>
      </w:r>
      <w:r w:rsidR="000502E9">
        <w:t xml:space="preserve">’s </w:t>
      </w:r>
      <w:r w:rsidR="00DE5A79">
        <w:t xml:space="preserve">consultation </w:t>
      </w:r>
      <w:r w:rsidR="000502E9">
        <w:t xml:space="preserve">for its Free and Equal project, which looked at the reform of federal discrimination law more broadly. </w:t>
      </w:r>
      <w:r w:rsidR="00E73334">
        <w:t xml:space="preserve">Each of those inquiries recommended legislative reforms to </w:t>
      </w:r>
      <w:r w:rsidR="00A8747F">
        <w:t xml:space="preserve">the AHRC Act to </w:t>
      </w:r>
      <w:r w:rsidR="00E73334">
        <w:t xml:space="preserve">adopt </w:t>
      </w:r>
      <w:r w:rsidR="007C18E8">
        <w:t>cost</w:t>
      </w:r>
      <w:r w:rsidR="00AC631A">
        <w:t>s</w:t>
      </w:r>
      <w:r w:rsidR="007C18E8">
        <w:t xml:space="preserve"> provisions which would apply across </w:t>
      </w:r>
      <w:proofErr w:type="gramStart"/>
      <w:r w:rsidR="007C18E8">
        <w:t>all of</w:t>
      </w:r>
      <w:proofErr w:type="gramEnd"/>
      <w:r w:rsidR="007C18E8">
        <w:t xml:space="preserve"> the federal discrimination laws </w:t>
      </w:r>
      <w:r w:rsidR="0029727A">
        <w:t xml:space="preserve">to </w:t>
      </w:r>
      <w:r w:rsidR="00D635D8">
        <w:t xml:space="preserve">reduce barriers to legal proceedings </w:t>
      </w:r>
      <w:r w:rsidR="00211DB1">
        <w:t xml:space="preserve">in the federal courts </w:t>
      </w:r>
      <w:r w:rsidR="00D635D8">
        <w:t xml:space="preserve">and </w:t>
      </w:r>
      <w:r w:rsidR="0029727A">
        <w:t xml:space="preserve">facilitate greater access to justice. </w:t>
      </w:r>
    </w:p>
    <w:p w14:paraId="6E37DAB1" w14:textId="25EF5F20" w:rsidR="00E2699F" w:rsidRPr="00270161" w:rsidRDefault="00C257E1" w:rsidP="00287ACC">
      <w:pPr>
        <w:pStyle w:val="ListNumber"/>
      </w:pPr>
      <w:r w:rsidRPr="00270161">
        <w:t xml:space="preserve">The Commission acknowledges that </w:t>
      </w:r>
      <w:r w:rsidR="009A7C56" w:rsidRPr="00270161">
        <w:t>the question of an appropriate cost model</w:t>
      </w:r>
      <w:r w:rsidR="00232454" w:rsidRPr="00270161">
        <w:t xml:space="preserve"> that is </w:t>
      </w:r>
      <w:r w:rsidR="00B53A5C" w:rsidRPr="00270161">
        <w:t>fair, certain and facilitates access to justice</w:t>
      </w:r>
      <w:r w:rsidR="00211DB1">
        <w:t>,</w:t>
      </w:r>
      <w:r w:rsidR="009A7C56" w:rsidRPr="00270161">
        <w:t xml:space="preserve"> is complex and reasonable minds </w:t>
      </w:r>
      <w:r w:rsidR="00B53A5C" w:rsidRPr="00270161">
        <w:t xml:space="preserve">may </w:t>
      </w:r>
      <w:r w:rsidR="009A7C56" w:rsidRPr="00270161">
        <w:t>differ</w:t>
      </w:r>
      <w:r w:rsidR="00B53A5C" w:rsidRPr="00270161">
        <w:t xml:space="preserve"> on the best model</w:t>
      </w:r>
      <w:r w:rsidR="009D4536" w:rsidRPr="00270161">
        <w:t xml:space="preserve">. What is clear, however, is that reform is </w:t>
      </w:r>
      <w:proofErr w:type="gramStart"/>
      <w:r w:rsidR="009D4536" w:rsidRPr="00270161">
        <w:t>necessary</w:t>
      </w:r>
      <w:proofErr w:type="gramEnd"/>
      <w:r w:rsidR="001839B6" w:rsidRPr="00270161">
        <w:t xml:space="preserve"> and, in the Commission’s view, a holistic approach must be </w:t>
      </w:r>
      <w:r w:rsidR="00C91F34" w:rsidRPr="00270161">
        <w:t>taken</w:t>
      </w:r>
      <w:r w:rsidR="00D02FAF" w:rsidRPr="00270161">
        <w:t xml:space="preserve"> </w:t>
      </w:r>
      <w:r w:rsidR="000F7A7D" w:rsidRPr="00270161">
        <w:t>to ensure</w:t>
      </w:r>
      <w:r w:rsidR="00C91F34" w:rsidRPr="00270161">
        <w:t xml:space="preserve"> that</w:t>
      </w:r>
      <w:r w:rsidR="000F7A7D" w:rsidRPr="00270161">
        <w:t xml:space="preserve"> the model adopted </w:t>
      </w:r>
      <w:r w:rsidR="006871D8" w:rsidRPr="00270161">
        <w:t xml:space="preserve">is balanced </w:t>
      </w:r>
      <w:r w:rsidR="006871D8" w:rsidRPr="00372E19">
        <w:t xml:space="preserve">and </w:t>
      </w:r>
      <w:r w:rsidR="00E2699F" w:rsidRPr="00372E19">
        <w:t xml:space="preserve">takes account of </w:t>
      </w:r>
      <w:r w:rsidR="00DE5A79">
        <w:t xml:space="preserve">all </w:t>
      </w:r>
      <w:r w:rsidR="001F0C78" w:rsidRPr="00372E19">
        <w:t>the</w:t>
      </w:r>
      <w:r w:rsidR="00E2699F" w:rsidRPr="00372E19">
        <w:t xml:space="preserve"> claims that may arise under</w:t>
      </w:r>
      <w:r w:rsidR="00C91F34" w:rsidRPr="00372E19">
        <w:t xml:space="preserve"> each of</w:t>
      </w:r>
      <w:r w:rsidR="00E2699F" w:rsidRPr="00372E19">
        <w:t xml:space="preserve"> the federal discrimination laws</w:t>
      </w:r>
      <w:r w:rsidR="00C4591E" w:rsidRPr="00270161">
        <w:t xml:space="preserve">. </w:t>
      </w:r>
    </w:p>
    <w:p w14:paraId="5AE62857" w14:textId="069C9371" w:rsidR="00D11826" w:rsidRDefault="0067598F" w:rsidP="009704A3">
      <w:pPr>
        <w:pStyle w:val="Heading1"/>
      </w:pPr>
      <w:bookmarkStart w:id="15" w:name="_Toc131579143"/>
      <w:r>
        <w:t>‘Hard cost neutrality’ model</w:t>
      </w:r>
      <w:bookmarkEnd w:id="15"/>
    </w:p>
    <w:p w14:paraId="72369E09" w14:textId="77675CE5" w:rsidR="00445EBB" w:rsidRDefault="00D635D8" w:rsidP="009029A5">
      <w:pPr>
        <w:pStyle w:val="ListNumber"/>
      </w:pPr>
      <w:r>
        <w:t>The</w:t>
      </w:r>
      <w:r w:rsidR="009A2E50">
        <w:t xml:space="preserve"> Commission</w:t>
      </w:r>
      <w:r>
        <w:t xml:space="preserve"> recommended </w:t>
      </w:r>
      <w:r w:rsidR="009A2E50">
        <w:t xml:space="preserve">in </w:t>
      </w:r>
      <w:r w:rsidR="009029A5">
        <w:t xml:space="preserve">its </w:t>
      </w:r>
      <w:proofErr w:type="spellStart"/>
      <w:r w:rsidR="009029A5">
        <w:t>Respect@Work</w:t>
      </w:r>
      <w:proofErr w:type="spellEnd"/>
      <w:r w:rsidR="009029A5">
        <w:t xml:space="preserve"> report that the AHRC Act be amended to insert a cost provision consistent with s 570 of the </w:t>
      </w:r>
      <w:r w:rsidR="009029A5" w:rsidRPr="009029A5">
        <w:t>Fair Work Act</w:t>
      </w:r>
      <w:r w:rsidR="006453CB">
        <w:t xml:space="preserve">. </w:t>
      </w:r>
    </w:p>
    <w:p w14:paraId="1639C26F" w14:textId="7ECF31FB" w:rsidR="006453CB" w:rsidRDefault="006453CB" w:rsidP="009029A5">
      <w:pPr>
        <w:pStyle w:val="ListNumber"/>
      </w:pPr>
      <w:r>
        <w:t xml:space="preserve">Section 570 of the </w:t>
      </w:r>
      <w:r w:rsidRPr="008F77A5">
        <w:t>Fair Work Act</w:t>
      </w:r>
      <w:r>
        <w:t xml:space="preserve"> provides that costs may only be ordered against a party by the court if satisfied that the party instituted the </w:t>
      </w:r>
      <w:r>
        <w:lastRenderedPageBreak/>
        <w:t xml:space="preserve">proceedings vexatiously or </w:t>
      </w:r>
      <w:r w:rsidRPr="009029A5">
        <w:t>without reasonable cause, or if the court is satisfied that a party’s unreasonable act or omission caused the other party to incur costs, or if the court is satisfied that the party unreasonably refused to participate in a matter before the Fair Work Commission and the matter arose from the same facts as the court proceedings</w:t>
      </w:r>
      <w:r w:rsidR="009029A5">
        <w:t>. This approach is referred to in the Consultation Paper as ‘</w:t>
      </w:r>
      <w:r w:rsidR="00270161">
        <w:t>h</w:t>
      </w:r>
      <w:r>
        <w:t xml:space="preserve">ard </w:t>
      </w:r>
      <w:r w:rsidR="00270161">
        <w:t>c</w:t>
      </w:r>
      <w:r>
        <w:t xml:space="preserve">ost </w:t>
      </w:r>
      <w:r w:rsidR="00270161">
        <w:t>n</w:t>
      </w:r>
      <w:r>
        <w:t>eutrality</w:t>
      </w:r>
      <w:r w:rsidR="009029A5">
        <w:t>’.</w:t>
      </w:r>
    </w:p>
    <w:p w14:paraId="36F0A4F3" w14:textId="63DCF22D" w:rsidR="00445EBB" w:rsidRDefault="00163460" w:rsidP="00B61911">
      <w:pPr>
        <w:pStyle w:val="ListNumber"/>
      </w:pPr>
      <w:r>
        <w:t xml:space="preserve">This </w:t>
      </w:r>
      <w:r w:rsidR="00270161">
        <w:t>model</w:t>
      </w:r>
      <w:r>
        <w:t xml:space="preserve"> operates in </w:t>
      </w:r>
      <w:proofErr w:type="gramStart"/>
      <w:r>
        <w:t>a number of</w:t>
      </w:r>
      <w:proofErr w:type="gramEnd"/>
      <w:r>
        <w:t xml:space="preserve"> jurisdictions and </w:t>
      </w:r>
      <w:r w:rsidR="00D635D8">
        <w:t>signi</w:t>
      </w:r>
      <w:r>
        <w:t>ficantly reduces the risk of an adverse costs order</w:t>
      </w:r>
      <w:r w:rsidR="00D635D8">
        <w:t xml:space="preserve"> </w:t>
      </w:r>
      <w:r w:rsidR="00F90940">
        <w:t xml:space="preserve">and </w:t>
      </w:r>
      <w:r w:rsidR="00D25C49">
        <w:t xml:space="preserve">provides </w:t>
      </w:r>
      <w:r w:rsidR="00B61911">
        <w:t>great</w:t>
      </w:r>
      <w:r w:rsidR="00D635D8">
        <w:t>er</w:t>
      </w:r>
      <w:r w:rsidR="00B61911">
        <w:t xml:space="preserve"> certainty to the parties</w:t>
      </w:r>
      <w:r>
        <w:t xml:space="preserve">. </w:t>
      </w:r>
    </w:p>
    <w:p w14:paraId="5C007B4D" w14:textId="0F85F903" w:rsidR="00B61911" w:rsidRDefault="00163460" w:rsidP="00B42F12">
      <w:pPr>
        <w:pStyle w:val="ListNumber"/>
      </w:pPr>
      <w:r>
        <w:t>The Commission’s Free and Equal project involved wide consultation on the issue of costs in unlawful discrimination matters</w:t>
      </w:r>
      <w:r w:rsidR="00F90940">
        <w:t xml:space="preserve"> across all four federal Discrimination Acts</w:t>
      </w:r>
      <w:r>
        <w:t xml:space="preserve">. </w:t>
      </w:r>
      <w:r w:rsidR="00B61911">
        <w:t xml:space="preserve">It heard concerns about this model, including that this approach </w:t>
      </w:r>
      <w:r w:rsidR="00DE33EE">
        <w:t xml:space="preserve">would require the applicant to bear their own costs even where they </w:t>
      </w:r>
      <w:r w:rsidR="00F90940">
        <w:t xml:space="preserve">were </w:t>
      </w:r>
      <w:r w:rsidR="00DE33EE">
        <w:t xml:space="preserve">successful in their claim and that it </w:t>
      </w:r>
      <w:r w:rsidR="00B61911">
        <w:t xml:space="preserve">might have the unintended consequence of reducing the </w:t>
      </w:r>
      <w:r w:rsidR="005865A2">
        <w:t xml:space="preserve">willingness of lawyers to represent clients in unlawful discrimination matters where they are unable to </w:t>
      </w:r>
      <w:r w:rsidR="006C4F3D">
        <w:t xml:space="preserve">be reimbursed for </w:t>
      </w:r>
      <w:r w:rsidR="005865A2">
        <w:t>their own legal costs.</w:t>
      </w:r>
    </w:p>
    <w:p w14:paraId="50DB3AE7" w14:textId="11DE0F99" w:rsidR="00163460" w:rsidRPr="00C2531A" w:rsidRDefault="00B61911" w:rsidP="00163460">
      <w:pPr>
        <w:pStyle w:val="ListNumber"/>
      </w:pPr>
      <w:r w:rsidRPr="00C2531A">
        <w:t xml:space="preserve">For the reasons set out in the </w:t>
      </w:r>
      <w:r w:rsidRPr="00A82CA5">
        <w:t>Free and Equal position paper</w:t>
      </w:r>
      <w:r w:rsidRPr="00C2531A">
        <w:t>,</w:t>
      </w:r>
      <w:r w:rsidRPr="00C2531A">
        <w:rPr>
          <w:rStyle w:val="EndnoteReference"/>
        </w:rPr>
        <w:endnoteReference w:id="9"/>
      </w:r>
      <w:r w:rsidRPr="00C2531A">
        <w:t xml:space="preserve"> t</w:t>
      </w:r>
      <w:r w:rsidR="00163460" w:rsidRPr="00C2531A">
        <w:t xml:space="preserve">he Commission’s view on an appropriate cost model to address the issues raised in consultation evolved to a cost regime </w:t>
      </w:r>
      <w:r w:rsidRPr="00C2531A">
        <w:t>that is referred to in the Consultation Paper as a</w:t>
      </w:r>
      <w:r w:rsidR="00163460" w:rsidRPr="00C2531A">
        <w:t xml:space="preserve"> ‘</w:t>
      </w:r>
      <w:r w:rsidR="00C2531A">
        <w:t>s</w:t>
      </w:r>
      <w:r w:rsidR="00163460" w:rsidRPr="00C2531A">
        <w:t xml:space="preserve">oft </w:t>
      </w:r>
      <w:r w:rsidR="00C2531A">
        <w:t>c</w:t>
      </w:r>
      <w:r w:rsidR="00163460" w:rsidRPr="00C2531A">
        <w:t xml:space="preserve">ost </w:t>
      </w:r>
      <w:r w:rsidR="00C2531A">
        <w:t>n</w:t>
      </w:r>
      <w:r w:rsidR="00163460" w:rsidRPr="00C2531A">
        <w:t>eutrality’</w:t>
      </w:r>
      <w:r w:rsidRPr="00C2531A">
        <w:t xml:space="preserve"> model</w:t>
      </w:r>
      <w:r w:rsidR="00163460" w:rsidRPr="00C2531A">
        <w:t>.</w:t>
      </w:r>
      <w:r w:rsidR="00163460" w:rsidRPr="00C2531A">
        <w:rPr>
          <w:vertAlign w:val="superscript"/>
        </w:rPr>
        <w:endnoteReference w:id="10"/>
      </w:r>
      <w:r w:rsidR="00163460" w:rsidRPr="00C2531A">
        <w:t xml:space="preserve"> </w:t>
      </w:r>
      <w:r w:rsidR="00270161">
        <w:t xml:space="preserve">This view has not changed. </w:t>
      </w:r>
    </w:p>
    <w:p w14:paraId="0DBFD6F7" w14:textId="77777777" w:rsidR="00261154" w:rsidRDefault="00261154" w:rsidP="00261154">
      <w:pPr>
        <w:pStyle w:val="Heading1"/>
      </w:pPr>
      <w:bookmarkStart w:id="16" w:name="_Toc131579144"/>
      <w:r>
        <w:t>‘Soft cost neutrality’ model</w:t>
      </w:r>
      <w:bookmarkEnd w:id="16"/>
      <w:r>
        <w:t xml:space="preserve"> </w:t>
      </w:r>
    </w:p>
    <w:p w14:paraId="38973CD4" w14:textId="278C9E9B" w:rsidR="005865A2" w:rsidRDefault="00261154" w:rsidP="00261154">
      <w:pPr>
        <w:pStyle w:val="ListNumber"/>
      </w:pPr>
      <w:r>
        <w:t xml:space="preserve">The </w:t>
      </w:r>
      <w:r w:rsidR="005865A2">
        <w:t xml:space="preserve">Commission’s </w:t>
      </w:r>
      <w:r>
        <w:t>Free and Equal position paper proposed a cost regime for unlawful discrimination matters under which the default position would have each party bearing their own costs with a discretion for the court to award costs in the interests of justice having regard to certain mandatory criteria.</w:t>
      </w:r>
      <w:r w:rsidRPr="003B41BC">
        <w:rPr>
          <w:vertAlign w:val="superscript"/>
        </w:rPr>
        <w:endnoteReference w:id="11"/>
      </w:r>
      <w:r>
        <w:t xml:space="preserve"> </w:t>
      </w:r>
      <w:r w:rsidR="005865A2">
        <w:t>This approach is referred to in the Consultation Paper as the ‘</w:t>
      </w:r>
      <w:r w:rsidR="00C2531A">
        <w:t>s</w:t>
      </w:r>
      <w:r w:rsidR="005865A2">
        <w:t xml:space="preserve">oft </w:t>
      </w:r>
      <w:r w:rsidR="00C2531A">
        <w:t>c</w:t>
      </w:r>
      <w:r w:rsidR="005865A2">
        <w:t xml:space="preserve">ost </w:t>
      </w:r>
      <w:r w:rsidR="00C2531A">
        <w:t>n</w:t>
      </w:r>
      <w:r w:rsidR="005865A2">
        <w:t>eutrality’ model</w:t>
      </w:r>
      <w:r w:rsidR="004735CC">
        <w:t xml:space="preserve"> and was the model </w:t>
      </w:r>
      <w:r w:rsidR="00270161">
        <w:t xml:space="preserve">reflected in the amendments </w:t>
      </w:r>
      <w:r w:rsidR="004735CC">
        <w:t>proposed in the Anti</w:t>
      </w:r>
      <w:r w:rsidR="004735CC">
        <w:noBreakHyphen/>
        <w:t>Discrimination and Human Rights Legislation Amendment (Respect at Work) Bill 2022</w:t>
      </w:r>
      <w:r w:rsidR="005865A2">
        <w:t>.</w:t>
      </w:r>
      <w:r w:rsidR="00A82CA5">
        <w:rPr>
          <w:rStyle w:val="EndnoteReference"/>
        </w:rPr>
        <w:endnoteReference w:id="12"/>
      </w:r>
      <w:r w:rsidR="006A0F4B">
        <w:t xml:space="preserve"> This model in turn was similar to the one set out in s 117(2A) of the </w:t>
      </w:r>
      <w:r w:rsidR="006A0F4B" w:rsidRPr="006A0F4B">
        <w:rPr>
          <w:i/>
          <w:iCs/>
        </w:rPr>
        <w:t xml:space="preserve">Family Law Act 1975 </w:t>
      </w:r>
      <w:r w:rsidR="006A0F4B">
        <w:t>(</w:t>
      </w:r>
      <w:proofErr w:type="spellStart"/>
      <w:r w:rsidR="006A0F4B">
        <w:t>Cth</w:t>
      </w:r>
      <w:proofErr w:type="spellEnd"/>
      <w:r w:rsidR="006A0F4B">
        <w:t>).</w:t>
      </w:r>
    </w:p>
    <w:p w14:paraId="38EFD662" w14:textId="08250109" w:rsidR="004735CC" w:rsidRDefault="004735CC" w:rsidP="00261154">
      <w:pPr>
        <w:pStyle w:val="ListNumber"/>
      </w:pPr>
      <w:r>
        <w:t xml:space="preserve">The Bill proposed that </w:t>
      </w:r>
      <w:r w:rsidR="00C2531A">
        <w:t xml:space="preserve">the </w:t>
      </w:r>
      <w:r>
        <w:t xml:space="preserve">court must have regard to the following criteria in its consideration of whether to </w:t>
      </w:r>
      <w:r w:rsidR="00C2531A">
        <w:t xml:space="preserve">deviate from the default position that each party bear their own costs and </w:t>
      </w:r>
      <w:r>
        <w:t xml:space="preserve">award costs in the interests of justice: </w:t>
      </w:r>
    </w:p>
    <w:p w14:paraId="59EC0DB5" w14:textId="40D19350" w:rsidR="00377DFD" w:rsidRPr="00377DFD" w:rsidRDefault="00377DFD" w:rsidP="00377DFD">
      <w:pPr>
        <w:pStyle w:val="ListBullet"/>
      </w:pPr>
      <w:r w:rsidRPr="00377DFD">
        <w:t xml:space="preserve">the financial circumstances of each of the parties to the proceedings </w:t>
      </w:r>
    </w:p>
    <w:p w14:paraId="4FD6B1EB" w14:textId="6FA1E65A" w:rsidR="00377DFD" w:rsidRPr="00377DFD" w:rsidRDefault="00377DFD" w:rsidP="00377DFD">
      <w:pPr>
        <w:pStyle w:val="ListBullet"/>
      </w:pPr>
      <w:r w:rsidRPr="00377DFD">
        <w:lastRenderedPageBreak/>
        <w:t>the conduct of the parties to the proceedings (including any conduct of the parties in dealings with the Commission)</w:t>
      </w:r>
    </w:p>
    <w:p w14:paraId="7A74640D" w14:textId="283915DB" w:rsidR="00377DFD" w:rsidRPr="00377DFD" w:rsidRDefault="00377DFD" w:rsidP="00377DFD">
      <w:pPr>
        <w:pStyle w:val="ListBullet"/>
      </w:pPr>
      <w:r w:rsidRPr="00377DFD">
        <w:t>whether any party to the proceedings has been wholly unsuccessful in the proceedings</w:t>
      </w:r>
    </w:p>
    <w:p w14:paraId="5112FF56" w14:textId="2B4F1FB1" w:rsidR="00377DFD" w:rsidRDefault="00377DFD" w:rsidP="00377DFD">
      <w:pPr>
        <w:pStyle w:val="ListBullet"/>
      </w:pPr>
      <w:r w:rsidRPr="00377DFD">
        <w:t>whether any party to the proceedings has made an offer in writing to another party to the proceedings to settle</w:t>
      </w:r>
      <w:r>
        <w:t xml:space="preserve"> the proceedings or the matter the subject of the complaint and, if so, the terms of any offer</w:t>
      </w:r>
    </w:p>
    <w:p w14:paraId="44C86CA4" w14:textId="2D9A0F0E" w:rsidR="00377DFD" w:rsidRDefault="00377DFD" w:rsidP="00377DFD">
      <w:pPr>
        <w:pStyle w:val="ListBullet"/>
      </w:pPr>
      <w:r>
        <w:t>whether the subject matter of the proceedings involves an issue of public importance</w:t>
      </w:r>
    </w:p>
    <w:p w14:paraId="00E76521" w14:textId="47D138FC" w:rsidR="005865A2" w:rsidRDefault="00377DFD" w:rsidP="00270161">
      <w:pPr>
        <w:pStyle w:val="ListBullet"/>
      </w:pPr>
      <w:r>
        <w:t xml:space="preserve">any other matters that the court considers relevant. </w:t>
      </w:r>
    </w:p>
    <w:p w14:paraId="113E392B" w14:textId="2B0629BC" w:rsidR="00325D6F" w:rsidRDefault="004A315F" w:rsidP="004A315F">
      <w:pPr>
        <w:pStyle w:val="ListNumber"/>
      </w:pPr>
      <w:r>
        <w:t>Some of the concerns with this model raised in the Consultation Paper include that the approach does not go far enough to overcome the deterrent effect of an adverse costs order and does not provide sufficient certainty to applicants on how costs are to be awarded.</w:t>
      </w:r>
      <w:r w:rsidR="00270161">
        <w:t xml:space="preserve"> </w:t>
      </w:r>
    </w:p>
    <w:p w14:paraId="5C94DCA5" w14:textId="5B6C7118" w:rsidR="004A315F" w:rsidRDefault="00270161" w:rsidP="00DF661F">
      <w:pPr>
        <w:pStyle w:val="ListNumber"/>
      </w:pPr>
      <w:r>
        <w:t xml:space="preserve">In the Commission’s view, this model expands on the ‘hard cost neutrality’ approach and allows </w:t>
      </w:r>
      <w:r w:rsidRPr="003B41BC">
        <w:t xml:space="preserve">for a more nuanced and flexible assessment of costs </w:t>
      </w:r>
      <w:r>
        <w:t>in</w:t>
      </w:r>
      <w:r w:rsidRPr="003B41BC">
        <w:t xml:space="preserve"> the interests of justice in individual matters</w:t>
      </w:r>
      <w:r w:rsidR="00DF661F">
        <w:t>, including by allowing a successful applicant the opportunity to recover their costs</w:t>
      </w:r>
      <w:r>
        <w:t>.</w:t>
      </w:r>
      <w:r w:rsidR="004A315F">
        <w:t xml:space="preserve"> </w:t>
      </w:r>
      <w:r>
        <w:t>While that flexibility necessarily reduces the degree of certainty of how costs may be awarded,</w:t>
      </w:r>
      <w:r w:rsidR="00325D6F">
        <w:t xml:space="preserve"> the discretion of the court is limited to making an award of costs ‘in the interests of justice’ </w:t>
      </w:r>
      <w:r w:rsidR="00355959">
        <w:t xml:space="preserve">having regard to the </w:t>
      </w:r>
      <w:proofErr w:type="gramStart"/>
      <w:r w:rsidR="00355959">
        <w:t>particular circumstances</w:t>
      </w:r>
      <w:proofErr w:type="gramEnd"/>
      <w:r w:rsidR="00355959">
        <w:t xml:space="preserve"> of the case </w:t>
      </w:r>
      <w:r w:rsidR="00325D6F">
        <w:t>and guidance is provided to the court by way of mandatory considerations. T</w:t>
      </w:r>
      <w:r w:rsidR="004A315F">
        <w:t>he Explanatory Memorandum to the Bill provided some illustrative examples that would</w:t>
      </w:r>
      <w:r w:rsidR="00325D6F">
        <w:t xml:space="preserve"> also</w:t>
      </w:r>
      <w:r w:rsidR="004A315F">
        <w:t xml:space="preserve"> provide guidance to the courts on the intended operation of the proposed provisions,</w:t>
      </w:r>
      <w:r w:rsidR="004A315F">
        <w:rPr>
          <w:rStyle w:val="EndnoteReference"/>
        </w:rPr>
        <w:endnoteReference w:id="13"/>
      </w:r>
      <w:r w:rsidR="004A315F">
        <w:t xml:space="preserve"> and greater certainty would be developed over time with the application of the law by the courts. In addition, the Commission considers it </w:t>
      </w:r>
      <w:r w:rsidR="00635F92">
        <w:t xml:space="preserve">may be </w:t>
      </w:r>
      <w:r w:rsidR="004A315F">
        <w:t>appropriate that a review of the operation of the cost provisions be conducted within 5 years</w:t>
      </w:r>
      <w:r w:rsidR="00AC0E92">
        <w:t xml:space="preserve"> to ensure the provisions are operating as intended</w:t>
      </w:r>
      <w:r w:rsidR="004A315F">
        <w:t xml:space="preserve">. </w:t>
      </w:r>
    </w:p>
    <w:p w14:paraId="07270E8F" w14:textId="7042C9FA" w:rsidR="004A315F" w:rsidRDefault="004A315F" w:rsidP="00BC31D0">
      <w:pPr>
        <w:pStyle w:val="ListNumber"/>
      </w:pPr>
      <w:r>
        <w:t>Overall,</w:t>
      </w:r>
      <w:r w:rsidR="00DE33EE">
        <w:t xml:space="preserve"> </w:t>
      </w:r>
      <w:r>
        <w:t>this remains the Commission’s preferred model</w:t>
      </w:r>
      <w:r w:rsidR="0084439D">
        <w:t xml:space="preserve"> </w:t>
      </w:r>
      <w:r w:rsidR="00CD3B45">
        <w:t>as</w:t>
      </w:r>
      <w:r>
        <w:t xml:space="preserve"> represent</w:t>
      </w:r>
      <w:r w:rsidR="00CD3B45">
        <w:t>ing</w:t>
      </w:r>
      <w:r>
        <w:t xml:space="preserve"> a more balanced and holistic approach to the determination of costs in unlawful discrimination matters. </w:t>
      </w:r>
    </w:p>
    <w:p w14:paraId="00277648" w14:textId="170C32E1" w:rsidR="00350417" w:rsidRDefault="0076504A" w:rsidP="00380340">
      <w:pPr>
        <w:pStyle w:val="ListNumber"/>
      </w:pPr>
      <w:r>
        <w:t>The Consultation Paper proposes other</w:t>
      </w:r>
      <w:r w:rsidR="00CB3CD8">
        <w:t xml:space="preserve"> </w:t>
      </w:r>
      <w:r w:rsidR="00C2531A">
        <w:t>matters</w:t>
      </w:r>
      <w:r w:rsidR="00CB3CD8">
        <w:t xml:space="preserve"> that may be included as mandatory</w:t>
      </w:r>
      <w:r w:rsidR="00C2531A">
        <w:t xml:space="preserve"> considerations for the court. </w:t>
      </w:r>
      <w:r w:rsidR="00350417">
        <w:t>The discretion afforded to the courts is broad</w:t>
      </w:r>
      <w:r w:rsidR="0038390B">
        <w:t>,</w:t>
      </w:r>
      <w:r w:rsidR="00350417">
        <w:t xml:space="preserve"> with the ability to consider ‘any other matters that the court considers relevant’, however the Commission considers that it may also be appropriate to direct the court to consider the following additional matters:</w:t>
      </w:r>
    </w:p>
    <w:p w14:paraId="13A14FF3" w14:textId="13DD593B" w:rsidR="0076504A" w:rsidRDefault="00350417" w:rsidP="00350417">
      <w:pPr>
        <w:pStyle w:val="ListBullet"/>
      </w:pPr>
      <w:r w:rsidRPr="00350417">
        <w:rPr>
          <w:rStyle w:val="cf01"/>
          <w:rFonts w:ascii="Open Sans" w:hAnsi="Open Sans" w:cs="Times New Roman"/>
          <w:sz w:val="24"/>
          <w:szCs w:val="24"/>
        </w:rPr>
        <w:lastRenderedPageBreak/>
        <w:t>whether any party to the proceedings is receiving assistance provided by the Attorney-General's Department, or is receiving assistance by way of legal aid (and, if a party is receiving any such assistance, the nature and terms of that assistance)</w:t>
      </w:r>
      <w:r w:rsidRPr="00350417">
        <w:t xml:space="preserve"> </w:t>
      </w:r>
    </w:p>
    <w:p w14:paraId="3D4386E3" w14:textId="501122B9" w:rsidR="00350417" w:rsidRDefault="00350417" w:rsidP="00350417">
      <w:pPr>
        <w:pStyle w:val="ListBullet"/>
      </w:pPr>
      <w:r>
        <w:t>whether a party has been responsible for unreasonably prolonging or delaying the time taken to complete the proceedings</w:t>
      </w:r>
    </w:p>
    <w:p w14:paraId="306FE15F" w14:textId="4C2133AF" w:rsidR="00350417" w:rsidRDefault="00350417" w:rsidP="00350417">
      <w:pPr>
        <w:pStyle w:val="ListBullet"/>
      </w:pPr>
      <w:r>
        <w:t xml:space="preserve">whether a party conducted proceedings in a way that unnecessarily disadvantaged another party to the proceedings </w:t>
      </w:r>
    </w:p>
    <w:p w14:paraId="210015A7" w14:textId="4033B069" w:rsidR="009E1036" w:rsidRDefault="00350417" w:rsidP="00A82CA5">
      <w:pPr>
        <w:pStyle w:val="ListBullet"/>
      </w:pPr>
      <w:r>
        <w:t>whether the proceedings were frivolous or vexatious or otherwise misconceived or lacking in substance.</w:t>
      </w:r>
    </w:p>
    <w:p w14:paraId="04F80E92" w14:textId="73561D9D" w:rsidR="00FC64C8" w:rsidRDefault="00194773" w:rsidP="00FC64C8">
      <w:pPr>
        <w:pStyle w:val="Heading1"/>
      </w:pPr>
      <w:bookmarkStart w:id="17" w:name="_Toc131579145"/>
      <w:r>
        <w:t>Asymmetrical cost model</w:t>
      </w:r>
      <w:bookmarkEnd w:id="17"/>
    </w:p>
    <w:p w14:paraId="7FF10F31" w14:textId="41559F81" w:rsidR="00AE5949" w:rsidRDefault="000C3B1F" w:rsidP="00CC7AB8">
      <w:pPr>
        <w:pStyle w:val="ListNumber"/>
      </w:pPr>
      <w:r>
        <w:t xml:space="preserve">The </w:t>
      </w:r>
      <w:r w:rsidR="00C2531A">
        <w:t>a</w:t>
      </w:r>
      <w:r>
        <w:t>symmetrical or ‘equal</w:t>
      </w:r>
      <w:r w:rsidR="00E954E2">
        <w:t xml:space="preserve"> access’ model</w:t>
      </w:r>
      <w:r w:rsidR="00974B49">
        <w:t xml:space="preserve"> </w:t>
      </w:r>
      <w:r w:rsidR="00AE5949">
        <w:t>involves each party bearing their own costs if the applicant is unsuccessful; but if the applicant is successful, the respondent will pay the applicant’s costs. The applicant will not pay the respondent’s costs unless they</w:t>
      </w:r>
      <w:r w:rsidR="009A2E50">
        <w:t xml:space="preserve"> have</w:t>
      </w:r>
      <w:r w:rsidR="00AE5949">
        <w:t xml:space="preserve"> acted vexatiously or unreasonably in commencing the proceedings or in their conduct in the proceedings.</w:t>
      </w:r>
    </w:p>
    <w:p w14:paraId="5647F068" w14:textId="18CB0ECF" w:rsidR="00490528" w:rsidRDefault="00953A48" w:rsidP="009A2E50">
      <w:pPr>
        <w:pStyle w:val="ListNumber"/>
      </w:pPr>
      <w:r>
        <w:t>While this</w:t>
      </w:r>
      <w:r w:rsidR="00C1719E">
        <w:t xml:space="preserve"> </w:t>
      </w:r>
      <w:r w:rsidR="00B32CF9">
        <w:t xml:space="preserve">approach </w:t>
      </w:r>
      <w:r w:rsidR="00C1719E">
        <w:t xml:space="preserve">almost </w:t>
      </w:r>
      <w:proofErr w:type="gramStart"/>
      <w:r w:rsidR="00C1719E">
        <w:t>entirely</w:t>
      </w:r>
      <w:r>
        <w:t xml:space="preserve"> eliminates</w:t>
      </w:r>
      <w:proofErr w:type="gramEnd"/>
      <w:r>
        <w:t xml:space="preserve"> the risk of </w:t>
      </w:r>
      <w:r w:rsidR="00171FAC">
        <w:t xml:space="preserve">an adverse costs order against an applicant, </w:t>
      </w:r>
      <w:r w:rsidR="009A2E50">
        <w:t>it is not the Commission’s preferred model</w:t>
      </w:r>
      <w:r w:rsidR="00803478">
        <w:t xml:space="preserve"> </w:t>
      </w:r>
      <w:r w:rsidR="008337D1">
        <w:t>as it</w:t>
      </w:r>
      <w:r w:rsidR="007F1E4A">
        <w:t xml:space="preserve"> does not represent a balanced approach, significantly favouring the applicant</w:t>
      </w:r>
      <w:r w:rsidR="0007549A">
        <w:t xml:space="preserve">, and that a more holistic approach having regard to all of the federal discrimination laws and all potential respondents </w:t>
      </w:r>
      <w:r w:rsidR="009A2E50">
        <w:t xml:space="preserve">to unlawful discrimination proceedings </w:t>
      </w:r>
      <w:r w:rsidR="003F2070">
        <w:t>should be adopted</w:t>
      </w:r>
      <w:r w:rsidR="007F1E4A">
        <w:t>.</w:t>
      </w:r>
      <w:r w:rsidR="001B37A3">
        <w:t xml:space="preserve"> </w:t>
      </w:r>
    </w:p>
    <w:p w14:paraId="0E5264B8" w14:textId="489D35D7" w:rsidR="00DF661F" w:rsidRDefault="009A2E50" w:rsidP="00DF661F">
      <w:pPr>
        <w:pStyle w:val="ListNumber"/>
      </w:pPr>
      <w:r>
        <w:t>Significantly, complaints of unlawful discrimination to the Commission are commonly made against individuals and small businesses</w:t>
      </w:r>
      <w:r w:rsidR="0046589E">
        <w:t>,</w:t>
      </w:r>
      <w:r>
        <w:t xml:space="preserve"> not just government agencies and large </w:t>
      </w:r>
      <w:r w:rsidR="000B3FCA">
        <w:t>corporations</w:t>
      </w:r>
      <w:r>
        <w:t>.</w:t>
      </w:r>
      <w:r w:rsidR="00C2531A">
        <w:t xml:space="preserve"> </w:t>
      </w:r>
      <w:r w:rsidR="001B37A3">
        <w:t xml:space="preserve">As expressed in the Free and Equal </w:t>
      </w:r>
      <w:r w:rsidR="00DF661F">
        <w:t>position paper</w:t>
      </w:r>
      <w:r w:rsidR="001B37A3">
        <w:t xml:space="preserve">, </w:t>
      </w:r>
      <w:r w:rsidR="00DF661F">
        <w:t>an appropriate cost model</w:t>
      </w:r>
      <w:r w:rsidR="001B37A3">
        <w:t xml:space="preserve"> must </w:t>
      </w:r>
      <w:r w:rsidR="00DF661F">
        <w:t>strike</w:t>
      </w:r>
      <w:r w:rsidR="001B37A3">
        <w:t xml:space="preserve"> a balance between reducing barriers to complainants’ participation in the courts and the burden on respondents and the court system.</w:t>
      </w:r>
      <w:r w:rsidR="001B37A3">
        <w:rPr>
          <w:rStyle w:val="EndnoteReference"/>
        </w:rPr>
        <w:endnoteReference w:id="14"/>
      </w:r>
      <w:r w:rsidR="00C2531A">
        <w:t xml:space="preserve"> Moving the financial risk and disincentive for unmeritorious claims to the respondent may not always be fair in the circumstances of the case.</w:t>
      </w:r>
    </w:p>
    <w:p w14:paraId="2DC2AC30" w14:textId="05CCB970" w:rsidR="00A00460" w:rsidRDefault="00A00460" w:rsidP="0015239E">
      <w:pPr>
        <w:pStyle w:val="Heading1"/>
      </w:pPr>
      <w:bookmarkStart w:id="18" w:name="_Toc131579146"/>
      <w:r>
        <w:lastRenderedPageBreak/>
        <w:t>‘Applicant’s choice’ model</w:t>
      </w:r>
      <w:bookmarkEnd w:id="18"/>
    </w:p>
    <w:p w14:paraId="539C1DD8" w14:textId="3BD3BAC1" w:rsidR="004F3266" w:rsidRDefault="00013679" w:rsidP="00163460">
      <w:pPr>
        <w:pStyle w:val="ListNumber"/>
        <w:keepNext/>
      </w:pPr>
      <w:r>
        <w:t>Th</w:t>
      </w:r>
      <w:r w:rsidR="00C2531A">
        <w:t>e ‘applicant’s choice’ model involves a</w:t>
      </w:r>
      <w:r w:rsidR="004F3266">
        <w:t xml:space="preserve">n applicant </w:t>
      </w:r>
      <w:r w:rsidR="00C2531A">
        <w:t>making an election between the following two</w:t>
      </w:r>
      <w:r w:rsidR="004F3266">
        <w:t xml:space="preserve"> costs model</w:t>
      </w:r>
      <w:r w:rsidR="00DD711D">
        <w:t>s</w:t>
      </w:r>
      <w:r w:rsidR="004F3266">
        <w:t xml:space="preserve"> at the commencement of legal proceedings:</w:t>
      </w:r>
    </w:p>
    <w:p w14:paraId="09A548C1" w14:textId="36E2726C" w:rsidR="0016098C" w:rsidRDefault="004F3266" w:rsidP="00377DFD">
      <w:pPr>
        <w:pStyle w:val="ListBullet"/>
      </w:pPr>
      <w:r>
        <w:t xml:space="preserve">the current model </w:t>
      </w:r>
      <w:r w:rsidR="00C2531A">
        <w:t>guided by the principle that</w:t>
      </w:r>
      <w:r>
        <w:t xml:space="preserve"> </w:t>
      </w:r>
      <w:r w:rsidR="00C2531A">
        <w:t>‘</w:t>
      </w:r>
      <w:r>
        <w:t>costs follow</w:t>
      </w:r>
      <w:r w:rsidR="00C07694">
        <w:t xml:space="preserve"> </w:t>
      </w:r>
      <w:r>
        <w:t>the event</w:t>
      </w:r>
      <w:r w:rsidR="00C2531A">
        <w:t>’</w:t>
      </w:r>
      <w:r w:rsidR="00DD711D">
        <w:t>, and</w:t>
      </w:r>
    </w:p>
    <w:p w14:paraId="03FD10DC" w14:textId="7EC82938" w:rsidR="004F3266" w:rsidRDefault="004F3266" w:rsidP="00377DFD">
      <w:pPr>
        <w:pStyle w:val="ListBullet"/>
      </w:pPr>
      <w:r>
        <w:t>hard cost neutrality.</w:t>
      </w:r>
    </w:p>
    <w:p w14:paraId="7C3BF983" w14:textId="400C99DD" w:rsidR="00B51F85" w:rsidRDefault="00E22FF0" w:rsidP="00CC7AB8">
      <w:pPr>
        <w:pStyle w:val="ListNumber"/>
      </w:pPr>
      <w:r>
        <w:t xml:space="preserve">The Commission has not had the benefit of </w:t>
      </w:r>
      <w:r w:rsidR="00A634D0">
        <w:t>consultation</w:t>
      </w:r>
      <w:r>
        <w:t xml:space="preserve"> on this cost</w:t>
      </w:r>
      <w:r w:rsidR="00542403">
        <w:t>s</w:t>
      </w:r>
      <w:r>
        <w:t xml:space="preserve"> mode</w:t>
      </w:r>
      <w:r w:rsidR="00A634D0">
        <w:t>l</w:t>
      </w:r>
      <w:r w:rsidR="00DD711D">
        <w:t xml:space="preserve"> and welcomes the opportunity to hear a variety of views through this consultation process</w:t>
      </w:r>
      <w:r w:rsidR="00A634D0">
        <w:t xml:space="preserve">. </w:t>
      </w:r>
      <w:r w:rsidR="00F6764B">
        <w:t>However,</w:t>
      </w:r>
      <w:r w:rsidR="00B51F85">
        <w:t xml:space="preserve"> the Commission makes the following </w:t>
      </w:r>
      <w:r w:rsidR="00DD711D">
        <w:t xml:space="preserve">preliminary </w:t>
      </w:r>
      <w:r w:rsidR="00B51F85">
        <w:t>observations.</w:t>
      </w:r>
      <w:r w:rsidR="00F6764B">
        <w:t xml:space="preserve"> </w:t>
      </w:r>
    </w:p>
    <w:p w14:paraId="51D1B822" w14:textId="522766E0" w:rsidR="006A1489" w:rsidRDefault="00B51F85" w:rsidP="00CC7AB8">
      <w:pPr>
        <w:pStyle w:val="ListNumber"/>
      </w:pPr>
      <w:r>
        <w:t xml:space="preserve">First, </w:t>
      </w:r>
      <w:r w:rsidR="00F6764B">
        <w:t xml:space="preserve">consultation </w:t>
      </w:r>
      <w:r w:rsidR="007D37A1">
        <w:t xml:space="preserve">for both the </w:t>
      </w:r>
      <w:proofErr w:type="spellStart"/>
      <w:r w:rsidR="007D37A1">
        <w:t>Respect@Work</w:t>
      </w:r>
      <w:proofErr w:type="spellEnd"/>
      <w:r w:rsidR="007D37A1">
        <w:t xml:space="preserve"> </w:t>
      </w:r>
      <w:r w:rsidR="00DD711D">
        <w:t xml:space="preserve">inquiry </w:t>
      </w:r>
      <w:r w:rsidR="007D37A1">
        <w:t xml:space="preserve">and Free &amp; Equal </w:t>
      </w:r>
      <w:r w:rsidR="00DD711D">
        <w:t xml:space="preserve">project </w:t>
      </w:r>
      <w:r w:rsidR="00581239">
        <w:t xml:space="preserve">emphatically </w:t>
      </w:r>
      <w:r w:rsidR="00DA3208">
        <w:t xml:space="preserve">communicated </w:t>
      </w:r>
      <w:r w:rsidR="00751B6F">
        <w:t xml:space="preserve">that the </w:t>
      </w:r>
      <w:r w:rsidR="004F3266">
        <w:t xml:space="preserve">current model caused significant barriers to the pursuit of legitimate unlawful discrimination proceedings in the federal courts and that legislative reform was required. </w:t>
      </w:r>
      <w:r w:rsidR="00DF661F">
        <w:t xml:space="preserve">While </w:t>
      </w:r>
      <w:r>
        <w:t>this cost</w:t>
      </w:r>
      <w:r w:rsidR="00581239">
        <w:t>s</w:t>
      </w:r>
      <w:r>
        <w:t xml:space="preserve"> model proposes to provide applicants with an option up front and allows a consideration of the merits of a case before commencing legal proceedings</w:t>
      </w:r>
      <w:r w:rsidR="00DF661F">
        <w:t>, applicant</w:t>
      </w:r>
      <w:r w:rsidR="00EA40CA">
        <w:t>s may still be exposed</w:t>
      </w:r>
      <w:r w:rsidR="00DF661F">
        <w:t xml:space="preserve"> to the risk of a</w:t>
      </w:r>
      <w:r w:rsidR="00EA40CA">
        <w:t xml:space="preserve"> significant</w:t>
      </w:r>
      <w:r w:rsidR="00DF661F">
        <w:t xml:space="preserve"> adverse cost orde</w:t>
      </w:r>
      <w:r>
        <w:t>r</w:t>
      </w:r>
      <w:r w:rsidR="00DF661F">
        <w:t>.</w:t>
      </w:r>
    </w:p>
    <w:p w14:paraId="2FBD3ACC" w14:textId="28B12B9F" w:rsidR="00163460" w:rsidRDefault="00B51F85" w:rsidP="00391F6E">
      <w:pPr>
        <w:pStyle w:val="ListNumber"/>
      </w:pPr>
      <w:r>
        <w:t>Second</w:t>
      </w:r>
      <w:r w:rsidR="004F3266">
        <w:t xml:space="preserve">, </w:t>
      </w:r>
      <w:r>
        <w:t>this model</w:t>
      </w:r>
      <w:r w:rsidR="00CD48C0">
        <w:t xml:space="preserve"> </w:t>
      </w:r>
      <w:r w:rsidR="004F3266">
        <w:t>creates</w:t>
      </w:r>
      <w:r w:rsidR="00CD48C0">
        <w:t xml:space="preserve"> an </w:t>
      </w:r>
      <w:r w:rsidR="00BE15AF">
        <w:t xml:space="preserve">additional layer of complexity to </w:t>
      </w:r>
      <w:r>
        <w:t xml:space="preserve">unlawful discrimination </w:t>
      </w:r>
      <w:r w:rsidR="00CD48C0">
        <w:t>claims</w:t>
      </w:r>
      <w:r w:rsidR="00D3248B">
        <w:t xml:space="preserve"> and </w:t>
      </w:r>
      <w:r w:rsidR="004F3266">
        <w:t>may foster</w:t>
      </w:r>
      <w:r w:rsidR="00D3248B">
        <w:t xml:space="preserve"> greater reliance on lawyers</w:t>
      </w:r>
      <w:r w:rsidR="00CD48C0">
        <w:t xml:space="preserve">. The </w:t>
      </w:r>
      <w:proofErr w:type="spellStart"/>
      <w:r w:rsidR="00CD48C0">
        <w:t>Respect@Work</w:t>
      </w:r>
      <w:proofErr w:type="spellEnd"/>
      <w:r w:rsidR="00CD48C0">
        <w:t xml:space="preserve"> inquiry heard in consultations that </w:t>
      </w:r>
      <w:r w:rsidR="00D3248B">
        <w:t>the complexity of legislative provisions created difficulties in interpretation for non-lawyers and that remedial mechanisms should be quick, simple and easy for the layperson to navigate</w:t>
      </w:r>
      <w:r w:rsidR="00CD48C0">
        <w:t>.</w:t>
      </w:r>
      <w:r w:rsidR="00CD48C0">
        <w:rPr>
          <w:rStyle w:val="EndnoteReference"/>
        </w:rPr>
        <w:endnoteReference w:id="15"/>
      </w:r>
      <w:r w:rsidR="00D3248B">
        <w:t xml:space="preserve"> </w:t>
      </w:r>
      <w:r w:rsidR="004F3266">
        <w:t>A</w:t>
      </w:r>
      <w:r w:rsidR="00AE5949">
        <w:t>pplicants</w:t>
      </w:r>
      <w:r w:rsidR="004F3266">
        <w:t xml:space="preserve"> who are not legally trained</w:t>
      </w:r>
      <w:r w:rsidR="00AE5949">
        <w:t xml:space="preserve"> may consider it necessary to obtain legal advice to understand the </w:t>
      </w:r>
      <w:r>
        <w:t>cost</w:t>
      </w:r>
      <w:r w:rsidR="00581239">
        <w:t>s</w:t>
      </w:r>
      <w:r>
        <w:t xml:space="preserve"> model </w:t>
      </w:r>
      <w:r w:rsidR="00C2531A">
        <w:t xml:space="preserve">and </w:t>
      </w:r>
      <w:r>
        <w:t xml:space="preserve">its </w:t>
      </w:r>
      <w:r w:rsidR="00C2531A">
        <w:t xml:space="preserve">impacts </w:t>
      </w:r>
      <w:r w:rsidR="00AE5949">
        <w:t xml:space="preserve">where they may not otherwise require </w:t>
      </w:r>
      <w:r>
        <w:t>the services of a lawyer</w:t>
      </w:r>
      <w:r w:rsidR="00AE5949">
        <w:t xml:space="preserve">. </w:t>
      </w:r>
    </w:p>
    <w:p w14:paraId="6910E1C2" w14:textId="7D1F4621" w:rsidR="00E22FF0" w:rsidRDefault="00CD48C0" w:rsidP="00CC7AB8">
      <w:pPr>
        <w:pStyle w:val="ListNumber"/>
      </w:pPr>
      <w:r>
        <w:t xml:space="preserve">The </w:t>
      </w:r>
      <w:r w:rsidR="00AE5949">
        <w:t>Commission</w:t>
      </w:r>
      <w:r w:rsidR="003656CD">
        <w:t>’s preliminary consideration is</w:t>
      </w:r>
      <w:r w:rsidR="00AE5949">
        <w:t xml:space="preserve"> that a simpler and more accessible approach </w:t>
      </w:r>
      <w:r w:rsidR="003656CD">
        <w:t xml:space="preserve">may </w:t>
      </w:r>
      <w:proofErr w:type="gramStart"/>
      <w:r w:rsidR="004F3266">
        <w:t>greater</w:t>
      </w:r>
      <w:proofErr w:type="gramEnd"/>
      <w:r w:rsidR="004F3266">
        <w:t xml:space="preserve"> assist in overcoming the barriers faced by applicants pursuing claims of unlawful discrimination.</w:t>
      </w:r>
    </w:p>
    <w:p w14:paraId="1186DF11" w14:textId="77777777" w:rsidR="001406A5" w:rsidRDefault="001406A5" w:rsidP="001406A5">
      <w:pPr>
        <w:pStyle w:val="ListNumber"/>
        <w:numPr>
          <w:ilvl w:val="0"/>
          <w:numId w:val="0"/>
        </w:numPr>
        <w:ind w:left="567" w:hanging="567"/>
      </w:pPr>
    </w:p>
    <w:p w14:paraId="6A0A8CE8" w14:textId="77777777" w:rsidR="001406A5" w:rsidRDefault="001406A5" w:rsidP="001406A5">
      <w:pPr>
        <w:pStyle w:val="ListNumber"/>
        <w:numPr>
          <w:ilvl w:val="0"/>
          <w:numId w:val="0"/>
        </w:numPr>
        <w:ind w:left="567" w:hanging="567"/>
      </w:pPr>
    </w:p>
    <w:p w14:paraId="26976C37" w14:textId="40684C54" w:rsidR="00D03307" w:rsidRDefault="00EA40CA" w:rsidP="0015239E">
      <w:pPr>
        <w:pStyle w:val="Heading1"/>
      </w:pPr>
      <w:bookmarkStart w:id="19" w:name="_Toc131579147"/>
      <w:r>
        <w:lastRenderedPageBreak/>
        <w:t>Preferred</w:t>
      </w:r>
      <w:r w:rsidR="00B51F85">
        <w:t xml:space="preserve"> cost model</w:t>
      </w:r>
      <w:bookmarkEnd w:id="19"/>
    </w:p>
    <w:p w14:paraId="7C631954" w14:textId="22F3F93B" w:rsidR="00EA40CA" w:rsidRDefault="00EA40CA" w:rsidP="00B51F85">
      <w:pPr>
        <w:pStyle w:val="ListNumber"/>
      </w:pPr>
      <w:r w:rsidRPr="00270161">
        <w:t xml:space="preserve">The Commission acknowledges that the </w:t>
      </w:r>
      <w:r>
        <w:t>determination</w:t>
      </w:r>
      <w:r w:rsidRPr="00270161">
        <w:t xml:space="preserve"> of an appropriate cost</w:t>
      </w:r>
      <w:r w:rsidR="00581239">
        <w:t>s</w:t>
      </w:r>
      <w:r w:rsidRPr="00270161">
        <w:t xml:space="preserve"> model that is fair, certain and facilitates access to justice is complex and </w:t>
      </w:r>
      <w:r>
        <w:t xml:space="preserve">that </w:t>
      </w:r>
      <w:r w:rsidRPr="00270161">
        <w:t xml:space="preserve">reasonable minds may differ. </w:t>
      </w:r>
    </w:p>
    <w:p w14:paraId="10EE34E0" w14:textId="33D25ED8" w:rsidR="00B51F85" w:rsidRDefault="00EA40CA" w:rsidP="00B51F85">
      <w:pPr>
        <w:pStyle w:val="ListNumber"/>
      </w:pPr>
      <w:r>
        <w:t>Having regard to the proposed options for reform, t</w:t>
      </w:r>
      <w:r w:rsidR="00B51F85">
        <w:t xml:space="preserve">he ‘soft cost neutrality’ model remains the </w:t>
      </w:r>
      <w:r>
        <w:t xml:space="preserve">Commission’s </w:t>
      </w:r>
      <w:r w:rsidR="00B51F85">
        <w:t xml:space="preserve">preferred model. This model represents a more balanced, flexible and holistic approach to the determination of costs </w:t>
      </w:r>
      <w:r w:rsidR="003656CD">
        <w:t xml:space="preserve">across all </w:t>
      </w:r>
      <w:r w:rsidR="00B51F85">
        <w:t xml:space="preserve">unlawful discrimination matters, allowing the courts to make cost orders in the interests of justice having regard to the </w:t>
      </w:r>
      <w:proofErr w:type="gramStart"/>
      <w:r w:rsidR="00B51F85">
        <w:t>particular circumstances</w:t>
      </w:r>
      <w:proofErr w:type="gramEnd"/>
      <w:r w:rsidR="00B51F85">
        <w:t xml:space="preserve"> of the case. </w:t>
      </w:r>
    </w:p>
    <w:p w14:paraId="2A550176" w14:textId="65A9CA33" w:rsidR="00270161" w:rsidRDefault="00B30585" w:rsidP="00EA40CA">
      <w:pPr>
        <w:pStyle w:val="ListNumber"/>
        <w:keepNext/>
      </w:pPr>
      <w:r w:rsidRPr="00B30585">
        <w:t xml:space="preserve">The Commission </w:t>
      </w:r>
      <w:r w:rsidR="00270161">
        <w:t>makes the following recommendations:</w:t>
      </w:r>
      <w:r w:rsidRPr="00B30585">
        <w:t xml:space="preserve"> </w:t>
      </w:r>
    </w:p>
    <w:p w14:paraId="35C2BDCA" w14:textId="281E6215" w:rsidR="00270161" w:rsidRPr="00270161" w:rsidRDefault="00270161" w:rsidP="00EA40CA">
      <w:pPr>
        <w:pStyle w:val="ListNumber"/>
        <w:keepNext/>
        <w:numPr>
          <w:ilvl w:val="0"/>
          <w:numId w:val="0"/>
        </w:numPr>
        <w:ind w:left="567"/>
        <w:rPr>
          <w:b/>
          <w:bCs/>
        </w:rPr>
      </w:pPr>
      <w:r w:rsidRPr="00270161">
        <w:rPr>
          <w:b/>
          <w:bCs/>
        </w:rPr>
        <w:t xml:space="preserve">Recommendation 1 </w:t>
      </w:r>
    </w:p>
    <w:p w14:paraId="16152D5F" w14:textId="569D1AD7" w:rsidR="003423F4" w:rsidRDefault="00270161" w:rsidP="00270161">
      <w:pPr>
        <w:pStyle w:val="ListNumber"/>
        <w:numPr>
          <w:ilvl w:val="0"/>
          <w:numId w:val="0"/>
        </w:numPr>
        <w:ind w:left="567"/>
      </w:pPr>
      <w:r>
        <w:t>T</w:t>
      </w:r>
      <w:r w:rsidR="00B30585" w:rsidRPr="00B30585">
        <w:t>he</w:t>
      </w:r>
      <w:r>
        <w:t xml:space="preserve"> Commission recommends that the</w:t>
      </w:r>
      <w:r w:rsidR="00B30585" w:rsidRPr="00B30585">
        <w:t xml:space="preserve"> AHRC Act be amended to insert a cost provision consistent with the ‘soft cost neutrality’ model proposed in the AGD’s Consultation Paper. </w:t>
      </w:r>
    </w:p>
    <w:p w14:paraId="641B85DA" w14:textId="0F2A4775" w:rsidR="00270161" w:rsidRPr="00270161" w:rsidRDefault="00270161" w:rsidP="00EA40CA">
      <w:pPr>
        <w:pStyle w:val="ListNumber"/>
        <w:keepNext/>
        <w:numPr>
          <w:ilvl w:val="0"/>
          <w:numId w:val="0"/>
        </w:numPr>
        <w:ind w:left="567"/>
        <w:rPr>
          <w:b/>
          <w:bCs/>
        </w:rPr>
      </w:pPr>
      <w:r w:rsidRPr="00270161">
        <w:rPr>
          <w:b/>
          <w:bCs/>
        </w:rPr>
        <w:t>Recommendation 2</w:t>
      </w:r>
    </w:p>
    <w:p w14:paraId="212775BB" w14:textId="47ACB2CE" w:rsidR="00A82CA5" w:rsidRDefault="00EA40CA" w:rsidP="00EA40CA">
      <w:pPr>
        <w:pStyle w:val="ListNumber"/>
        <w:numPr>
          <w:ilvl w:val="0"/>
          <w:numId w:val="0"/>
        </w:numPr>
        <w:ind w:left="567"/>
      </w:pPr>
      <w:r w:rsidRPr="00A82CA5">
        <w:t xml:space="preserve">The legislative amendments to the AHRC Act </w:t>
      </w:r>
      <w:r>
        <w:t xml:space="preserve">include a provision requiring a review of the operation of the amendments to </w:t>
      </w:r>
      <w:r w:rsidRPr="00A82CA5">
        <w:t xml:space="preserve">be </w:t>
      </w:r>
      <w:r>
        <w:t>conducted</w:t>
      </w:r>
      <w:r w:rsidRPr="00A82CA5">
        <w:t xml:space="preserve"> within 5 years of their commencement.</w:t>
      </w:r>
      <w:r>
        <w:t xml:space="preserve"> </w:t>
      </w:r>
    </w:p>
    <w:p w14:paraId="47547183" w14:textId="77777777" w:rsidR="009324AA" w:rsidRPr="003423F4" w:rsidRDefault="009324AA" w:rsidP="00EA40CA">
      <w:pPr>
        <w:pStyle w:val="ListNumber"/>
        <w:numPr>
          <w:ilvl w:val="0"/>
          <w:numId w:val="0"/>
        </w:numPr>
        <w:ind w:left="567"/>
      </w:pPr>
    </w:p>
    <w:sectPr w:rsidR="009324AA" w:rsidRPr="003423F4" w:rsidSect="00460EE0">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8F97" w14:textId="77777777" w:rsidR="00180E9D" w:rsidRDefault="00180E9D" w:rsidP="00F14C6D">
      <w:r>
        <w:separator/>
      </w:r>
    </w:p>
  </w:endnote>
  <w:endnote w:type="continuationSeparator" w:id="0">
    <w:p w14:paraId="2924895F" w14:textId="77777777" w:rsidR="00180E9D" w:rsidRDefault="00180E9D" w:rsidP="00F14C6D">
      <w:r>
        <w:continuationSeparator/>
      </w:r>
    </w:p>
  </w:endnote>
  <w:endnote w:id="1">
    <w:p w14:paraId="45EE40B6" w14:textId="37771367" w:rsidR="00185B94" w:rsidRDefault="00185B94">
      <w:pPr>
        <w:pStyle w:val="EndnoteText"/>
      </w:pPr>
      <w:r>
        <w:rPr>
          <w:rStyle w:val="EndnoteReference"/>
        </w:rPr>
        <w:endnoteRef/>
      </w:r>
      <w:r>
        <w:t xml:space="preserve"> </w:t>
      </w:r>
      <w:r w:rsidR="00372E19">
        <w:t xml:space="preserve">Australian Human Rights Commission, </w:t>
      </w:r>
      <w:proofErr w:type="spellStart"/>
      <w:r w:rsidR="00372E19">
        <w:rPr>
          <w:i/>
          <w:iCs/>
        </w:rPr>
        <w:t>Respect@Work</w:t>
      </w:r>
      <w:proofErr w:type="spellEnd"/>
      <w:r w:rsidR="00372E19">
        <w:rPr>
          <w:i/>
          <w:iCs/>
        </w:rPr>
        <w:t xml:space="preserve">: National Inquiry into Sexual Harassment in Australian Workplaces </w:t>
      </w:r>
      <w:r w:rsidR="00372E19">
        <w:t>(2020) (</w:t>
      </w:r>
      <w:proofErr w:type="spellStart"/>
      <w:r w:rsidR="00372E19">
        <w:t>Respect@Work</w:t>
      </w:r>
      <w:proofErr w:type="spellEnd"/>
      <w:r w:rsidR="00372E19">
        <w:t xml:space="preserve"> report), 507 at </w:t>
      </w:r>
      <w:hyperlink r:id="rId1" w:history="1">
        <w:r w:rsidR="00372E19" w:rsidRPr="00533D8C">
          <w:rPr>
            <w:rStyle w:val="Hyperlink"/>
          </w:rPr>
          <w:t>https://humanrights.gov.au/our-work/sex-discrimination/publications/respectwork-sexual-harassment-national-inquiry-report-2020</w:t>
        </w:r>
      </w:hyperlink>
    </w:p>
  </w:endnote>
  <w:endnote w:id="2">
    <w:p w14:paraId="57F2BF83" w14:textId="45F62AA5" w:rsidR="00D515D1" w:rsidRDefault="00D515D1" w:rsidP="00D515D1">
      <w:pPr>
        <w:pStyle w:val="EndnoteText"/>
      </w:pPr>
      <w:r>
        <w:rPr>
          <w:rStyle w:val="EndnoteReference"/>
        </w:rPr>
        <w:endnoteRef/>
      </w:r>
      <w:r>
        <w:t xml:space="preserve"> </w:t>
      </w:r>
      <w:proofErr w:type="spellStart"/>
      <w:r w:rsidR="00372E19">
        <w:t>Respect@Work</w:t>
      </w:r>
      <w:proofErr w:type="spellEnd"/>
      <w:r w:rsidR="00372E19">
        <w:t xml:space="preserve"> report.</w:t>
      </w:r>
      <w:r>
        <w:t xml:space="preserve">  </w:t>
      </w:r>
    </w:p>
  </w:endnote>
  <w:endnote w:id="3">
    <w:p w14:paraId="69E205B3" w14:textId="0B53784B" w:rsidR="00372E19" w:rsidRDefault="00372E19" w:rsidP="00372E19">
      <w:pPr>
        <w:pStyle w:val="EndnoteText"/>
      </w:pPr>
      <w:r>
        <w:rPr>
          <w:rStyle w:val="EndnoteReference"/>
        </w:rPr>
        <w:endnoteRef/>
      </w:r>
      <w:r>
        <w:t xml:space="preserve">  Attorney-General’s Department, Consultation Paper: Review into an appropriate cost model for Commonwealth anti-discrimination laws (2023) (Consultation Paper), 23-25  at </w:t>
      </w:r>
      <w:hyperlink r:id="rId2" w:history="1">
        <w:r w:rsidRPr="008C421F">
          <w:rPr>
            <w:rStyle w:val="Hyperlink"/>
          </w:rPr>
          <w:t>https://consultations.ag.gov.au/rights-and-protections/cost-model-anti-discrimination-laws/</w:t>
        </w:r>
      </w:hyperlink>
      <w:r>
        <w:t xml:space="preserve">. </w:t>
      </w:r>
    </w:p>
  </w:endnote>
  <w:endnote w:id="4">
    <w:p w14:paraId="074558B6" w14:textId="5317656D" w:rsidR="00C41010" w:rsidRDefault="00C41010">
      <w:pPr>
        <w:pStyle w:val="EndnoteText"/>
      </w:pPr>
      <w:r>
        <w:rPr>
          <w:rStyle w:val="EndnoteReference"/>
        </w:rPr>
        <w:endnoteRef/>
      </w:r>
      <w:r>
        <w:t xml:space="preserve">  </w:t>
      </w:r>
      <w:r w:rsidR="00372E19">
        <w:t>Consultation Paper, 25-28.</w:t>
      </w:r>
    </w:p>
  </w:endnote>
  <w:endnote w:id="5">
    <w:p w14:paraId="348B85AC" w14:textId="194B37ED" w:rsidR="00372E19" w:rsidRDefault="00372E19">
      <w:pPr>
        <w:pStyle w:val="EndnoteText"/>
      </w:pPr>
      <w:r>
        <w:rPr>
          <w:rStyle w:val="EndnoteReference"/>
        </w:rPr>
        <w:endnoteRef/>
      </w:r>
      <w:r>
        <w:t xml:space="preserve"> Australian Human Rights Commission, </w:t>
      </w:r>
      <w:r>
        <w:rPr>
          <w:i/>
          <w:iCs/>
        </w:rPr>
        <w:t xml:space="preserve">Free and Equal: A reform agenda for federal discrimination law — Position Paper </w:t>
      </w:r>
      <w:r>
        <w:t xml:space="preserve">(2021) (Free and Equal position paper) at </w:t>
      </w:r>
      <w:hyperlink r:id="rId3" w:history="1">
        <w:r w:rsidRPr="00533D8C">
          <w:rPr>
            <w:rStyle w:val="Hyperlink"/>
          </w:rPr>
          <w:t>https://humanrights.gov.au/our-work/rights-and-freedoms/publications/free-and-equal-reform-agenda-federal-discrimination-laws</w:t>
        </w:r>
      </w:hyperlink>
      <w:r w:rsidRPr="00C41010">
        <w:t>, 191-201</w:t>
      </w:r>
      <w:r>
        <w:t xml:space="preserve">. </w:t>
      </w:r>
    </w:p>
  </w:endnote>
  <w:endnote w:id="6">
    <w:p w14:paraId="65F48FDA" w14:textId="77777777" w:rsidR="00325D6F" w:rsidRDefault="00325D6F" w:rsidP="00325D6F">
      <w:pPr>
        <w:pStyle w:val="EndnoteText"/>
      </w:pPr>
      <w:r>
        <w:rPr>
          <w:rStyle w:val="EndnoteReference"/>
        </w:rPr>
        <w:endnoteRef/>
      </w:r>
      <w:r>
        <w:t xml:space="preserve"> Australian Human Rights Commission, Submission to the Senate Legal and Constitutional Affairs Legislation Committee: Anti-Discrimination and Human Rights Legislation Amendment Bill (Respect at Work) Bill 2022 (October 2022), [97]-[105] at </w:t>
      </w:r>
      <w:hyperlink r:id="rId4" w:history="1">
        <w:r w:rsidRPr="00533D8C">
          <w:rPr>
            <w:rStyle w:val="Hyperlink"/>
          </w:rPr>
          <w:t>https://www.aph.gov.au/Parliamentary_Business/Committees/Senate/Legal_and_Constitutional_Affairs/RespectatWork2022/Submissions</w:t>
        </w:r>
      </w:hyperlink>
      <w:r>
        <w:t>.</w:t>
      </w:r>
    </w:p>
  </w:endnote>
  <w:endnote w:id="7">
    <w:p w14:paraId="6CA634FA" w14:textId="0A6C03E1" w:rsidR="007561CB" w:rsidRPr="007561CB" w:rsidRDefault="007561CB">
      <w:pPr>
        <w:pStyle w:val="EndnoteText"/>
        <w:rPr>
          <w:lang w:val="en-US"/>
        </w:rPr>
      </w:pPr>
      <w:r>
        <w:rPr>
          <w:rStyle w:val="EndnoteReference"/>
        </w:rPr>
        <w:endnoteRef/>
      </w:r>
      <w:r>
        <w:t xml:space="preserve"> </w:t>
      </w:r>
      <w:r w:rsidR="005D175F" w:rsidRPr="00FE5E4E">
        <w:rPr>
          <w:i/>
          <w:iCs/>
          <w:lang w:val="en-US"/>
        </w:rPr>
        <w:t>Federal Court of Australia Act 1976</w:t>
      </w:r>
      <w:r w:rsidR="005D175F">
        <w:rPr>
          <w:lang w:val="en-US"/>
        </w:rPr>
        <w:t xml:space="preserve"> (</w:t>
      </w:r>
      <w:proofErr w:type="spellStart"/>
      <w:r w:rsidR="005D175F">
        <w:rPr>
          <w:lang w:val="en-US"/>
        </w:rPr>
        <w:t>Cth</w:t>
      </w:r>
      <w:proofErr w:type="spellEnd"/>
      <w:r w:rsidR="005D175F">
        <w:rPr>
          <w:lang w:val="en-US"/>
        </w:rPr>
        <w:t>)</w:t>
      </w:r>
      <w:r w:rsidR="00FE5E4E">
        <w:rPr>
          <w:lang w:val="en-US"/>
        </w:rPr>
        <w:t xml:space="preserve">, s 43; </w:t>
      </w:r>
      <w:r w:rsidR="00FE5E4E" w:rsidRPr="00FE5E4E">
        <w:rPr>
          <w:i/>
          <w:iCs/>
          <w:lang w:val="en-US"/>
        </w:rPr>
        <w:t>Federal Circuit and Family Court of Australia Act 2021</w:t>
      </w:r>
      <w:r w:rsidR="00FE5E4E">
        <w:rPr>
          <w:lang w:val="en-US"/>
        </w:rPr>
        <w:t xml:space="preserve"> (</w:t>
      </w:r>
      <w:proofErr w:type="spellStart"/>
      <w:r w:rsidR="00FE5E4E">
        <w:rPr>
          <w:lang w:val="en-US"/>
        </w:rPr>
        <w:t>Cth</w:t>
      </w:r>
      <w:proofErr w:type="spellEnd"/>
      <w:r w:rsidR="00FE5E4E">
        <w:rPr>
          <w:lang w:val="en-US"/>
        </w:rPr>
        <w:t xml:space="preserve">), s 214. </w:t>
      </w:r>
    </w:p>
  </w:endnote>
  <w:endnote w:id="8">
    <w:p w14:paraId="4CFA59A1" w14:textId="77777777" w:rsidR="00245765" w:rsidRDefault="00245765" w:rsidP="00245765">
      <w:pPr>
        <w:pStyle w:val="EndnoteText"/>
      </w:pPr>
      <w:r>
        <w:rPr>
          <w:rStyle w:val="EndnoteReference"/>
        </w:rPr>
        <w:endnoteRef/>
      </w:r>
      <w:r>
        <w:t xml:space="preserve"> </w:t>
      </w:r>
      <w:proofErr w:type="spellStart"/>
      <w:r>
        <w:t>Respect@Work</w:t>
      </w:r>
      <w:proofErr w:type="spellEnd"/>
      <w:r>
        <w:t xml:space="preserve"> report, 507.</w:t>
      </w:r>
    </w:p>
  </w:endnote>
  <w:endnote w:id="9">
    <w:p w14:paraId="4BB3B59A" w14:textId="7E5C2778" w:rsidR="00B61911" w:rsidRPr="00B61911" w:rsidRDefault="00B61911">
      <w:pPr>
        <w:pStyle w:val="EndnoteText"/>
        <w:rPr>
          <w:lang w:val="en-US"/>
        </w:rPr>
      </w:pPr>
      <w:r>
        <w:rPr>
          <w:rStyle w:val="EndnoteReference"/>
        </w:rPr>
        <w:endnoteRef/>
      </w:r>
      <w:r>
        <w:t xml:space="preserve"> </w:t>
      </w:r>
      <w:r>
        <w:rPr>
          <w:lang w:val="en-US"/>
        </w:rPr>
        <w:t xml:space="preserve">Free and Equal </w:t>
      </w:r>
      <w:r w:rsidR="005D175F">
        <w:rPr>
          <w:lang w:val="en-US"/>
        </w:rPr>
        <w:t>position paper</w:t>
      </w:r>
      <w:r>
        <w:rPr>
          <w:lang w:val="en-US"/>
        </w:rPr>
        <w:t>, 191-201.</w:t>
      </w:r>
    </w:p>
  </w:endnote>
  <w:endnote w:id="10">
    <w:p w14:paraId="056F9DEB" w14:textId="66F3D082" w:rsidR="00163460" w:rsidRDefault="00163460" w:rsidP="00163460">
      <w:pPr>
        <w:pStyle w:val="EndnoteText"/>
      </w:pPr>
      <w:r>
        <w:rPr>
          <w:rStyle w:val="EndnoteReference"/>
        </w:rPr>
        <w:endnoteRef/>
      </w:r>
      <w:r>
        <w:t xml:space="preserve"> Free and Equal position paper</w:t>
      </w:r>
      <w:r w:rsidRPr="00C41010">
        <w:t>, 191-201</w:t>
      </w:r>
      <w:r>
        <w:t xml:space="preserve">.  </w:t>
      </w:r>
    </w:p>
  </w:endnote>
  <w:endnote w:id="11">
    <w:p w14:paraId="77357E08" w14:textId="4964A399" w:rsidR="00261154" w:rsidRDefault="00261154" w:rsidP="00261154">
      <w:pPr>
        <w:pStyle w:val="EndnoteText"/>
      </w:pPr>
      <w:r>
        <w:rPr>
          <w:rStyle w:val="EndnoteReference"/>
        </w:rPr>
        <w:endnoteRef/>
      </w:r>
      <w:r>
        <w:t xml:space="preserve"> Free and Equal position paper</w:t>
      </w:r>
      <w:r w:rsidRPr="00C41010">
        <w:t>, 191-201</w:t>
      </w:r>
      <w:r>
        <w:t xml:space="preserve">.  </w:t>
      </w:r>
    </w:p>
  </w:endnote>
  <w:endnote w:id="12">
    <w:p w14:paraId="15BBF4C3" w14:textId="63795BBC" w:rsidR="00A82CA5" w:rsidRDefault="00A82CA5">
      <w:pPr>
        <w:pStyle w:val="EndnoteText"/>
      </w:pPr>
      <w:r>
        <w:rPr>
          <w:rStyle w:val="EndnoteReference"/>
        </w:rPr>
        <w:endnoteRef/>
      </w:r>
      <w:r>
        <w:t xml:space="preserve"> Consultation Paper, 25-28; Anti-Discrimination and Human Rights Legislation Amendment (Respect at Work) Bill 2022, Schedule 5.</w:t>
      </w:r>
    </w:p>
  </w:endnote>
  <w:endnote w:id="13">
    <w:p w14:paraId="55E19BE1" w14:textId="0B3057D4" w:rsidR="004A315F" w:rsidRDefault="004A315F" w:rsidP="004A315F">
      <w:pPr>
        <w:pStyle w:val="EndnoteText"/>
      </w:pPr>
      <w:r>
        <w:rPr>
          <w:rStyle w:val="EndnoteReference"/>
        </w:rPr>
        <w:endnoteRef/>
      </w:r>
      <w:r>
        <w:t xml:space="preserve"> </w:t>
      </w:r>
      <w:r w:rsidR="0065006C">
        <w:t>Explanatory Memorandum, Anti-Discrimination and Human Rights Legislation Amendment (Respect at Work) Bill 2022, at [351]-[353].</w:t>
      </w:r>
    </w:p>
  </w:endnote>
  <w:endnote w:id="14">
    <w:p w14:paraId="63EAE7A7" w14:textId="0ADB259C" w:rsidR="001B37A3" w:rsidRPr="001B37A3" w:rsidRDefault="001B37A3" w:rsidP="001B37A3">
      <w:pPr>
        <w:pStyle w:val="EndnoteText"/>
        <w:rPr>
          <w:lang w:val="en-US"/>
        </w:rPr>
      </w:pPr>
      <w:r>
        <w:rPr>
          <w:rStyle w:val="EndnoteReference"/>
        </w:rPr>
        <w:endnoteRef/>
      </w:r>
      <w:r>
        <w:t xml:space="preserve"> </w:t>
      </w:r>
      <w:r>
        <w:rPr>
          <w:lang w:val="en-US"/>
        </w:rPr>
        <w:t xml:space="preserve">Free and Equal </w:t>
      </w:r>
      <w:r w:rsidR="005D175F">
        <w:rPr>
          <w:lang w:val="en-US"/>
        </w:rPr>
        <w:t>position paper</w:t>
      </w:r>
      <w:r>
        <w:rPr>
          <w:lang w:val="en-US"/>
        </w:rPr>
        <w:t>, 196.</w:t>
      </w:r>
    </w:p>
  </w:endnote>
  <w:endnote w:id="15">
    <w:p w14:paraId="013BD478" w14:textId="58DA1B73" w:rsidR="00CD48C0" w:rsidRPr="00CD48C0" w:rsidRDefault="00CD48C0">
      <w:pPr>
        <w:pStyle w:val="EndnoteText"/>
        <w:rPr>
          <w:lang w:val="en-US"/>
        </w:rPr>
      </w:pPr>
      <w:r>
        <w:rPr>
          <w:rStyle w:val="EndnoteReference"/>
        </w:rPr>
        <w:endnoteRef/>
      </w:r>
      <w:r>
        <w:t xml:space="preserve"> </w:t>
      </w:r>
      <w:proofErr w:type="spellStart"/>
      <w:r>
        <w:rPr>
          <w:lang w:val="en-US"/>
        </w:rPr>
        <w:t>Respect@Work</w:t>
      </w:r>
      <w:proofErr w:type="spellEnd"/>
      <w:r>
        <w:rPr>
          <w:lang w:val="en-US"/>
        </w:rPr>
        <w:t xml:space="preserve"> report, 518.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F919" w14:textId="77777777" w:rsidR="00AC636D" w:rsidRPr="000465F1" w:rsidRDefault="00AC636D" w:rsidP="000465F1">
    <w:pPr>
      <w:pStyle w:val="Footer"/>
    </w:pPr>
    <w:r w:rsidRPr="000465F1">
      <w:t>ABN 47 996 232 602</w:t>
    </w:r>
  </w:p>
  <w:p w14:paraId="1B51FCC4" w14:textId="77777777" w:rsidR="00AC636D" w:rsidRPr="000465F1" w:rsidRDefault="00AC636D" w:rsidP="000465F1">
    <w:pPr>
      <w:pStyle w:val="Footer"/>
    </w:pPr>
    <w:r w:rsidRPr="000465F1">
      <w:t>Level 3, 175 Pitt Street, Sydney NSW 2000</w:t>
    </w:r>
  </w:p>
  <w:p w14:paraId="335AA606" w14:textId="77777777" w:rsidR="00AC636D" w:rsidRPr="000465F1" w:rsidRDefault="00AC636D" w:rsidP="000465F1">
    <w:pPr>
      <w:pStyle w:val="Footer"/>
    </w:pPr>
    <w:r w:rsidRPr="000465F1">
      <w:t>GPO Box 5218, Sydney NSW 2001</w:t>
    </w:r>
  </w:p>
  <w:p w14:paraId="379FFE36" w14:textId="77777777" w:rsidR="00AC636D" w:rsidRPr="000465F1" w:rsidRDefault="00AC636D" w:rsidP="000465F1">
    <w:pPr>
      <w:pStyle w:val="Footer"/>
    </w:pPr>
    <w:r w:rsidRPr="000465F1">
      <w:t>General enquiries 1300 369 711</w:t>
    </w:r>
  </w:p>
  <w:p w14:paraId="0FE822C7" w14:textId="77777777" w:rsidR="00AC636D" w:rsidRPr="000465F1" w:rsidRDefault="00AC636D" w:rsidP="000465F1">
    <w:pPr>
      <w:pStyle w:val="Footer"/>
    </w:pPr>
    <w:r w:rsidRPr="000465F1">
      <w:t>Complaints info line 1300 656 419</w:t>
    </w:r>
  </w:p>
  <w:p w14:paraId="578AF8DE" w14:textId="77777777" w:rsidR="00B34946" w:rsidRPr="000465F1" w:rsidRDefault="000465F1"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D77C" w14:textId="77777777" w:rsidR="00DC343B" w:rsidRDefault="00BF6406">
    <w:pPr>
      <w:pStyle w:val="Footer"/>
    </w:pPr>
    <w:r w:rsidRPr="00622508">
      <w:fldChar w:fldCharType="begin"/>
    </w:r>
    <w:r>
      <w:instrText xml:space="preserve"> PAGE   \* MERGEFORMAT </w:instrText>
    </w:r>
    <w:r w:rsidRPr="00622508">
      <w:fldChar w:fldCharType="separate"/>
    </w:r>
    <w:r w:rsidR="00A27ABE" w:rsidRPr="00AB7C8F">
      <w:t>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6211"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460EE0">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00EB" w14:textId="77777777" w:rsidR="0063009F" w:rsidRDefault="0063009F" w:rsidP="00E53546">
    <w:pPr>
      <w:pStyle w:val="FooterEvenPageNumber"/>
    </w:pPr>
    <w:r w:rsidRPr="00F127A8">
      <w:fldChar w:fldCharType="begin"/>
    </w:r>
    <w:r>
      <w:instrText xml:space="preserve"> PAGE   \* MERGEFORMAT </w:instrText>
    </w:r>
    <w:r w:rsidRPr="00F127A8">
      <w:fldChar w:fldCharType="separate"/>
    </w:r>
    <w:r w:rsidR="00460EE0">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786B" w14:textId="77777777" w:rsidR="00180E9D" w:rsidRDefault="00180E9D" w:rsidP="00F14C6D">
      <w:r>
        <w:separator/>
      </w:r>
    </w:p>
  </w:footnote>
  <w:footnote w:type="continuationSeparator" w:id="0">
    <w:p w14:paraId="024BAC2D" w14:textId="77777777" w:rsidR="00180E9D" w:rsidRDefault="00180E9D"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DE5C" w14:textId="77777777" w:rsidR="00BF6406" w:rsidRPr="000465F1" w:rsidRDefault="00000000" w:rsidP="000465F1">
    <w:pPr>
      <w:pStyle w:val="Header"/>
    </w:pPr>
    <w:r>
      <w:pict w14:anchorId="20080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43" type="#_x0000_t75" style="position:absolute;left:0;text-align:left;margin-left:0;margin-top:0;width:930.9pt;height:1359.95pt;z-index:-251658752;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07F8734D" w14:textId="77777777" w:rsidR="00B34946" w:rsidRPr="00622508" w:rsidRDefault="00BF6406" w:rsidP="00622508">
    <w:pPr>
      <w:pStyle w:val="Footer"/>
    </w:pPr>
    <w:r w:rsidRPr="001F62CC">
      <w:rPr>
        <w:rStyle w:val="HeaderDocumentTitle"/>
      </w:rPr>
      <w:t>Short title</w:t>
    </w:r>
    <w:r w:rsidRPr="00622508">
      <w:rPr>
        <w:rStyle w:val="HeaderDocumentTitle"/>
      </w:rPr>
      <w:t>, report name</w:t>
    </w:r>
    <w:r w:rsidR="001F62CC" w:rsidRPr="00622508">
      <w:rPr>
        <w:rStyle w:val="HeaderDocumentTitle"/>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9625" w14:textId="77777777" w:rsidR="00B34946" w:rsidRPr="000465F1" w:rsidRDefault="00000000" w:rsidP="000465F1">
    <w:r>
      <w:pict w14:anchorId="6EC4A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44" type="#_x0000_t75" style="position:absolute;margin-left:0;margin-top:0;width:930.9pt;height:1359.95pt;z-index:-251657728;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37B7C3A9" w14:textId="77777777" w:rsidR="00B34946" w:rsidRPr="000465F1" w:rsidRDefault="00B34946" w:rsidP="000465F1">
    <w:pPr>
      <w:pStyle w:val="Footer"/>
    </w:pPr>
    <w:r w:rsidRPr="000465F1">
      <w:t xml:space="preserve">Short document title, </w:t>
    </w:r>
    <w:proofErr w:type="gramStart"/>
    <w:r w:rsidRPr="000465F1">
      <w:t>Short</w:t>
    </w:r>
    <w:proofErr w:type="gramEnd"/>
    <w:r w:rsidRPr="000465F1">
      <w:t xml:space="preserve">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9A8C" w14:textId="77777777" w:rsidR="00CC2AA0" w:rsidRDefault="00000000" w:rsidP="002012F7">
    <w:pPr>
      <w:pStyle w:val="Header"/>
    </w:pPr>
    <w:r>
      <w:pict w14:anchorId="09E48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47" type="#_x0000_t75" style="position:absolute;left:0;text-align:left;margin-left:-71.05pt;margin-top:-108.5pt;width:595.65pt;height:870.15pt;z-index:-251656704;mso-position-horizontal-relative:margin;mso-position-vertical-relative:margin" o:allowincell="f">
          <v:imagedata r:id="rId1" o:title="MS word cover1"/>
          <w10:wrap anchorx="margin" anchory="margin"/>
        </v:shape>
      </w:pict>
    </w:r>
    <w:r>
      <w:pict w14:anchorId="201B736C">
        <v:shape id="WordPictureWatermark1034832" o:spid="_x0000_s1042" type="#_x0000_t75" style="position:absolute;left:0;text-align:left;margin-left:-70.9pt;margin-top:-109.05pt;width:595.1pt;height:869.4pt;z-index:-251659776;mso-position-horizontal-relative:margin;mso-position-vertical-relative:margin" o:allowincell="f">
          <v:imagedata r:id="rId2" o:title="report watermark"/>
          <w10:wrap anchorx="margin" anchory="margin"/>
        </v:shape>
      </w:pict>
    </w:r>
  </w:p>
  <w:p w14:paraId="5AE0B670" w14:textId="77777777" w:rsidR="008B3899" w:rsidRDefault="008B3899" w:rsidP="002012F7">
    <w:pPr>
      <w:pStyle w:val="Header"/>
    </w:pPr>
  </w:p>
  <w:p w14:paraId="79C3CEC2"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40EC" w14:textId="77777777" w:rsidR="0015239E" w:rsidRPr="000465F1" w:rsidRDefault="0015239E" w:rsidP="0015239E">
    <w:pPr>
      <w:pStyle w:val="Header"/>
    </w:pPr>
    <w:r w:rsidRPr="000465F1">
      <w:t>Australian Human Rights Commission</w:t>
    </w:r>
  </w:p>
  <w:p w14:paraId="06F17661" w14:textId="13418936" w:rsidR="00C00733" w:rsidRDefault="00F95BB2" w:rsidP="00C00733">
    <w:pPr>
      <w:pStyle w:val="HeaderDocumentDate"/>
    </w:pPr>
    <w:r>
      <w:rPr>
        <w:rStyle w:val="HeaderDocumentTitle"/>
      </w:rPr>
      <w:t>Review into an appropriate cost model for Commonwealth anti-discrimination laws</w:t>
    </w:r>
    <w:r w:rsidR="00D64C71">
      <w:rPr>
        <w:rStyle w:val="HeaderDocumentTitle"/>
      </w:rPr>
      <w:t xml:space="preserve">, </w:t>
    </w:r>
    <w:r w:rsidRPr="001406A5">
      <w:t>1</w:t>
    </w:r>
    <w:r w:rsidR="001406A5" w:rsidRPr="001406A5">
      <w:t>2</w:t>
    </w:r>
    <w:r w:rsidRPr="001406A5">
      <w:t xml:space="preserve"> April 2023</w:t>
    </w:r>
    <w:r w:rsidR="00C00733">
      <w:fldChar w:fldCharType="begin"/>
    </w:r>
    <w:r w:rsidR="00C00733">
      <w:instrText xml:space="preserve"> CREATEDATE  \@ "d MMMM yyyy"  \* MERGEFORMAT </w:instrText>
    </w:r>
    <w:r w:rsidR="00000000">
      <w:fldChar w:fldCharType="separate"/>
    </w:r>
    <w:r w:rsidR="008509EC">
      <w:rPr>
        <w:noProof/>
      </w:rPr>
      <w:t>12 April 2023</w:t>
    </w:r>
    <w:r w:rsidR="00C00733">
      <w:fldChar w:fldCharType="end"/>
    </w:r>
  </w:p>
  <w:p w14:paraId="7AF7DE5A" w14:textId="77777777" w:rsidR="00C93409" w:rsidRPr="000465F1" w:rsidRDefault="00C93409" w:rsidP="00C00733">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580B" w14:textId="77777777" w:rsidR="00BF6406" w:rsidRPr="000465F1" w:rsidRDefault="00BF6406" w:rsidP="00CA5D90">
    <w:pPr>
      <w:pStyle w:val="Header"/>
    </w:pPr>
    <w:bookmarkStart w:id="20" w:name="_Hlk514672172"/>
    <w:bookmarkStart w:id="21" w:name="_Hlk514672173"/>
    <w:r w:rsidRPr="000465F1">
      <w:t>Australian Human Rights Commission</w:t>
    </w:r>
  </w:p>
  <w:bookmarkEnd w:id="20"/>
  <w:bookmarkEnd w:id="21"/>
  <w:p w14:paraId="5BB3664D" w14:textId="3C172BDB" w:rsidR="00C00733" w:rsidRDefault="00F95BB2" w:rsidP="00C00733">
    <w:pPr>
      <w:pStyle w:val="HeaderDocumentDate"/>
    </w:pPr>
    <w:r>
      <w:rPr>
        <w:rStyle w:val="HeaderDocumentTitle"/>
      </w:rPr>
      <w:t>Review into an appropriate cost model for Commonwealth anti-discrimination laws</w:t>
    </w:r>
    <w:r w:rsidR="00D64C71">
      <w:rPr>
        <w:rStyle w:val="HeaderDocumentTitle"/>
      </w:rPr>
      <w:t xml:space="preserve">, </w:t>
    </w:r>
    <w:r w:rsidR="00906D33" w:rsidRPr="001406A5">
      <w:t>1</w:t>
    </w:r>
    <w:r w:rsidR="001406A5" w:rsidRPr="001406A5">
      <w:t>2</w:t>
    </w:r>
    <w:r w:rsidR="00906D33" w:rsidRPr="001406A5">
      <w:t xml:space="preserve"> April 2023</w:t>
    </w:r>
  </w:p>
  <w:p w14:paraId="1878F185" w14:textId="77777777" w:rsidR="00C93409" w:rsidRPr="000465F1" w:rsidRDefault="00C93409" w:rsidP="00C00733">
    <w:pPr>
      <w:pStyle w:val="HeaderDocumentDa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F800" w14:textId="77777777" w:rsidR="0063009F" w:rsidRPr="000465F1" w:rsidRDefault="0063009F" w:rsidP="0063009F">
    <w:pPr>
      <w:pStyle w:val="Header"/>
    </w:pPr>
    <w:r w:rsidRPr="000465F1">
      <w:t>Australian Human Rights Commission</w:t>
    </w:r>
  </w:p>
  <w:p w14:paraId="564FFBF4" w14:textId="249B9D5D" w:rsidR="0063009F" w:rsidRPr="000465F1" w:rsidRDefault="00F95BB2" w:rsidP="0063009F">
    <w:pPr>
      <w:pStyle w:val="HeaderDocumentDate"/>
    </w:pPr>
    <w:r>
      <w:rPr>
        <w:rStyle w:val="HeaderDocumentTitle"/>
      </w:rPr>
      <w:t>Review into an appropriate cost model for Commonwealth anti-discrimination laws</w:t>
    </w:r>
    <w:r w:rsidR="0063009F" w:rsidRPr="001F62CC">
      <w:rPr>
        <w:rStyle w:val="HeaderDocumentTitle"/>
      </w:rPr>
      <w:t>,</w:t>
    </w:r>
    <w:r w:rsidR="0063009F">
      <w:t xml:space="preserve"> </w:t>
    </w:r>
    <w:r w:rsidR="00650E26" w:rsidRPr="001406A5">
      <w:fldChar w:fldCharType="begin"/>
    </w:r>
    <w:r w:rsidR="00650E26" w:rsidRPr="001406A5">
      <w:instrText xml:space="preserve"> CREATEDATE  \@ "d MMMM yyyy"  \* MERGEFORMAT </w:instrText>
    </w:r>
    <w:r w:rsidR="00650E26" w:rsidRPr="001406A5">
      <w:fldChar w:fldCharType="separate"/>
    </w:r>
    <w:r w:rsidR="008509EC">
      <w:rPr>
        <w:noProof/>
      </w:rPr>
      <w:t>12 April 2023</w:t>
    </w:r>
    <w:r w:rsidR="00650E26" w:rsidRPr="001406A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E07F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44E4B46"/>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629240986">
    <w:abstractNumId w:val="13"/>
  </w:num>
  <w:num w:numId="2" w16cid:durableId="1703626130">
    <w:abstractNumId w:val="9"/>
  </w:num>
  <w:num w:numId="3" w16cid:durableId="937982610">
    <w:abstractNumId w:val="7"/>
  </w:num>
  <w:num w:numId="4" w16cid:durableId="847981131">
    <w:abstractNumId w:val="6"/>
  </w:num>
  <w:num w:numId="5" w16cid:durableId="453327950">
    <w:abstractNumId w:val="5"/>
  </w:num>
  <w:num w:numId="6" w16cid:durableId="1569536208">
    <w:abstractNumId w:val="4"/>
  </w:num>
  <w:num w:numId="7" w16cid:durableId="1567183886">
    <w:abstractNumId w:val="8"/>
  </w:num>
  <w:num w:numId="8" w16cid:durableId="407313364">
    <w:abstractNumId w:val="1"/>
  </w:num>
  <w:num w:numId="9" w16cid:durableId="1520584185">
    <w:abstractNumId w:val="0"/>
  </w:num>
  <w:num w:numId="10" w16cid:durableId="680476244">
    <w:abstractNumId w:val="3"/>
  </w:num>
  <w:num w:numId="11" w16cid:durableId="367222531">
    <w:abstractNumId w:val="2"/>
  </w:num>
  <w:num w:numId="12" w16cid:durableId="1438014949">
    <w:abstractNumId w:val="14"/>
  </w:num>
  <w:num w:numId="13" w16cid:durableId="1411078451">
    <w:abstractNumId w:val="12"/>
  </w:num>
  <w:num w:numId="14" w16cid:durableId="311253587">
    <w:abstractNumId w:val="11"/>
  </w:num>
  <w:num w:numId="15" w16cid:durableId="1998336111">
    <w:abstractNumId w:val="10"/>
  </w:num>
  <w:num w:numId="16" w16cid:durableId="1842087983">
    <w:abstractNumId w:val="8"/>
  </w:num>
  <w:num w:numId="17" w16cid:durableId="1385135165">
    <w:abstractNumId w:val="8"/>
  </w:num>
  <w:num w:numId="18" w16cid:durableId="23019516">
    <w:abstractNumId w:val="8"/>
  </w:num>
  <w:num w:numId="19" w16cid:durableId="1865513358">
    <w:abstractNumId w:val="8"/>
  </w:num>
  <w:num w:numId="20" w16cid:durableId="1977946452">
    <w:abstractNumId w:val="9"/>
  </w:num>
  <w:num w:numId="21" w16cid:durableId="529608195">
    <w:abstractNumId w:val="8"/>
  </w:num>
  <w:num w:numId="22" w16cid:durableId="693924638">
    <w:abstractNumId w:val="8"/>
  </w:num>
  <w:num w:numId="23" w16cid:durableId="1334265139">
    <w:abstractNumId w:val="8"/>
  </w:num>
  <w:num w:numId="24" w16cid:durableId="705450476">
    <w:abstractNumId w:val="8"/>
  </w:num>
  <w:num w:numId="25" w16cid:durableId="390032957">
    <w:abstractNumId w:val="8"/>
  </w:num>
  <w:num w:numId="26" w16cid:durableId="400521953">
    <w:abstractNumId w:val="8"/>
  </w:num>
  <w:num w:numId="27" w16cid:durableId="10766366">
    <w:abstractNumId w:val="8"/>
  </w:num>
  <w:num w:numId="28" w16cid:durableId="1281716855">
    <w:abstractNumId w:val="8"/>
  </w:num>
  <w:num w:numId="29" w16cid:durableId="1275016210">
    <w:abstractNumId w:val="8"/>
  </w:num>
  <w:num w:numId="30" w16cid:durableId="1817212427">
    <w:abstractNumId w:val="8"/>
  </w:num>
  <w:num w:numId="31" w16cid:durableId="1070734245">
    <w:abstractNumId w:val="8"/>
  </w:num>
  <w:num w:numId="32" w16cid:durableId="1961498210">
    <w:abstractNumId w:val="8"/>
  </w:num>
  <w:num w:numId="33" w16cid:durableId="951474655">
    <w:abstractNumId w:val="8"/>
  </w:num>
  <w:num w:numId="34" w16cid:durableId="1020427567">
    <w:abstractNumId w:val="8"/>
  </w:num>
  <w:num w:numId="35" w16cid:durableId="50914964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CB"/>
    <w:rsid w:val="000015EC"/>
    <w:rsid w:val="00003EA5"/>
    <w:rsid w:val="00013679"/>
    <w:rsid w:val="000161C2"/>
    <w:rsid w:val="0002476A"/>
    <w:rsid w:val="00033484"/>
    <w:rsid w:val="00036BE4"/>
    <w:rsid w:val="000430B8"/>
    <w:rsid w:val="00045712"/>
    <w:rsid w:val="00045C4B"/>
    <w:rsid w:val="000465F1"/>
    <w:rsid w:val="000502E9"/>
    <w:rsid w:val="000579B1"/>
    <w:rsid w:val="00057A15"/>
    <w:rsid w:val="00061C6C"/>
    <w:rsid w:val="00064862"/>
    <w:rsid w:val="00066630"/>
    <w:rsid w:val="00072EDA"/>
    <w:rsid w:val="0007549A"/>
    <w:rsid w:val="000774AB"/>
    <w:rsid w:val="000818C7"/>
    <w:rsid w:val="00095E15"/>
    <w:rsid w:val="000A0FC7"/>
    <w:rsid w:val="000A1DB8"/>
    <w:rsid w:val="000A48AC"/>
    <w:rsid w:val="000A520E"/>
    <w:rsid w:val="000B0603"/>
    <w:rsid w:val="000B0A5D"/>
    <w:rsid w:val="000B3FCA"/>
    <w:rsid w:val="000B5B68"/>
    <w:rsid w:val="000C0743"/>
    <w:rsid w:val="000C3B1F"/>
    <w:rsid w:val="000C5608"/>
    <w:rsid w:val="000C5DA6"/>
    <w:rsid w:val="000E130A"/>
    <w:rsid w:val="000F1F2A"/>
    <w:rsid w:val="000F7A7D"/>
    <w:rsid w:val="001131B0"/>
    <w:rsid w:val="00127161"/>
    <w:rsid w:val="00134774"/>
    <w:rsid w:val="00140274"/>
    <w:rsid w:val="001406A5"/>
    <w:rsid w:val="00151263"/>
    <w:rsid w:val="0015239E"/>
    <w:rsid w:val="00154AE5"/>
    <w:rsid w:val="0016098C"/>
    <w:rsid w:val="0016266F"/>
    <w:rsid w:val="00162A8D"/>
    <w:rsid w:val="00163460"/>
    <w:rsid w:val="00165E3C"/>
    <w:rsid w:val="00171FAC"/>
    <w:rsid w:val="00173FB5"/>
    <w:rsid w:val="00174D9A"/>
    <w:rsid w:val="00180E9D"/>
    <w:rsid w:val="001839B6"/>
    <w:rsid w:val="00185B94"/>
    <w:rsid w:val="001924EB"/>
    <w:rsid w:val="00194773"/>
    <w:rsid w:val="00195EDE"/>
    <w:rsid w:val="001A5DC9"/>
    <w:rsid w:val="001A5EF9"/>
    <w:rsid w:val="001A6926"/>
    <w:rsid w:val="001B0353"/>
    <w:rsid w:val="001B37A3"/>
    <w:rsid w:val="001B76A7"/>
    <w:rsid w:val="001C1CDF"/>
    <w:rsid w:val="001C1F8B"/>
    <w:rsid w:val="001E29C5"/>
    <w:rsid w:val="001E5676"/>
    <w:rsid w:val="001E7E8F"/>
    <w:rsid w:val="001F0C78"/>
    <w:rsid w:val="001F2BBB"/>
    <w:rsid w:val="001F52FD"/>
    <w:rsid w:val="001F62CC"/>
    <w:rsid w:val="00200677"/>
    <w:rsid w:val="002012F7"/>
    <w:rsid w:val="002027F6"/>
    <w:rsid w:val="002068EB"/>
    <w:rsid w:val="00211DB1"/>
    <w:rsid w:val="0022773D"/>
    <w:rsid w:val="00231ED1"/>
    <w:rsid w:val="00232454"/>
    <w:rsid w:val="00232EEE"/>
    <w:rsid w:val="00241523"/>
    <w:rsid w:val="00242624"/>
    <w:rsid w:val="0024557E"/>
    <w:rsid w:val="00245765"/>
    <w:rsid w:val="002471FD"/>
    <w:rsid w:val="00261154"/>
    <w:rsid w:val="002632EA"/>
    <w:rsid w:val="00270161"/>
    <w:rsid w:val="00275B08"/>
    <w:rsid w:val="0028152B"/>
    <w:rsid w:val="002835F0"/>
    <w:rsid w:val="0028506A"/>
    <w:rsid w:val="002850B0"/>
    <w:rsid w:val="002858A5"/>
    <w:rsid w:val="002863D7"/>
    <w:rsid w:val="002873B4"/>
    <w:rsid w:val="00287ACC"/>
    <w:rsid w:val="00292AB5"/>
    <w:rsid w:val="0029727A"/>
    <w:rsid w:val="002A43C2"/>
    <w:rsid w:val="002B1B65"/>
    <w:rsid w:val="002C02DB"/>
    <w:rsid w:val="002C1866"/>
    <w:rsid w:val="002D5A9C"/>
    <w:rsid w:val="002E5A1B"/>
    <w:rsid w:val="002F1472"/>
    <w:rsid w:val="002F1BE7"/>
    <w:rsid w:val="002F4CE1"/>
    <w:rsid w:val="002F5E96"/>
    <w:rsid w:val="0030053D"/>
    <w:rsid w:val="00300F22"/>
    <w:rsid w:val="00304A37"/>
    <w:rsid w:val="00306876"/>
    <w:rsid w:val="0031040E"/>
    <w:rsid w:val="00310ED4"/>
    <w:rsid w:val="00312301"/>
    <w:rsid w:val="0031492A"/>
    <w:rsid w:val="003157DB"/>
    <w:rsid w:val="00316C1A"/>
    <w:rsid w:val="00323C73"/>
    <w:rsid w:val="00325D6F"/>
    <w:rsid w:val="00330D34"/>
    <w:rsid w:val="00331141"/>
    <w:rsid w:val="003423F4"/>
    <w:rsid w:val="00344758"/>
    <w:rsid w:val="00347142"/>
    <w:rsid w:val="00347FC0"/>
    <w:rsid w:val="00350417"/>
    <w:rsid w:val="00350D1B"/>
    <w:rsid w:val="00355959"/>
    <w:rsid w:val="003565A8"/>
    <w:rsid w:val="003566EA"/>
    <w:rsid w:val="003656CD"/>
    <w:rsid w:val="00366153"/>
    <w:rsid w:val="00372C79"/>
    <w:rsid w:val="00372E19"/>
    <w:rsid w:val="00376C6C"/>
    <w:rsid w:val="00377DFD"/>
    <w:rsid w:val="0038390B"/>
    <w:rsid w:val="00387092"/>
    <w:rsid w:val="00390E5E"/>
    <w:rsid w:val="003A168E"/>
    <w:rsid w:val="003A48B7"/>
    <w:rsid w:val="003B176F"/>
    <w:rsid w:val="003B3CC4"/>
    <w:rsid w:val="003B41BC"/>
    <w:rsid w:val="003B43B9"/>
    <w:rsid w:val="003C2EFC"/>
    <w:rsid w:val="003D7257"/>
    <w:rsid w:val="003E5DEF"/>
    <w:rsid w:val="003F2070"/>
    <w:rsid w:val="0040497E"/>
    <w:rsid w:val="00422319"/>
    <w:rsid w:val="00422417"/>
    <w:rsid w:val="00424233"/>
    <w:rsid w:val="00442160"/>
    <w:rsid w:val="00443FE4"/>
    <w:rsid w:val="00445CB5"/>
    <w:rsid w:val="00445EBB"/>
    <w:rsid w:val="00450A11"/>
    <w:rsid w:val="00457883"/>
    <w:rsid w:val="00460EE0"/>
    <w:rsid w:val="0046589E"/>
    <w:rsid w:val="004712FB"/>
    <w:rsid w:val="00471BB7"/>
    <w:rsid w:val="00472EFF"/>
    <w:rsid w:val="004735CC"/>
    <w:rsid w:val="00474063"/>
    <w:rsid w:val="00476793"/>
    <w:rsid w:val="00481B2A"/>
    <w:rsid w:val="00482091"/>
    <w:rsid w:val="00490528"/>
    <w:rsid w:val="00495235"/>
    <w:rsid w:val="004960CD"/>
    <w:rsid w:val="004A187B"/>
    <w:rsid w:val="004A2D3C"/>
    <w:rsid w:val="004A315F"/>
    <w:rsid w:val="004A6E14"/>
    <w:rsid w:val="004B3039"/>
    <w:rsid w:val="004B49E7"/>
    <w:rsid w:val="004B4B7F"/>
    <w:rsid w:val="004B4ECB"/>
    <w:rsid w:val="004C7412"/>
    <w:rsid w:val="004D04BF"/>
    <w:rsid w:val="004E0DFF"/>
    <w:rsid w:val="004F1C7C"/>
    <w:rsid w:val="004F3266"/>
    <w:rsid w:val="00510390"/>
    <w:rsid w:val="005123F0"/>
    <w:rsid w:val="00513540"/>
    <w:rsid w:val="00513941"/>
    <w:rsid w:val="00513EF9"/>
    <w:rsid w:val="00515534"/>
    <w:rsid w:val="0053051D"/>
    <w:rsid w:val="005357EC"/>
    <w:rsid w:val="00542403"/>
    <w:rsid w:val="00564208"/>
    <w:rsid w:val="00571CEB"/>
    <w:rsid w:val="00581239"/>
    <w:rsid w:val="005865A2"/>
    <w:rsid w:val="005917CB"/>
    <w:rsid w:val="00591951"/>
    <w:rsid w:val="005A0964"/>
    <w:rsid w:val="005B36F6"/>
    <w:rsid w:val="005C18B2"/>
    <w:rsid w:val="005C2ECF"/>
    <w:rsid w:val="005C3E13"/>
    <w:rsid w:val="005C5D41"/>
    <w:rsid w:val="005D175F"/>
    <w:rsid w:val="005D1F34"/>
    <w:rsid w:val="005D383D"/>
    <w:rsid w:val="0060343A"/>
    <w:rsid w:val="006070ED"/>
    <w:rsid w:val="00613A3B"/>
    <w:rsid w:val="00616F88"/>
    <w:rsid w:val="00622508"/>
    <w:rsid w:val="0063009F"/>
    <w:rsid w:val="006356C5"/>
    <w:rsid w:val="00635F92"/>
    <w:rsid w:val="00636CA4"/>
    <w:rsid w:val="006453CB"/>
    <w:rsid w:val="0065006C"/>
    <w:rsid w:val="00650E26"/>
    <w:rsid w:val="00654793"/>
    <w:rsid w:val="00654956"/>
    <w:rsid w:val="0067598F"/>
    <w:rsid w:val="006871D8"/>
    <w:rsid w:val="00687AF3"/>
    <w:rsid w:val="00697EDF"/>
    <w:rsid w:val="006A0F4B"/>
    <w:rsid w:val="006A1489"/>
    <w:rsid w:val="006A6BB3"/>
    <w:rsid w:val="006B3470"/>
    <w:rsid w:val="006B3DE1"/>
    <w:rsid w:val="006C0642"/>
    <w:rsid w:val="006C4F3D"/>
    <w:rsid w:val="006D0407"/>
    <w:rsid w:val="006D5EE5"/>
    <w:rsid w:val="006E6D3B"/>
    <w:rsid w:val="006F5211"/>
    <w:rsid w:val="00711FDB"/>
    <w:rsid w:val="00713457"/>
    <w:rsid w:val="00714FF5"/>
    <w:rsid w:val="007239CC"/>
    <w:rsid w:val="00723F78"/>
    <w:rsid w:val="00730BD2"/>
    <w:rsid w:val="00746D91"/>
    <w:rsid w:val="00751B6F"/>
    <w:rsid w:val="007523A8"/>
    <w:rsid w:val="007540BF"/>
    <w:rsid w:val="007561CB"/>
    <w:rsid w:val="00761FC2"/>
    <w:rsid w:val="007637A8"/>
    <w:rsid w:val="0076504A"/>
    <w:rsid w:val="00765B58"/>
    <w:rsid w:val="00770DCB"/>
    <w:rsid w:val="00774DF5"/>
    <w:rsid w:val="00775485"/>
    <w:rsid w:val="00783532"/>
    <w:rsid w:val="007843CB"/>
    <w:rsid w:val="007846B5"/>
    <w:rsid w:val="00785220"/>
    <w:rsid w:val="00796125"/>
    <w:rsid w:val="007A1382"/>
    <w:rsid w:val="007B06EA"/>
    <w:rsid w:val="007C18E8"/>
    <w:rsid w:val="007D2F00"/>
    <w:rsid w:val="007D37A1"/>
    <w:rsid w:val="007E5B88"/>
    <w:rsid w:val="007E6C68"/>
    <w:rsid w:val="007F0D0B"/>
    <w:rsid w:val="007F1E4A"/>
    <w:rsid w:val="008007A8"/>
    <w:rsid w:val="00800DD4"/>
    <w:rsid w:val="00803478"/>
    <w:rsid w:val="008042D9"/>
    <w:rsid w:val="00814FC0"/>
    <w:rsid w:val="00817C73"/>
    <w:rsid w:val="00823005"/>
    <w:rsid w:val="008337D1"/>
    <w:rsid w:val="008347CD"/>
    <w:rsid w:val="0084439D"/>
    <w:rsid w:val="008449B9"/>
    <w:rsid w:val="00847191"/>
    <w:rsid w:val="008509EC"/>
    <w:rsid w:val="0086254F"/>
    <w:rsid w:val="008724DE"/>
    <w:rsid w:val="008758D9"/>
    <w:rsid w:val="00876532"/>
    <w:rsid w:val="00877820"/>
    <w:rsid w:val="00882B0A"/>
    <w:rsid w:val="008A3D57"/>
    <w:rsid w:val="008B23BC"/>
    <w:rsid w:val="008B3899"/>
    <w:rsid w:val="008C6E23"/>
    <w:rsid w:val="008D63C4"/>
    <w:rsid w:val="008D72E7"/>
    <w:rsid w:val="008E328C"/>
    <w:rsid w:val="008E3D60"/>
    <w:rsid w:val="008E3F4C"/>
    <w:rsid w:val="008F062E"/>
    <w:rsid w:val="008F1E5F"/>
    <w:rsid w:val="008F77A5"/>
    <w:rsid w:val="0090165F"/>
    <w:rsid w:val="00901B82"/>
    <w:rsid w:val="009029A5"/>
    <w:rsid w:val="00906D33"/>
    <w:rsid w:val="00912B09"/>
    <w:rsid w:val="00920214"/>
    <w:rsid w:val="009324AA"/>
    <w:rsid w:val="00941E06"/>
    <w:rsid w:val="009432CF"/>
    <w:rsid w:val="00953A48"/>
    <w:rsid w:val="00955BD4"/>
    <w:rsid w:val="00961D71"/>
    <w:rsid w:val="00963D52"/>
    <w:rsid w:val="00966C2F"/>
    <w:rsid w:val="0096742A"/>
    <w:rsid w:val="009704A3"/>
    <w:rsid w:val="00974B49"/>
    <w:rsid w:val="0097512B"/>
    <w:rsid w:val="00975E72"/>
    <w:rsid w:val="00982404"/>
    <w:rsid w:val="009A1259"/>
    <w:rsid w:val="009A2220"/>
    <w:rsid w:val="009A2E50"/>
    <w:rsid w:val="009A7C56"/>
    <w:rsid w:val="009B77CC"/>
    <w:rsid w:val="009C113E"/>
    <w:rsid w:val="009C2315"/>
    <w:rsid w:val="009D4536"/>
    <w:rsid w:val="009D67F6"/>
    <w:rsid w:val="009D6FB6"/>
    <w:rsid w:val="009E08D1"/>
    <w:rsid w:val="009E0FE1"/>
    <w:rsid w:val="009E1036"/>
    <w:rsid w:val="009E2976"/>
    <w:rsid w:val="009E4BD0"/>
    <w:rsid w:val="009F2764"/>
    <w:rsid w:val="009F64EC"/>
    <w:rsid w:val="00A00460"/>
    <w:rsid w:val="00A0406E"/>
    <w:rsid w:val="00A11307"/>
    <w:rsid w:val="00A13AF3"/>
    <w:rsid w:val="00A21388"/>
    <w:rsid w:val="00A264B6"/>
    <w:rsid w:val="00A27791"/>
    <w:rsid w:val="00A27ABE"/>
    <w:rsid w:val="00A355F9"/>
    <w:rsid w:val="00A3638B"/>
    <w:rsid w:val="00A41355"/>
    <w:rsid w:val="00A437B6"/>
    <w:rsid w:val="00A43B92"/>
    <w:rsid w:val="00A50592"/>
    <w:rsid w:val="00A54251"/>
    <w:rsid w:val="00A576AC"/>
    <w:rsid w:val="00A616BF"/>
    <w:rsid w:val="00A6179E"/>
    <w:rsid w:val="00A634D0"/>
    <w:rsid w:val="00A64316"/>
    <w:rsid w:val="00A67EF1"/>
    <w:rsid w:val="00A746F0"/>
    <w:rsid w:val="00A76042"/>
    <w:rsid w:val="00A77023"/>
    <w:rsid w:val="00A77B11"/>
    <w:rsid w:val="00A804D9"/>
    <w:rsid w:val="00A82CA5"/>
    <w:rsid w:val="00A8573B"/>
    <w:rsid w:val="00A8747F"/>
    <w:rsid w:val="00A92915"/>
    <w:rsid w:val="00A92F92"/>
    <w:rsid w:val="00A96892"/>
    <w:rsid w:val="00AA2051"/>
    <w:rsid w:val="00AA70C4"/>
    <w:rsid w:val="00AB06BF"/>
    <w:rsid w:val="00AB7C8F"/>
    <w:rsid w:val="00AC0E92"/>
    <w:rsid w:val="00AC13BA"/>
    <w:rsid w:val="00AC2192"/>
    <w:rsid w:val="00AC631A"/>
    <w:rsid w:val="00AC636D"/>
    <w:rsid w:val="00AD0B99"/>
    <w:rsid w:val="00AE2DC6"/>
    <w:rsid w:val="00AE3A8B"/>
    <w:rsid w:val="00AE5949"/>
    <w:rsid w:val="00AE63FC"/>
    <w:rsid w:val="00AE7877"/>
    <w:rsid w:val="00AF3D0D"/>
    <w:rsid w:val="00AF4653"/>
    <w:rsid w:val="00B00F61"/>
    <w:rsid w:val="00B15F69"/>
    <w:rsid w:val="00B237FB"/>
    <w:rsid w:val="00B24B1D"/>
    <w:rsid w:val="00B26C33"/>
    <w:rsid w:val="00B277E0"/>
    <w:rsid w:val="00B30585"/>
    <w:rsid w:val="00B32CF9"/>
    <w:rsid w:val="00B34946"/>
    <w:rsid w:val="00B4079B"/>
    <w:rsid w:val="00B519FD"/>
    <w:rsid w:val="00B51F85"/>
    <w:rsid w:val="00B520BC"/>
    <w:rsid w:val="00B539CC"/>
    <w:rsid w:val="00B53A5C"/>
    <w:rsid w:val="00B605B1"/>
    <w:rsid w:val="00B61911"/>
    <w:rsid w:val="00B63D24"/>
    <w:rsid w:val="00B82E4A"/>
    <w:rsid w:val="00B87BEE"/>
    <w:rsid w:val="00B924E6"/>
    <w:rsid w:val="00BA262D"/>
    <w:rsid w:val="00BA5698"/>
    <w:rsid w:val="00BB3A8E"/>
    <w:rsid w:val="00BC4D21"/>
    <w:rsid w:val="00BC79EB"/>
    <w:rsid w:val="00BD7FCF"/>
    <w:rsid w:val="00BE15AF"/>
    <w:rsid w:val="00BE7615"/>
    <w:rsid w:val="00BF6406"/>
    <w:rsid w:val="00C00733"/>
    <w:rsid w:val="00C064DC"/>
    <w:rsid w:val="00C07694"/>
    <w:rsid w:val="00C149BD"/>
    <w:rsid w:val="00C1719E"/>
    <w:rsid w:val="00C2531A"/>
    <w:rsid w:val="00C257E1"/>
    <w:rsid w:val="00C25BDA"/>
    <w:rsid w:val="00C33104"/>
    <w:rsid w:val="00C332D4"/>
    <w:rsid w:val="00C41010"/>
    <w:rsid w:val="00C4591E"/>
    <w:rsid w:val="00C51011"/>
    <w:rsid w:val="00C560AC"/>
    <w:rsid w:val="00C5781C"/>
    <w:rsid w:val="00C60343"/>
    <w:rsid w:val="00C854D4"/>
    <w:rsid w:val="00C85D72"/>
    <w:rsid w:val="00C90556"/>
    <w:rsid w:val="00C91F34"/>
    <w:rsid w:val="00C93409"/>
    <w:rsid w:val="00C94119"/>
    <w:rsid w:val="00CA0D78"/>
    <w:rsid w:val="00CA4855"/>
    <w:rsid w:val="00CA531B"/>
    <w:rsid w:val="00CA5D90"/>
    <w:rsid w:val="00CB24FE"/>
    <w:rsid w:val="00CB3CD8"/>
    <w:rsid w:val="00CC2AA0"/>
    <w:rsid w:val="00CC2C29"/>
    <w:rsid w:val="00CC7AB8"/>
    <w:rsid w:val="00CD3B45"/>
    <w:rsid w:val="00CD48C0"/>
    <w:rsid w:val="00CD4D3C"/>
    <w:rsid w:val="00CD58FD"/>
    <w:rsid w:val="00D02FAF"/>
    <w:rsid w:val="00D03307"/>
    <w:rsid w:val="00D11826"/>
    <w:rsid w:val="00D25C49"/>
    <w:rsid w:val="00D3248B"/>
    <w:rsid w:val="00D343FA"/>
    <w:rsid w:val="00D37D0B"/>
    <w:rsid w:val="00D418FF"/>
    <w:rsid w:val="00D437EE"/>
    <w:rsid w:val="00D503A9"/>
    <w:rsid w:val="00D515D1"/>
    <w:rsid w:val="00D61E81"/>
    <w:rsid w:val="00D635D8"/>
    <w:rsid w:val="00D64C71"/>
    <w:rsid w:val="00D65C76"/>
    <w:rsid w:val="00D67ECD"/>
    <w:rsid w:val="00D734C7"/>
    <w:rsid w:val="00D7542B"/>
    <w:rsid w:val="00D77F93"/>
    <w:rsid w:val="00D813D6"/>
    <w:rsid w:val="00D8351F"/>
    <w:rsid w:val="00DA02B7"/>
    <w:rsid w:val="00DA1D32"/>
    <w:rsid w:val="00DA2F73"/>
    <w:rsid w:val="00DA3208"/>
    <w:rsid w:val="00DA7A55"/>
    <w:rsid w:val="00DB02AC"/>
    <w:rsid w:val="00DB3EEA"/>
    <w:rsid w:val="00DB790E"/>
    <w:rsid w:val="00DC307B"/>
    <w:rsid w:val="00DC343B"/>
    <w:rsid w:val="00DC462F"/>
    <w:rsid w:val="00DC499A"/>
    <w:rsid w:val="00DD0437"/>
    <w:rsid w:val="00DD6A21"/>
    <w:rsid w:val="00DD711D"/>
    <w:rsid w:val="00DE18A7"/>
    <w:rsid w:val="00DE2EFB"/>
    <w:rsid w:val="00DE33EE"/>
    <w:rsid w:val="00DE5A79"/>
    <w:rsid w:val="00DE60CA"/>
    <w:rsid w:val="00DF5717"/>
    <w:rsid w:val="00DF661F"/>
    <w:rsid w:val="00DF718B"/>
    <w:rsid w:val="00E02517"/>
    <w:rsid w:val="00E14833"/>
    <w:rsid w:val="00E1675F"/>
    <w:rsid w:val="00E206F3"/>
    <w:rsid w:val="00E22FF0"/>
    <w:rsid w:val="00E24FA3"/>
    <w:rsid w:val="00E2699F"/>
    <w:rsid w:val="00E26B28"/>
    <w:rsid w:val="00E27125"/>
    <w:rsid w:val="00E31465"/>
    <w:rsid w:val="00E328CD"/>
    <w:rsid w:val="00E3489E"/>
    <w:rsid w:val="00E362F0"/>
    <w:rsid w:val="00E36B95"/>
    <w:rsid w:val="00E4003F"/>
    <w:rsid w:val="00E40516"/>
    <w:rsid w:val="00E43F6F"/>
    <w:rsid w:val="00E458F6"/>
    <w:rsid w:val="00E45954"/>
    <w:rsid w:val="00E46704"/>
    <w:rsid w:val="00E50ABF"/>
    <w:rsid w:val="00E50DA1"/>
    <w:rsid w:val="00E53546"/>
    <w:rsid w:val="00E5525C"/>
    <w:rsid w:val="00E55F24"/>
    <w:rsid w:val="00E66C08"/>
    <w:rsid w:val="00E73334"/>
    <w:rsid w:val="00E74DE2"/>
    <w:rsid w:val="00E954E2"/>
    <w:rsid w:val="00EA2EF1"/>
    <w:rsid w:val="00EA40CA"/>
    <w:rsid w:val="00EA44D9"/>
    <w:rsid w:val="00EA53B4"/>
    <w:rsid w:val="00EA58EE"/>
    <w:rsid w:val="00EB01B4"/>
    <w:rsid w:val="00EB6A76"/>
    <w:rsid w:val="00EC788E"/>
    <w:rsid w:val="00EE48F5"/>
    <w:rsid w:val="00EF6B32"/>
    <w:rsid w:val="00F0799D"/>
    <w:rsid w:val="00F107A0"/>
    <w:rsid w:val="00F127A8"/>
    <w:rsid w:val="00F14C6D"/>
    <w:rsid w:val="00F21EFC"/>
    <w:rsid w:val="00F220A5"/>
    <w:rsid w:val="00F23FE5"/>
    <w:rsid w:val="00F31495"/>
    <w:rsid w:val="00F34362"/>
    <w:rsid w:val="00F343C2"/>
    <w:rsid w:val="00F34BC9"/>
    <w:rsid w:val="00F44051"/>
    <w:rsid w:val="00F513AE"/>
    <w:rsid w:val="00F6312A"/>
    <w:rsid w:val="00F63AB9"/>
    <w:rsid w:val="00F6764B"/>
    <w:rsid w:val="00F8302E"/>
    <w:rsid w:val="00F86DAB"/>
    <w:rsid w:val="00F90940"/>
    <w:rsid w:val="00F95BB2"/>
    <w:rsid w:val="00FA0312"/>
    <w:rsid w:val="00FA3E25"/>
    <w:rsid w:val="00FA4916"/>
    <w:rsid w:val="00FA7E5C"/>
    <w:rsid w:val="00FB193D"/>
    <w:rsid w:val="00FB3422"/>
    <w:rsid w:val="00FC125F"/>
    <w:rsid w:val="00FC64C8"/>
    <w:rsid w:val="00FD01B5"/>
    <w:rsid w:val="00FD4283"/>
    <w:rsid w:val="00FD5BF0"/>
    <w:rsid w:val="00FE2A99"/>
    <w:rsid w:val="00FE3564"/>
    <w:rsid w:val="00FE5E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EABE"/>
  <w15:docId w15:val="{BD215F40-57D8-4889-8D31-E48463E2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Subtitle" w:qFormat="1"/>
    <w:lsdException w:name="Hyperlink" w:locked="0" w:uiPriority="99"/>
    <w:lsdException w:name="Strong" w:locked="0"/>
    <w:lsdException w:name="HTML Top of Form" w:locked="0"/>
    <w:lsdException w:name="HTML Bottom of Form" w:locked="0"/>
    <w:lsdException w:name="HTML Preformatted" w:semiHidden="1" w:unhideWhenUsed="1"/>
    <w:lsdException w:name="HTML Variable" w:semiHidden="1" w:unhideWhenUsed="1"/>
    <w:lsdException w:name="Normal Table"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semiHidden/>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377DFD"/>
    <w:pPr>
      <w:numPr>
        <w:numId w:val="2"/>
      </w:numPr>
      <w:tabs>
        <w:tab w:val="clear" w:pos="360"/>
        <w:tab w:val="clear" w:pos="1134"/>
        <w:tab w:val="num" w:pos="1418"/>
      </w:tabs>
      <w:spacing w:before="0"/>
      <w:ind w:left="1418" w:hanging="709"/>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CC7AB8"/>
    <w:pPr>
      <w:numPr>
        <w:numId w:val="7"/>
      </w:numPr>
      <w:tabs>
        <w:tab w:val="clear" w:pos="360"/>
        <w:tab w:val="left" w:pos="1134"/>
      </w:tabs>
      <w:spacing w:before="120" w:after="120"/>
      <w:ind w:left="567" w:hanging="567"/>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styleId="Revision">
    <w:name w:val="Revision"/>
    <w:hidden/>
    <w:uiPriority w:val="99"/>
    <w:semiHidden/>
    <w:rsid w:val="004B4ECB"/>
    <w:rPr>
      <w:rFonts w:ascii="Open Sans" w:eastAsia="MS Mincho" w:hAnsi="Open Sans"/>
      <w:sz w:val="24"/>
      <w:szCs w:val="24"/>
    </w:rPr>
  </w:style>
  <w:style w:type="character" w:customStyle="1" w:styleId="brand">
    <w:name w:val="brand"/>
    <w:basedOn w:val="DefaultParagraphFont"/>
    <w:rsid w:val="003C2EFC"/>
  </w:style>
  <w:style w:type="character" w:customStyle="1" w:styleId="name">
    <w:name w:val="name"/>
    <w:basedOn w:val="DefaultParagraphFont"/>
    <w:rsid w:val="003C2EFC"/>
  </w:style>
  <w:style w:type="character" w:styleId="UnresolvedMention">
    <w:name w:val="Unresolved Mention"/>
    <w:basedOn w:val="DefaultParagraphFont"/>
    <w:uiPriority w:val="99"/>
    <w:semiHidden/>
    <w:unhideWhenUsed/>
    <w:rsid w:val="00713457"/>
    <w:rPr>
      <w:color w:val="605E5C"/>
      <w:shd w:val="clear" w:color="auto" w:fill="E1DFDD"/>
    </w:rPr>
  </w:style>
  <w:style w:type="paragraph" w:customStyle="1" w:styleId="Default">
    <w:name w:val="Default"/>
    <w:rsid w:val="00774DF5"/>
    <w:pPr>
      <w:autoSpaceDE w:val="0"/>
      <w:autoSpaceDN w:val="0"/>
      <w:adjustRightInd w:val="0"/>
    </w:pPr>
    <w:rPr>
      <w:rFonts w:ascii="Open Sans" w:hAnsi="Open Sans" w:cs="Open Sans"/>
      <w:color w:val="000000"/>
      <w:sz w:val="24"/>
      <w:szCs w:val="24"/>
    </w:rPr>
  </w:style>
  <w:style w:type="character" w:customStyle="1" w:styleId="cf01">
    <w:name w:val="cf01"/>
    <w:basedOn w:val="DefaultParagraphFont"/>
    <w:rsid w:val="0035041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6865">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507132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_rels/endnotes.xml.rels><?xml version="1.0" encoding="UTF-8" standalone="yes"?>
<Relationships xmlns="http://schemas.openxmlformats.org/package/2006/relationships"><Relationship Id="rId3" Type="http://schemas.openxmlformats.org/officeDocument/2006/relationships/hyperlink" Target="https://humanrights.gov.au/our-work/rights-and-freedoms/publications/free-and-equal-reform-agenda-federal-discrimination-laws" TargetMode="External"/><Relationship Id="rId2" Type="http://schemas.openxmlformats.org/officeDocument/2006/relationships/hyperlink" Target="https://consultations.ag.gov.au/rights-and-protections/cost-model-anti-discrimination-laws/" TargetMode="External"/><Relationship Id="rId1" Type="http://schemas.openxmlformats.org/officeDocument/2006/relationships/hyperlink" Target="https://humanrights.gov.au/our-work/sex-discrimination/publications/respectwork-sexual-harassment-national-inquiry-report-2020" TargetMode="External"/><Relationship Id="rId4" Type="http://schemas.openxmlformats.org/officeDocument/2006/relationships/hyperlink" Target="https://www.aph.gov.au/Parliamentary_Business/Committees/Senate/Legal_and_Constitutional_Affairs/RespectatWork2022/Submis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hrc.sharepoint.com/sites/intranet/AHRCTemplateHub/Commission/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84B55D95DF676046B99E394FD3A716A8" ma:contentTypeVersion="654" ma:contentTypeDescription="Create a new document." ma:contentTypeScope="" ma:versionID="f13aa9a491cc87bbf9475d07f973c5ef">
  <xsd:schema xmlns:xsd="http://www.w3.org/2001/XMLSchema" xmlns:xs="http://www.w3.org/2001/XMLSchema" xmlns:p="http://schemas.microsoft.com/office/2006/metadata/properties" xmlns:ns2="57f1fb52-79b9-4278-9d54-1e5db41bfcda" xmlns:ns3="6500fe01-343b-4fb9-a1b0-68ac19d62e01" xmlns:ns4="1a69bdef-c635-48ac-9cf9-b687dab64bb7" targetNamespace="http://schemas.microsoft.com/office/2006/metadata/properties" ma:root="true" ma:fieldsID="e53aba651d042c950279d10a5695d8bc" ns2:_="" ns3:_="" ns4:_="">
    <xsd:import namespace="57f1fb52-79b9-4278-9d54-1e5db41bfcda"/>
    <xsd:import namespace="6500fe01-343b-4fb9-a1b0-68ac19d62e01"/>
    <xsd:import namespace="1a69bdef-c635-48ac-9cf9-b687dab64bb7"/>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h1905e97e92e42caaf2a314461ed6a1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2:From1" minOccurs="0"/>
                <xsd:element ref="ns2:Received_x002f_Sent" minOccurs="0"/>
                <xsd:element ref="ns4:EmailasAttachment" minOccurs="0"/>
                <xsd:element ref="ns2:SharedWithUsers" minOccurs="0"/>
                <xsd:element ref="ns2:SharedWithDetails"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hidden="true" ma:indexed="true" ma:internalName="Subdivider" ma:readOnly="false">
      <xsd:simpleType>
        <xsd:union memberTypes="dms:Text">
          <xsd:simpleType>
            <xsd:restriction base="dms:Choice">
              <xsd:enumeration value="-"/>
            </xsd:restriction>
          </xsd:simpleType>
        </xsd:union>
      </xsd:simpleType>
    </xsd:element>
    <xsd:element name="h1905e97e92e42caaf2a314461ed6a1e" ma:index="18" nillable="true" ma:taxonomy="true" ma:internalName="h1905e97e92e42caaf2a314461ed6a1e" ma:taxonomyFieldName="Document_x0020_Type" ma:displayName="Document Type" ma:default="" ma:fieldId="{11905e97-e92e-42ca-af2a-314461ed6a1e}" ma:sspId="975c5ac6-a0cc-43ed-b850-4a2ae59237b6" ma:termSetId="5c0fb424-e810-48cd-89f5-068486990c36" ma:anchorId="00000000-0000-0000-0000-000000000000" ma:open="false" ma:isKeyword="false">
      <xsd:complexType>
        <xsd:sequence>
          <xsd:element ref="pc:Terms" minOccurs="0" maxOccurs="1"/>
        </xsd:sequence>
      </xsd:complexType>
    </xsd:element>
    <xsd:element name="From1" ma:index="27" nillable="true" ma:displayName="From" ma:indexed="true" ma:internalName="From1">
      <xsd:simpleType>
        <xsd:restriction base="dms:Text">
          <xsd:maxLength value="255"/>
        </xsd:restriction>
      </xsd:simpleType>
    </xsd:element>
    <xsd:element name="Received_x002f_Sent" ma:index="28" nillable="true" ma:displayName="Received/Sent" ma:indexed="true" ma:internalName="Received_x002F_Sent">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hidden="true" ma:indexed="true" ma:internalName="Divider" ma:readOnly="false">
      <xsd:simpleType>
        <xsd:union memberTypes="dms:Text">
          <xsd:simpleType>
            <xsd:restriction base="dms:Choice">
              <xsd:enumeration value="-"/>
            </xsd:restriction>
          </xsd:simpleType>
        </xsd:union>
      </xsd:simpleType>
    </xsd:element>
    <xsd:element name="TaxKeywordTaxHTField" ma:index="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f386e28e-d76d-4cdd-8585-6723f400076b}"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386e28e-d76d-4cdd-8585-6723f400076b}"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9bdef-c635-48ac-9cf9-b687dab64bb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EmailasAttachment" ma:index="30" nillable="true" ma:displayName="Email as Attachment" ma:format="Hyperlink" ma:internalName="EmailasAttachmen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ma:index="3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75c5ac6-a0cc-43ed-b850-4a2ae59237b6"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DGE6U7RJ2EFV-31920988-9241</_dlc_DocId>
    <_dlc_DocIdUrl xmlns="6500fe01-343b-4fb9-a1b0-68ac19d62e01">
      <Url>https://australianhrc.sharepoint.com/sites/LegalServicesWorkspace/_layouts/15/DocIdRedir.aspx?ID=DGE6U7RJ2EFV-31920988-9241</Url>
      <Description>DGE6U7RJ2EFV-31920988-9241</Description>
    </_dlc_DocIdUrl>
    <Received_x002f_Sent xmlns="57f1fb52-79b9-4278-9d54-1e5db41bfcda" xsi:nil="true"/>
    <EmailasAttachment xmlns="1a69bdef-c635-48ac-9cf9-b687dab64bb7">
      <Url xsi:nil="true"/>
      <Description xsi:nil="true"/>
    </EmailasAttachment>
    <Divider xmlns="6500fe01-343b-4fb9-a1b0-68ac19d62e01" xsi:nil="true"/>
    <h1905e97e92e42caaf2a314461ed6a1e xmlns="57f1fb52-79b9-4278-9d54-1e5db41bfcda">
      <Terms xmlns="http://schemas.microsoft.com/office/infopath/2007/PartnerControls"/>
    </h1905e97e92e42caaf2a314461ed6a1e>
    <From1 xmlns="57f1fb52-79b9-4278-9d54-1e5db41bfcda" xsi:nil="true"/>
    <Subdivider xmlns="57f1fb52-79b9-4278-9d54-1e5db41bfcda" xsi:nil="true"/>
  </documentManagement>
</p:properties>
</file>

<file path=customXml/itemProps1.xml><?xml version="1.0" encoding="utf-8"?>
<ds:datastoreItem xmlns:ds="http://schemas.openxmlformats.org/officeDocument/2006/customXml" ds:itemID="{B034F6BE-1A64-4A1C-92AD-238F0159AFE7}">
  <ds:schemaRefs>
    <ds:schemaRef ds:uri="http://schemas.microsoft.com/sharepoint/v3/contenttype/forms"/>
  </ds:schemaRefs>
</ds:datastoreItem>
</file>

<file path=customXml/itemProps2.xml><?xml version="1.0" encoding="utf-8"?>
<ds:datastoreItem xmlns:ds="http://schemas.openxmlformats.org/officeDocument/2006/customXml" ds:itemID="{0DF7606B-64CD-4B86-8CB1-2E0DE0CD8911}">
  <ds:schemaRefs>
    <ds:schemaRef ds:uri="http://schemas.microsoft.com/office/2006/metadata/customXsn"/>
  </ds:schemaRefs>
</ds:datastoreItem>
</file>

<file path=customXml/itemProps3.xml><?xml version="1.0" encoding="utf-8"?>
<ds:datastoreItem xmlns:ds="http://schemas.openxmlformats.org/officeDocument/2006/customXml" ds:itemID="{D187DEFB-D50E-4AE0-8F51-53469FC8579D}"/>
</file>

<file path=customXml/itemProps4.xml><?xml version="1.0" encoding="utf-8"?>
<ds:datastoreItem xmlns:ds="http://schemas.openxmlformats.org/officeDocument/2006/customXml" ds:itemID="{EA7F9B59-8D46-4D77-8521-E94F0A23250B}">
  <ds:schemaRefs>
    <ds:schemaRef ds:uri="Microsoft.SharePoint.Taxonomy.ContentTypeSync"/>
  </ds:schemaRefs>
</ds:datastoreItem>
</file>

<file path=customXml/itemProps5.xml><?xml version="1.0" encoding="utf-8"?>
<ds:datastoreItem xmlns:ds="http://schemas.openxmlformats.org/officeDocument/2006/customXml" ds:itemID="{4FFFF486-CE15-45B2-AD37-2BE2B10776FD}">
  <ds:schemaRefs>
    <ds:schemaRef ds:uri="http://schemas.microsoft.com/sharepoint/events"/>
  </ds:schemaRefs>
</ds:datastoreItem>
</file>

<file path=customXml/itemProps6.xml><?xml version="1.0" encoding="utf-8"?>
<ds:datastoreItem xmlns:ds="http://schemas.openxmlformats.org/officeDocument/2006/customXml" ds:itemID="{221D3C63-0C46-49A4-B926-30794ADA32FC}">
  <ds:schemaRefs>
    <ds:schemaRef ds:uri="http://schemas.openxmlformats.org/officeDocument/2006/bibliography"/>
  </ds:schemaRefs>
</ds:datastoreItem>
</file>

<file path=customXml/itemProps7.xml><?xml version="1.0" encoding="utf-8"?>
<ds:datastoreItem xmlns:ds="http://schemas.openxmlformats.org/officeDocument/2006/customXml" ds:itemID="{9D234E28-B345-4108-8EB3-981E9AB2F75F}">
  <ds:schemaRefs>
    <ds:schemaRef ds:uri="http://schemas.microsoft.com/office/2006/metadata/properties"/>
    <ds:schemaRef ds:uri="http://schemas.microsoft.com/office/infopath/2007/PartnerControls"/>
    <ds:schemaRef ds:uri="6500fe01-343b-4fb9-a1b0-68ac19d62e01"/>
  </ds:schemaRefs>
</ds:datastoreItem>
</file>

<file path=docProps/app.xml><?xml version="1.0" encoding="utf-8"?>
<Properties xmlns="http://schemas.openxmlformats.org/officeDocument/2006/extended-properties" xmlns:vt="http://schemas.openxmlformats.org/officeDocument/2006/docPropsVTypes">
  <Template>Submission.dotx</Template>
  <TotalTime>43</TotalTime>
  <Pages>12</Pages>
  <Words>2545</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Human Rights and Equal Opportunity Commission</Company>
  <LinksUpToDate>false</LinksUpToDate>
  <CharactersWithSpaces>17019</CharactersWithSpaces>
  <SharedDoc>false</SharedDoc>
  <HLinks>
    <vt:vector size="24" baseType="variant">
      <vt:variant>
        <vt:i4>1703995</vt:i4>
      </vt:variant>
      <vt:variant>
        <vt:i4>20</vt:i4>
      </vt:variant>
      <vt:variant>
        <vt:i4>0</vt:i4>
      </vt:variant>
      <vt:variant>
        <vt:i4>5</vt:i4>
      </vt:variant>
      <vt:variant>
        <vt:lpwstr/>
      </vt:variant>
      <vt:variant>
        <vt:lpwstr>_Toc515289374</vt:lpwstr>
      </vt:variant>
      <vt:variant>
        <vt:i4>1703995</vt:i4>
      </vt:variant>
      <vt:variant>
        <vt:i4>14</vt:i4>
      </vt:variant>
      <vt:variant>
        <vt:i4>0</vt:i4>
      </vt:variant>
      <vt:variant>
        <vt:i4>5</vt:i4>
      </vt:variant>
      <vt:variant>
        <vt:lpwstr/>
      </vt:variant>
      <vt:variant>
        <vt:lpwstr>_Toc515289373</vt:lpwstr>
      </vt:variant>
      <vt:variant>
        <vt:i4>1703995</vt:i4>
      </vt:variant>
      <vt:variant>
        <vt:i4>8</vt:i4>
      </vt:variant>
      <vt:variant>
        <vt:i4>0</vt:i4>
      </vt:variant>
      <vt:variant>
        <vt:i4>5</vt:i4>
      </vt:variant>
      <vt:variant>
        <vt:lpwstr/>
      </vt:variant>
      <vt:variant>
        <vt:lpwstr>_Toc515289372</vt:lpwstr>
      </vt:variant>
      <vt:variant>
        <vt:i4>1703995</vt:i4>
      </vt:variant>
      <vt:variant>
        <vt:i4>2</vt:i4>
      </vt:variant>
      <vt:variant>
        <vt:i4>0</vt:i4>
      </vt:variant>
      <vt:variant>
        <vt:i4>5</vt:i4>
      </vt:variant>
      <vt:variant>
        <vt:lpwstr/>
      </vt:variant>
      <vt:variant>
        <vt:lpwstr>_Toc515289371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De Abreu</dc:creator>
  <cp:keywords/>
  <dc:description/>
  <cp:lastModifiedBy>Melissa De Abreu</cp:lastModifiedBy>
  <cp:revision>3</cp:revision>
  <cp:lastPrinted>2023-04-12T02:40:00Z</cp:lastPrinted>
  <dcterms:created xsi:type="dcterms:W3CDTF">2023-04-12T02:38:00Z</dcterms:created>
  <dcterms:modified xsi:type="dcterms:W3CDTF">2023-04-12T03:17:00Z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0x01010084B55D95DF676046B99E394FD3A716A8</vt:lpwstr>
  </property>
  <property fmtid="{D5CDD505-2E9C-101B-9397-08002B2CF9AE}" pid="3" name="_dlc_DocIdItemGuid">
    <vt:lpwstr>c0e1cfbc-7ad4-4d7b-a697-88b977e12672</vt:lpwstr>
  </property>
  <property fmtid="{D5CDD505-2E9C-101B-9397-08002B2CF9AE}" pid="4" name="TaxKeyword">
    <vt:lpwstr/>
  </property>
</Properties>
</file>