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E1E" w:rsidRPr="00EE37FD" w:rsidRDefault="008C5E1E" w:rsidP="008C5E1E">
      <w:pPr>
        <w:pStyle w:val="Titolo"/>
        <w:rPr>
          <w:lang w:val="en-US"/>
        </w:rPr>
      </w:pPr>
      <w:r w:rsidRPr="00EE37FD">
        <w:rPr>
          <w:lang w:val="en-US"/>
        </w:rPr>
        <w:t>2018–19 Challenges, risks and opportunities analysis</w:t>
      </w:r>
    </w:p>
    <w:p w:rsidR="004F46E6" w:rsidRPr="003C18CB" w:rsidRDefault="008C5E1E" w:rsidP="004F46E6">
      <w:pPr>
        <w:pStyle w:val="Titolo2"/>
        <w:rPr>
          <w:lang w:val="en-US"/>
        </w:rPr>
      </w:pPr>
      <w:r w:rsidRPr="003C18CB">
        <w:rPr>
          <w:lang w:val="en-US"/>
        </w:rPr>
        <w:t xml:space="preserve">Table 1: External challenges, risks, management and opportunities </w:t>
      </w:r>
      <w:r w:rsidRPr="003C18CB">
        <w:rPr>
          <w:lang w:val="en-US"/>
        </w:rPr>
        <w:br/>
        <w:t>for the Commission 2018–2019</w:t>
      </w:r>
    </w:p>
    <w:tbl>
      <w:tblPr>
        <w:tblW w:w="9639" w:type="dxa"/>
        <w:tblInd w:w="-5" w:type="dxa"/>
        <w:tblLayout w:type="fixed"/>
        <w:tblCellMar>
          <w:left w:w="0" w:type="dxa"/>
          <w:right w:w="0" w:type="dxa"/>
        </w:tblCellMar>
        <w:tblLook w:val="0000" w:firstRow="0" w:lastRow="0" w:firstColumn="0" w:lastColumn="0" w:noHBand="0" w:noVBand="0"/>
      </w:tblPr>
      <w:tblGrid>
        <w:gridCol w:w="1701"/>
        <w:gridCol w:w="1020"/>
        <w:gridCol w:w="1134"/>
        <w:gridCol w:w="1077"/>
        <w:gridCol w:w="4707"/>
      </w:tblGrid>
      <w:tr w:rsidR="00550FF0" w:rsidRPr="00550FF0" w:rsidTr="001427AF">
        <w:trPr>
          <w:trHeight w:val="800"/>
          <w:tblHeader/>
        </w:trPr>
        <w:tc>
          <w:tcPr>
            <w:tcW w:w="1701"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vAlign w:val="bottom"/>
          </w:tcPr>
          <w:p w:rsidR="008C5E1E" w:rsidRPr="00550FF0" w:rsidRDefault="008C5E1E" w:rsidP="008C5E1E">
            <w:pPr>
              <w:spacing w:after="85"/>
              <w:rPr>
                <w:rFonts w:ascii="Arial" w:hAnsi="Arial" w:cs="Arial"/>
                <w:color w:val="auto"/>
                <w:sz w:val="16"/>
                <w:szCs w:val="16"/>
              </w:rPr>
            </w:pPr>
            <w:r w:rsidRPr="00550FF0">
              <w:rPr>
                <w:rFonts w:ascii="Arial" w:hAnsi="Arial" w:cs="Arial"/>
                <w:b/>
                <w:bCs/>
                <w:color w:val="auto"/>
                <w:sz w:val="16"/>
                <w:szCs w:val="16"/>
              </w:rPr>
              <w:t>Factor</w:t>
            </w:r>
          </w:p>
        </w:tc>
        <w:tc>
          <w:tcPr>
            <w:tcW w:w="1020"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vAlign w:val="bottom"/>
          </w:tcPr>
          <w:p w:rsidR="008C5E1E" w:rsidRPr="00550FF0" w:rsidRDefault="008C5E1E" w:rsidP="008C5E1E">
            <w:pPr>
              <w:spacing w:after="85"/>
              <w:rPr>
                <w:rFonts w:ascii="Arial" w:hAnsi="Arial" w:cs="Arial"/>
                <w:color w:val="auto"/>
                <w:sz w:val="16"/>
                <w:szCs w:val="16"/>
              </w:rPr>
            </w:pPr>
            <w:r w:rsidRPr="00550FF0">
              <w:rPr>
                <w:rFonts w:ascii="Arial" w:hAnsi="Arial" w:cs="Arial"/>
                <w:b/>
                <w:bCs/>
                <w:color w:val="auto"/>
                <w:sz w:val="16"/>
                <w:szCs w:val="16"/>
              </w:rPr>
              <w:t>In full control</w:t>
            </w:r>
          </w:p>
        </w:tc>
        <w:tc>
          <w:tcPr>
            <w:tcW w:w="113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vAlign w:val="bottom"/>
          </w:tcPr>
          <w:p w:rsidR="008C5E1E" w:rsidRPr="00550FF0" w:rsidRDefault="008C5E1E" w:rsidP="008C5E1E">
            <w:pPr>
              <w:spacing w:after="85"/>
              <w:rPr>
                <w:rFonts w:ascii="Arial" w:hAnsi="Arial" w:cs="Arial"/>
                <w:color w:val="auto"/>
                <w:sz w:val="16"/>
                <w:szCs w:val="16"/>
              </w:rPr>
            </w:pPr>
            <w:r w:rsidRPr="00550FF0">
              <w:rPr>
                <w:rFonts w:ascii="Arial" w:hAnsi="Arial" w:cs="Arial"/>
                <w:b/>
                <w:bCs/>
                <w:color w:val="auto"/>
                <w:sz w:val="16"/>
                <w:szCs w:val="16"/>
              </w:rPr>
              <w:t>In partial control</w:t>
            </w:r>
          </w:p>
        </w:tc>
        <w:tc>
          <w:tcPr>
            <w:tcW w:w="1077"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vAlign w:val="bottom"/>
          </w:tcPr>
          <w:p w:rsidR="008C5E1E" w:rsidRPr="00550FF0" w:rsidRDefault="008C5E1E" w:rsidP="008C5E1E">
            <w:pPr>
              <w:spacing w:after="85"/>
              <w:rPr>
                <w:rFonts w:ascii="Arial" w:hAnsi="Arial" w:cs="Arial"/>
                <w:color w:val="auto"/>
                <w:sz w:val="16"/>
                <w:szCs w:val="16"/>
              </w:rPr>
            </w:pPr>
            <w:r w:rsidRPr="00550FF0">
              <w:rPr>
                <w:rFonts w:ascii="Arial" w:hAnsi="Arial" w:cs="Arial"/>
                <w:b/>
                <w:bCs/>
                <w:color w:val="auto"/>
                <w:sz w:val="16"/>
                <w:szCs w:val="16"/>
              </w:rPr>
              <w:t>Beyond control</w:t>
            </w:r>
          </w:p>
        </w:tc>
        <w:tc>
          <w:tcPr>
            <w:tcW w:w="4707"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vAlign w:val="bottom"/>
          </w:tcPr>
          <w:p w:rsidR="008C5E1E" w:rsidRPr="00550FF0" w:rsidRDefault="008C5E1E" w:rsidP="008C5E1E">
            <w:pPr>
              <w:spacing w:after="85"/>
              <w:rPr>
                <w:rFonts w:ascii="Arial" w:hAnsi="Arial" w:cs="Arial"/>
                <w:color w:val="auto"/>
                <w:sz w:val="16"/>
                <w:szCs w:val="16"/>
              </w:rPr>
            </w:pPr>
            <w:proofErr w:type="gramStart"/>
            <w:r w:rsidRPr="00550FF0">
              <w:rPr>
                <w:rFonts w:ascii="Arial" w:hAnsi="Arial" w:cs="Arial"/>
                <w:b/>
                <w:bCs/>
                <w:color w:val="auto"/>
                <w:sz w:val="16"/>
                <w:szCs w:val="16"/>
              </w:rPr>
              <w:t>4 year</w:t>
            </w:r>
            <w:proofErr w:type="gramEnd"/>
            <w:r w:rsidRPr="00550FF0">
              <w:rPr>
                <w:rFonts w:ascii="Arial" w:hAnsi="Arial" w:cs="Arial"/>
                <w:b/>
                <w:bCs/>
                <w:color w:val="auto"/>
                <w:sz w:val="16"/>
                <w:szCs w:val="16"/>
              </w:rPr>
              <w:t xml:space="preserve"> outlook, analysis and risk management </w:t>
            </w:r>
          </w:p>
        </w:tc>
      </w:tr>
      <w:tr w:rsidR="008C5E1E" w:rsidRPr="008C5E1E" w:rsidTr="003C18CB">
        <w:trPr>
          <w:trHeight w:val="163"/>
        </w:trPr>
        <w:tc>
          <w:tcPr>
            <w:tcW w:w="9639" w:type="dxa"/>
            <w:gridSpan w:val="5"/>
            <w:tcBorders>
              <w:top w:val="single" w:sz="4" w:space="0" w:color="FFFFFF"/>
              <w:left w:val="single" w:sz="4" w:space="0" w:color="FFFFFF"/>
              <w:bottom w:val="single" w:sz="4" w:space="0" w:color="FFFFFF"/>
              <w:right w:val="single" w:sz="4" w:space="0" w:color="FFFFFF"/>
            </w:tcBorders>
            <w:shd w:val="clear" w:color="auto" w:fill="F7CAAC" w:themeFill="accent2" w:themeFillTint="66"/>
            <w:tcMar>
              <w:top w:w="227" w:type="dxa"/>
              <w:left w:w="227" w:type="dxa"/>
              <w:bottom w:w="227" w:type="dxa"/>
              <w:right w:w="227" w:type="dxa"/>
            </w:tcMar>
          </w:tcPr>
          <w:p w:rsidR="008C5E1E" w:rsidRPr="008C5E1E" w:rsidRDefault="008C5E1E" w:rsidP="0084766F">
            <w:pPr>
              <w:spacing w:after="0" w:line="240" w:lineRule="auto"/>
              <w:rPr>
                <w:rFonts w:ascii="Arial" w:hAnsi="Arial" w:cs="Arial"/>
                <w:sz w:val="16"/>
                <w:szCs w:val="16"/>
              </w:rPr>
            </w:pPr>
            <w:r w:rsidRPr="00CA5D13">
              <w:rPr>
                <w:rFonts w:ascii="Arial" w:hAnsi="Arial" w:cs="Arial"/>
                <w:b/>
                <w:bCs/>
                <w:sz w:val="16"/>
                <w:szCs w:val="16"/>
              </w:rPr>
              <w:t xml:space="preserve">Challenges, risk management </w:t>
            </w:r>
          </w:p>
        </w:tc>
      </w:tr>
      <w:tr w:rsidR="008C5E1E" w:rsidRPr="008C5E1E" w:rsidTr="001427AF">
        <w:trPr>
          <w:trHeight w:val="1986"/>
        </w:trPr>
        <w:tc>
          <w:tcPr>
            <w:tcW w:w="1701"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spacing w:after="85"/>
              <w:rPr>
                <w:rFonts w:ascii="Arial" w:hAnsi="Arial" w:cs="Arial"/>
                <w:sz w:val="16"/>
                <w:szCs w:val="16"/>
              </w:rPr>
            </w:pPr>
            <w:r w:rsidRPr="00CA5D13">
              <w:rPr>
                <w:rFonts w:ascii="Arial" w:hAnsi="Arial" w:cs="Arial"/>
                <w:b/>
                <w:bCs/>
                <w:sz w:val="16"/>
                <w:szCs w:val="16"/>
              </w:rPr>
              <w:t>Effective implementation of reforms to the Commission’s functions</w:t>
            </w:r>
          </w:p>
        </w:tc>
        <w:tc>
          <w:tcPr>
            <w:tcW w:w="1020"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3C18CB" w:rsidP="008C5E1E">
            <w:pPr>
              <w:spacing w:after="170"/>
              <w:jc w:val="center"/>
              <w:rPr>
                <w:rFonts w:ascii="Arial" w:hAnsi="Arial" w:cs="Arial"/>
                <w:b/>
                <w:sz w:val="16"/>
                <w:szCs w:val="16"/>
              </w:rPr>
            </w:pPr>
            <w:r w:rsidRPr="00EE37FD">
              <w:rPr>
                <w:rFonts w:ascii="Webdings" w:hAnsi="Webdings" w:cs="FontAwesome"/>
                <w:color w:val="ED7D31" w:themeColor="accent2"/>
                <w:sz w:val="28"/>
                <w:szCs w:val="28"/>
              </w:rPr>
              <w:sym w:font="Wingdings" w:char="F0FB"/>
            </w:r>
          </w:p>
        </w:tc>
        <w:tc>
          <w:tcPr>
            <w:tcW w:w="11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107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470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CA5D13" w:rsidRDefault="008C5E1E" w:rsidP="001427AF">
            <w:pPr>
              <w:pStyle w:val="Paragrafoelenco"/>
              <w:numPr>
                <w:ilvl w:val="0"/>
                <w:numId w:val="3"/>
              </w:numPr>
              <w:suppressAutoHyphens/>
              <w:autoSpaceDE w:val="0"/>
              <w:autoSpaceDN w:val="0"/>
              <w:adjustRightInd w:val="0"/>
              <w:spacing w:after="85" w:line="288" w:lineRule="auto"/>
              <w:textAlignment w:val="center"/>
              <w:rPr>
                <w:rFonts w:cs="Arial"/>
                <w:color w:val="000000"/>
                <w:position w:val="6"/>
                <w:sz w:val="16"/>
                <w:szCs w:val="16"/>
                <w:lang w:val="en-US"/>
              </w:rPr>
            </w:pPr>
            <w:r w:rsidRPr="00CA5D13">
              <w:rPr>
                <w:rFonts w:cs="Arial"/>
                <w:color w:val="000000"/>
                <w:sz w:val="16"/>
                <w:szCs w:val="16"/>
                <w:lang w:val="en-US"/>
              </w:rPr>
              <w:t>Legislative amendments that commenced in 2017 affected the Australian Human Rights Commission Act complaints and reporting, and discrimination complaints.</w:t>
            </w:r>
          </w:p>
          <w:p w:rsidR="008C5E1E" w:rsidRPr="00CA5D13" w:rsidRDefault="008C5E1E" w:rsidP="001427AF">
            <w:pPr>
              <w:pStyle w:val="Paragrafoelenco"/>
              <w:numPr>
                <w:ilvl w:val="0"/>
                <w:numId w:val="3"/>
              </w:numPr>
              <w:suppressAutoHyphens/>
              <w:autoSpaceDE w:val="0"/>
              <w:autoSpaceDN w:val="0"/>
              <w:adjustRightInd w:val="0"/>
              <w:spacing w:after="57" w:line="288" w:lineRule="auto"/>
              <w:textAlignment w:val="center"/>
              <w:rPr>
                <w:rFonts w:cs="Arial"/>
                <w:color w:val="000000"/>
                <w:sz w:val="16"/>
                <w:szCs w:val="16"/>
                <w:lang w:val="en-US"/>
              </w:rPr>
            </w:pPr>
            <w:r w:rsidRPr="00CA5D13">
              <w:rPr>
                <w:rFonts w:cs="Arial"/>
                <w:color w:val="000000"/>
                <w:sz w:val="16"/>
                <w:szCs w:val="16"/>
                <w:lang w:val="en-US"/>
              </w:rPr>
              <w:t>There is public interest in the impact of the changes, particularly in relation to early termination of applications and the impact of shorter timefr</w:t>
            </w:r>
            <w:r w:rsidR="00525C69">
              <w:rPr>
                <w:rFonts w:cs="Arial"/>
                <w:color w:val="000000"/>
                <w:sz w:val="16"/>
                <w:szCs w:val="16"/>
                <w:lang w:val="en-US"/>
              </w:rPr>
              <w:t>ames for receipt of complaints.</w:t>
            </w:r>
          </w:p>
          <w:p w:rsidR="008C5E1E" w:rsidRPr="00CA5D13" w:rsidRDefault="008C5E1E" w:rsidP="001427AF">
            <w:pPr>
              <w:pStyle w:val="Paragrafoelenco"/>
              <w:numPr>
                <w:ilvl w:val="0"/>
                <w:numId w:val="3"/>
              </w:numPr>
              <w:suppressAutoHyphens/>
              <w:autoSpaceDE w:val="0"/>
              <w:autoSpaceDN w:val="0"/>
              <w:adjustRightInd w:val="0"/>
              <w:spacing w:after="57" w:line="288" w:lineRule="auto"/>
              <w:textAlignment w:val="center"/>
              <w:rPr>
                <w:rFonts w:cs="Arial"/>
                <w:color w:val="000000"/>
                <w:sz w:val="16"/>
                <w:szCs w:val="16"/>
                <w:lang w:val="en-US"/>
              </w:rPr>
            </w:pPr>
            <w:r w:rsidRPr="00CA5D13">
              <w:rPr>
                <w:rFonts w:cs="Arial"/>
                <w:color w:val="000000"/>
                <w:sz w:val="16"/>
                <w:szCs w:val="16"/>
                <w:lang w:val="en-US"/>
              </w:rPr>
              <w:t>Judicial</w:t>
            </w:r>
            <w:r w:rsidRPr="00CA5D13">
              <w:rPr>
                <w:rFonts w:cs="Arial"/>
                <w:color w:val="000000"/>
                <w:spacing w:val="-6"/>
                <w:sz w:val="16"/>
                <w:szCs w:val="16"/>
                <w:lang w:val="en-US"/>
              </w:rPr>
              <w:t xml:space="preserve"> </w:t>
            </w:r>
            <w:r w:rsidRPr="00CA5D13">
              <w:rPr>
                <w:rFonts w:cs="Arial"/>
                <w:color w:val="000000"/>
                <w:sz w:val="16"/>
                <w:szCs w:val="16"/>
                <w:lang w:val="en-US"/>
              </w:rPr>
              <w:t>interpretation</w:t>
            </w:r>
            <w:r w:rsidRPr="00CA5D13">
              <w:rPr>
                <w:rFonts w:cs="Arial"/>
                <w:color w:val="000000"/>
                <w:spacing w:val="-6"/>
                <w:sz w:val="16"/>
                <w:szCs w:val="16"/>
                <w:lang w:val="en-US"/>
              </w:rPr>
              <w:t xml:space="preserve"> </w:t>
            </w:r>
            <w:r w:rsidRPr="00CA5D13">
              <w:rPr>
                <w:rFonts w:cs="Arial"/>
                <w:color w:val="000000"/>
                <w:sz w:val="16"/>
                <w:szCs w:val="16"/>
                <w:lang w:val="en-US"/>
              </w:rPr>
              <w:t>will</w:t>
            </w:r>
            <w:r w:rsidRPr="00CA5D13">
              <w:rPr>
                <w:rFonts w:cs="Arial"/>
                <w:color w:val="000000"/>
                <w:spacing w:val="-5"/>
                <w:sz w:val="16"/>
                <w:szCs w:val="16"/>
                <w:lang w:val="en-US"/>
              </w:rPr>
              <w:t xml:space="preserve"> </w:t>
            </w:r>
            <w:r w:rsidRPr="00CA5D13">
              <w:rPr>
                <w:rFonts w:cs="Arial"/>
                <w:color w:val="000000"/>
                <w:sz w:val="16"/>
                <w:szCs w:val="16"/>
                <w:lang w:val="en-US"/>
              </w:rPr>
              <w:t>shape</w:t>
            </w:r>
            <w:r w:rsidRPr="00CA5D13">
              <w:rPr>
                <w:rFonts w:cs="Arial"/>
                <w:color w:val="000000"/>
                <w:spacing w:val="-6"/>
                <w:sz w:val="16"/>
                <w:szCs w:val="16"/>
                <w:lang w:val="en-US"/>
              </w:rPr>
              <w:t xml:space="preserve"> </w:t>
            </w:r>
            <w:r w:rsidRPr="00CA5D13">
              <w:rPr>
                <w:rFonts w:cs="Arial"/>
                <w:color w:val="000000"/>
                <w:sz w:val="16"/>
                <w:szCs w:val="16"/>
                <w:lang w:val="en-US"/>
              </w:rPr>
              <w:t>the</w:t>
            </w:r>
            <w:r w:rsidRPr="00CA5D13">
              <w:rPr>
                <w:rFonts w:cs="Arial"/>
                <w:color w:val="000000"/>
                <w:spacing w:val="-6"/>
                <w:sz w:val="16"/>
                <w:szCs w:val="16"/>
                <w:lang w:val="en-US"/>
              </w:rPr>
              <w:t xml:space="preserve"> </w:t>
            </w:r>
            <w:r w:rsidRPr="00CA5D13">
              <w:rPr>
                <w:rFonts w:cs="Arial"/>
                <w:color w:val="000000"/>
                <w:sz w:val="16"/>
                <w:szCs w:val="16"/>
                <w:lang w:val="en-US"/>
              </w:rPr>
              <w:t>operation</w:t>
            </w:r>
            <w:r w:rsidRPr="00CA5D13">
              <w:rPr>
                <w:rFonts w:cs="Arial"/>
                <w:color w:val="000000"/>
                <w:spacing w:val="-6"/>
                <w:sz w:val="16"/>
                <w:szCs w:val="16"/>
                <w:lang w:val="en-US"/>
              </w:rPr>
              <w:t xml:space="preserve"> </w:t>
            </w:r>
            <w:r w:rsidRPr="00CA5D13">
              <w:rPr>
                <w:rFonts w:cs="Arial"/>
                <w:color w:val="000000"/>
                <w:sz w:val="16"/>
                <w:szCs w:val="16"/>
                <w:lang w:val="en-US"/>
              </w:rPr>
              <w:t>of</w:t>
            </w:r>
            <w:r w:rsidRPr="00CA5D13">
              <w:rPr>
                <w:rFonts w:cs="Arial"/>
                <w:color w:val="000000"/>
                <w:spacing w:val="-6"/>
                <w:sz w:val="16"/>
                <w:szCs w:val="16"/>
                <w:lang w:val="en-US"/>
              </w:rPr>
              <w:t xml:space="preserve"> </w:t>
            </w:r>
            <w:r w:rsidRPr="00CA5D13">
              <w:rPr>
                <w:rFonts w:cs="Arial"/>
                <w:color w:val="000000"/>
                <w:sz w:val="16"/>
                <w:szCs w:val="16"/>
                <w:lang w:val="en-US"/>
              </w:rPr>
              <w:t>the</w:t>
            </w:r>
            <w:r w:rsidRPr="00CA5D13">
              <w:rPr>
                <w:rFonts w:cs="Arial"/>
                <w:color w:val="000000"/>
                <w:spacing w:val="-6"/>
                <w:sz w:val="16"/>
                <w:szCs w:val="16"/>
                <w:lang w:val="en-US"/>
              </w:rPr>
              <w:t xml:space="preserve"> </w:t>
            </w:r>
            <w:r w:rsidRPr="00CA5D13">
              <w:rPr>
                <w:rFonts w:cs="Arial"/>
                <w:color w:val="000000"/>
                <w:sz w:val="16"/>
                <w:szCs w:val="16"/>
                <w:lang w:val="en-US"/>
              </w:rPr>
              <w:t>new provisions</w:t>
            </w:r>
            <w:r w:rsidRPr="00CA5D13">
              <w:rPr>
                <w:rFonts w:cs="Arial"/>
                <w:color w:val="000000"/>
                <w:spacing w:val="-7"/>
                <w:sz w:val="16"/>
                <w:szCs w:val="16"/>
                <w:lang w:val="en-US"/>
              </w:rPr>
              <w:t xml:space="preserve"> </w:t>
            </w:r>
            <w:r w:rsidRPr="00CA5D13">
              <w:rPr>
                <w:rFonts w:cs="Arial"/>
                <w:color w:val="000000"/>
                <w:sz w:val="16"/>
                <w:szCs w:val="16"/>
                <w:lang w:val="en-US"/>
              </w:rPr>
              <w:t>over</w:t>
            </w:r>
            <w:r w:rsidRPr="00CA5D13">
              <w:rPr>
                <w:rFonts w:cs="Arial"/>
                <w:color w:val="000000"/>
                <w:spacing w:val="-7"/>
                <w:sz w:val="16"/>
                <w:szCs w:val="16"/>
                <w:lang w:val="en-US"/>
              </w:rPr>
              <w:t xml:space="preserve"> </w:t>
            </w:r>
            <w:r w:rsidRPr="00CA5D13">
              <w:rPr>
                <w:rFonts w:cs="Arial"/>
                <w:color w:val="000000"/>
                <w:sz w:val="16"/>
                <w:szCs w:val="16"/>
                <w:lang w:val="en-US"/>
              </w:rPr>
              <w:t>the</w:t>
            </w:r>
            <w:r w:rsidRPr="00CA5D13">
              <w:rPr>
                <w:rFonts w:cs="Arial"/>
                <w:color w:val="000000"/>
                <w:spacing w:val="-7"/>
                <w:sz w:val="16"/>
                <w:szCs w:val="16"/>
                <w:lang w:val="en-US"/>
              </w:rPr>
              <w:t xml:space="preserve"> </w:t>
            </w:r>
            <w:r w:rsidRPr="00CA5D13">
              <w:rPr>
                <w:rFonts w:cs="Arial"/>
                <w:color w:val="000000"/>
                <w:sz w:val="16"/>
                <w:szCs w:val="16"/>
                <w:lang w:val="en-US"/>
              </w:rPr>
              <w:t>next</w:t>
            </w:r>
            <w:r w:rsidRPr="00CA5D13">
              <w:rPr>
                <w:rFonts w:cs="Arial"/>
                <w:color w:val="000000"/>
                <w:spacing w:val="-7"/>
                <w:sz w:val="16"/>
                <w:szCs w:val="16"/>
                <w:lang w:val="en-US"/>
              </w:rPr>
              <w:t xml:space="preserve"> </w:t>
            </w:r>
            <w:r w:rsidRPr="00CA5D13">
              <w:rPr>
                <w:rFonts w:cs="Arial"/>
                <w:color w:val="000000"/>
                <w:sz w:val="16"/>
                <w:szCs w:val="16"/>
                <w:lang w:val="en-US"/>
              </w:rPr>
              <w:t>four</w:t>
            </w:r>
            <w:r w:rsidRPr="00CA5D13">
              <w:rPr>
                <w:rFonts w:cs="Arial"/>
                <w:color w:val="000000"/>
                <w:spacing w:val="-7"/>
                <w:sz w:val="16"/>
                <w:szCs w:val="16"/>
                <w:lang w:val="en-US"/>
              </w:rPr>
              <w:t xml:space="preserve"> </w:t>
            </w:r>
            <w:r w:rsidRPr="00CA5D13">
              <w:rPr>
                <w:rFonts w:cs="Arial"/>
                <w:color w:val="000000"/>
                <w:sz w:val="16"/>
                <w:szCs w:val="16"/>
                <w:lang w:val="en-US"/>
              </w:rPr>
              <w:t>years.</w:t>
            </w:r>
          </w:p>
          <w:p w:rsidR="008C5E1E" w:rsidRPr="00CA5D13" w:rsidRDefault="008C5E1E" w:rsidP="001427AF">
            <w:pPr>
              <w:pStyle w:val="Paragrafoelenco"/>
              <w:numPr>
                <w:ilvl w:val="0"/>
                <w:numId w:val="3"/>
              </w:numPr>
              <w:suppressAutoHyphens/>
              <w:autoSpaceDE w:val="0"/>
              <w:autoSpaceDN w:val="0"/>
              <w:adjustRightInd w:val="0"/>
              <w:spacing w:after="57" w:line="288" w:lineRule="auto"/>
              <w:textAlignment w:val="center"/>
              <w:rPr>
                <w:rFonts w:cs="Arial"/>
                <w:color w:val="000000"/>
                <w:sz w:val="16"/>
                <w:szCs w:val="16"/>
                <w:lang w:val="en-US"/>
              </w:rPr>
            </w:pPr>
            <w:r w:rsidRPr="00CA5D13">
              <w:rPr>
                <w:rFonts w:cs="Arial"/>
                <w:color w:val="000000"/>
                <w:sz w:val="16"/>
                <w:szCs w:val="16"/>
                <w:lang w:val="en-US"/>
              </w:rPr>
              <w:t xml:space="preserve">The impact of the changes on Australian Human Rights Commission Act complaints will be felt this year — particularly in relation to reporting processes and the impact of a best </w:t>
            </w:r>
            <w:proofErr w:type="spellStart"/>
            <w:r w:rsidRPr="00CA5D13">
              <w:rPr>
                <w:rFonts w:cs="Arial"/>
                <w:color w:val="000000"/>
                <w:sz w:val="16"/>
                <w:szCs w:val="16"/>
                <w:lang w:val="en-US"/>
              </w:rPr>
              <w:t>endeavours</w:t>
            </w:r>
            <w:proofErr w:type="spellEnd"/>
            <w:r w:rsidRPr="00CA5D13">
              <w:rPr>
                <w:rFonts w:cs="Arial"/>
                <w:color w:val="000000"/>
                <w:sz w:val="16"/>
                <w:szCs w:val="16"/>
                <w:lang w:val="en-US"/>
              </w:rPr>
              <w:t xml:space="preserve"> requirement for </w:t>
            </w:r>
            <w:proofErr w:type="spellStart"/>
            <w:r w:rsidRPr="00CA5D13">
              <w:rPr>
                <w:rFonts w:cs="Arial"/>
                <w:color w:val="000000"/>
                <w:sz w:val="16"/>
                <w:szCs w:val="16"/>
                <w:lang w:val="en-US"/>
              </w:rPr>
              <w:t>finalisation</w:t>
            </w:r>
            <w:proofErr w:type="spellEnd"/>
            <w:r w:rsidRPr="00CA5D13">
              <w:rPr>
                <w:rFonts w:cs="Arial"/>
                <w:color w:val="000000"/>
                <w:sz w:val="16"/>
                <w:szCs w:val="16"/>
                <w:lang w:val="en-US"/>
              </w:rPr>
              <w:t xml:space="preserve"> within 12 months.</w:t>
            </w:r>
          </w:p>
        </w:tc>
      </w:tr>
      <w:tr w:rsidR="008C5E1E" w:rsidRPr="008C5E1E" w:rsidTr="001427AF">
        <w:trPr>
          <w:trHeight w:val="1102"/>
        </w:trPr>
        <w:tc>
          <w:tcPr>
            <w:tcW w:w="1701"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spacing w:after="85"/>
              <w:rPr>
                <w:rFonts w:ascii="Arial" w:hAnsi="Arial" w:cs="Arial"/>
                <w:sz w:val="16"/>
                <w:szCs w:val="16"/>
              </w:rPr>
            </w:pPr>
            <w:r w:rsidRPr="00CA5D13">
              <w:rPr>
                <w:rFonts w:ascii="Arial" w:hAnsi="Arial" w:cs="Arial"/>
                <w:b/>
                <w:bCs/>
                <w:sz w:val="16"/>
                <w:szCs w:val="16"/>
              </w:rPr>
              <w:t>Ongoing risk to reputation from high profile issues</w:t>
            </w:r>
          </w:p>
        </w:tc>
        <w:tc>
          <w:tcPr>
            <w:tcW w:w="1020"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11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EE37FD" w:rsidP="008C5E1E">
            <w:pPr>
              <w:spacing w:after="170"/>
              <w:jc w:val="center"/>
              <w:rPr>
                <w:rFonts w:ascii="Arial" w:hAnsi="Arial" w:cs="Arial"/>
                <w:sz w:val="16"/>
                <w:szCs w:val="16"/>
              </w:rPr>
            </w:pPr>
            <w:r w:rsidRPr="00EE37FD">
              <w:rPr>
                <w:rFonts w:ascii="Webdings" w:hAnsi="Webdings" w:cs="FontAwesome"/>
                <w:color w:val="ED7D31" w:themeColor="accent2"/>
                <w:sz w:val="28"/>
                <w:szCs w:val="28"/>
              </w:rPr>
              <w:sym w:font="Wingdings" w:char="F0FB"/>
            </w:r>
          </w:p>
        </w:tc>
        <w:tc>
          <w:tcPr>
            <w:tcW w:w="107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470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CA5D13" w:rsidRDefault="008C5E1E" w:rsidP="001427AF">
            <w:pPr>
              <w:pStyle w:val="Paragrafoelenco"/>
              <w:numPr>
                <w:ilvl w:val="0"/>
                <w:numId w:val="4"/>
              </w:numPr>
              <w:suppressAutoHyphens/>
              <w:autoSpaceDE w:val="0"/>
              <w:autoSpaceDN w:val="0"/>
              <w:adjustRightInd w:val="0"/>
              <w:spacing w:after="57" w:line="288" w:lineRule="auto"/>
              <w:textAlignment w:val="center"/>
              <w:rPr>
                <w:rFonts w:cs="Arial"/>
                <w:color w:val="000000"/>
                <w:sz w:val="16"/>
                <w:szCs w:val="16"/>
                <w:lang w:val="en-US"/>
              </w:rPr>
            </w:pPr>
            <w:r w:rsidRPr="00CA5D13">
              <w:rPr>
                <w:rFonts w:cs="Arial"/>
                <w:color w:val="000000"/>
                <w:sz w:val="16"/>
                <w:szCs w:val="16"/>
                <w:lang w:val="en-US"/>
              </w:rPr>
              <w:t>Continued scr</w:t>
            </w:r>
            <w:r w:rsidR="00525C69">
              <w:rPr>
                <w:rFonts w:cs="Arial"/>
                <w:color w:val="000000"/>
                <w:sz w:val="16"/>
                <w:szCs w:val="16"/>
                <w:lang w:val="en-US"/>
              </w:rPr>
              <w:t>utiny of Commission activities.</w:t>
            </w:r>
          </w:p>
          <w:p w:rsidR="008C5E1E" w:rsidRPr="00CA5D13" w:rsidRDefault="008C5E1E" w:rsidP="001427AF">
            <w:pPr>
              <w:pStyle w:val="Paragrafoelenco"/>
              <w:numPr>
                <w:ilvl w:val="0"/>
                <w:numId w:val="4"/>
              </w:numPr>
              <w:suppressAutoHyphens/>
              <w:autoSpaceDE w:val="0"/>
              <w:autoSpaceDN w:val="0"/>
              <w:adjustRightInd w:val="0"/>
              <w:spacing w:after="57" w:line="288" w:lineRule="auto"/>
              <w:textAlignment w:val="center"/>
              <w:rPr>
                <w:rFonts w:cs="Arial"/>
                <w:color w:val="000000"/>
                <w:sz w:val="16"/>
                <w:szCs w:val="16"/>
                <w:lang w:val="en-US"/>
              </w:rPr>
            </w:pPr>
            <w:r w:rsidRPr="00CA5D13">
              <w:rPr>
                <w:rFonts w:cs="Arial"/>
                <w:color w:val="000000"/>
                <w:sz w:val="16"/>
                <w:szCs w:val="16"/>
                <w:lang w:val="en-US"/>
              </w:rPr>
              <w:t>Managed through rigorous internal decision-making processes and a focused approach to building positive partnerships</w:t>
            </w:r>
            <w:r w:rsidRPr="00CA5D13">
              <w:rPr>
                <w:rFonts w:cs="Arial"/>
                <w:color w:val="000000"/>
                <w:spacing w:val="-7"/>
                <w:sz w:val="16"/>
                <w:szCs w:val="16"/>
                <w:lang w:val="en-US"/>
              </w:rPr>
              <w:t xml:space="preserve"> </w:t>
            </w:r>
            <w:r w:rsidRPr="00CA5D13">
              <w:rPr>
                <w:rFonts w:cs="Arial"/>
                <w:color w:val="000000"/>
                <w:sz w:val="16"/>
                <w:szCs w:val="16"/>
                <w:lang w:val="en-US"/>
              </w:rPr>
              <w:t>and</w:t>
            </w:r>
            <w:r w:rsidRPr="00CA5D13">
              <w:rPr>
                <w:rFonts w:cs="Arial"/>
                <w:color w:val="000000"/>
                <w:spacing w:val="-7"/>
                <w:sz w:val="16"/>
                <w:szCs w:val="16"/>
                <w:lang w:val="en-US"/>
              </w:rPr>
              <w:t xml:space="preserve"> </w:t>
            </w:r>
            <w:r w:rsidRPr="00CA5D13">
              <w:rPr>
                <w:rFonts w:cs="Arial"/>
                <w:color w:val="000000"/>
                <w:sz w:val="16"/>
                <w:szCs w:val="16"/>
                <w:lang w:val="en-US"/>
              </w:rPr>
              <w:t>relationships</w:t>
            </w:r>
            <w:r w:rsidRPr="00CA5D13">
              <w:rPr>
                <w:rFonts w:cs="Arial"/>
                <w:color w:val="000000"/>
                <w:spacing w:val="-6"/>
                <w:sz w:val="16"/>
                <w:szCs w:val="16"/>
                <w:lang w:val="en-US"/>
              </w:rPr>
              <w:t xml:space="preserve"> </w:t>
            </w:r>
            <w:r w:rsidRPr="00CA5D13">
              <w:rPr>
                <w:rFonts w:cs="Arial"/>
                <w:color w:val="000000"/>
                <w:sz w:val="16"/>
                <w:szCs w:val="16"/>
                <w:lang w:val="en-US"/>
              </w:rPr>
              <w:t>with</w:t>
            </w:r>
            <w:r w:rsidRPr="00CA5D13">
              <w:rPr>
                <w:rFonts w:cs="Arial"/>
                <w:color w:val="000000"/>
                <w:spacing w:val="-6"/>
                <w:sz w:val="16"/>
                <w:szCs w:val="16"/>
                <w:lang w:val="en-US"/>
              </w:rPr>
              <w:t xml:space="preserve"> </w:t>
            </w:r>
            <w:r w:rsidRPr="00CA5D13">
              <w:rPr>
                <w:rFonts w:cs="Arial"/>
                <w:color w:val="000000"/>
                <w:sz w:val="16"/>
                <w:szCs w:val="16"/>
                <w:lang w:val="en-US"/>
              </w:rPr>
              <w:t>governments</w:t>
            </w:r>
            <w:r w:rsidRPr="00CA5D13">
              <w:rPr>
                <w:rFonts w:cs="Arial"/>
                <w:color w:val="000000"/>
                <w:spacing w:val="-7"/>
                <w:sz w:val="16"/>
                <w:szCs w:val="16"/>
                <w:lang w:val="en-US"/>
              </w:rPr>
              <w:t xml:space="preserve"> </w:t>
            </w:r>
            <w:r w:rsidRPr="00CA5D13">
              <w:rPr>
                <w:rFonts w:cs="Arial"/>
                <w:color w:val="000000"/>
                <w:sz w:val="16"/>
                <w:szCs w:val="16"/>
                <w:lang w:val="en-US"/>
              </w:rPr>
              <w:t>and</w:t>
            </w:r>
            <w:r w:rsidRPr="00CA5D13">
              <w:rPr>
                <w:rFonts w:cs="Arial"/>
                <w:color w:val="000000"/>
                <w:spacing w:val="-7"/>
                <w:sz w:val="16"/>
                <w:szCs w:val="16"/>
                <w:lang w:val="en-US"/>
              </w:rPr>
              <w:t xml:space="preserve"> </w:t>
            </w:r>
            <w:r w:rsidRPr="00CA5D13">
              <w:rPr>
                <w:rFonts w:cs="Arial"/>
                <w:color w:val="000000"/>
                <w:sz w:val="16"/>
                <w:szCs w:val="16"/>
                <w:lang w:val="en-US"/>
              </w:rPr>
              <w:t>parliament.</w:t>
            </w:r>
          </w:p>
        </w:tc>
      </w:tr>
      <w:tr w:rsidR="008C5E1E" w:rsidRPr="008C5E1E" w:rsidTr="001427AF">
        <w:trPr>
          <w:trHeight w:val="354"/>
        </w:trPr>
        <w:tc>
          <w:tcPr>
            <w:tcW w:w="1701"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spacing w:after="85"/>
              <w:rPr>
                <w:rFonts w:ascii="Arial" w:hAnsi="Arial" w:cs="Arial"/>
                <w:sz w:val="16"/>
                <w:szCs w:val="16"/>
              </w:rPr>
            </w:pPr>
            <w:r w:rsidRPr="00CA5D13">
              <w:rPr>
                <w:rFonts w:ascii="Arial" w:hAnsi="Arial" w:cs="Arial"/>
                <w:b/>
                <w:bCs/>
                <w:sz w:val="16"/>
                <w:szCs w:val="16"/>
              </w:rPr>
              <w:t>Budget allocations and economic climate</w:t>
            </w:r>
          </w:p>
        </w:tc>
        <w:tc>
          <w:tcPr>
            <w:tcW w:w="1020"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11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EE37FD" w:rsidP="008C5E1E">
            <w:pPr>
              <w:spacing w:after="170"/>
              <w:jc w:val="center"/>
              <w:rPr>
                <w:rFonts w:ascii="Arial" w:hAnsi="Arial" w:cs="Arial"/>
                <w:sz w:val="16"/>
                <w:szCs w:val="16"/>
              </w:rPr>
            </w:pPr>
            <w:r w:rsidRPr="00EE37FD">
              <w:rPr>
                <w:rFonts w:ascii="Webdings" w:hAnsi="Webdings" w:cs="FontAwesome"/>
                <w:color w:val="ED7D31" w:themeColor="accent2"/>
                <w:sz w:val="28"/>
                <w:szCs w:val="28"/>
              </w:rPr>
              <w:sym w:font="Wingdings" w:char="F0FB"/>
            </w:r>
          </w:p>
        </w:tc>
        <w:tc>
          <w:tcPr>
            <w:tcW w:w="107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470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CA5D13" w:rsidRDefault="008C5E1E" w:rsidP="001427AF">
            <w:pPr>
              <w:pStyle w:val="Paragrafoelenco"/>
              <w:numPr>
                <w:ilvl w:val="0"/>
                <w:numId w:val="5"/>
              </w:numPr>
              <w:suppressAutoHyphens/>
              <w:autoSpaceDE w:val="0"/>
              <w:autoSpaceDN w:val="0"/>
              <w:adjustRightInd w:val="0"/>
              <w:spacing w:after="57" w:line="288" w:lineRule="auto"/>
              <w:textAlignment w:val="center"/>
              <w:rPr>
                <w:rFonts w:cs="Arial"/>
                <w:color w:val="000000"/>
                <w:sz w:val="16"/>
                <w:szCs w:val="16"/>
                <w:lang w:val="en-US"/>
              </w:rPr>
            </w:pPr>
            <w:r w:rsidRPr="00CA5D13">
              <w:rPr>
                <w:rFonts w:cs="Arial"/>
                <w:color w:val="000000"/>
                <w:sz w:val="16"/>
                <w:szCs w:val="16"/>
                <w:lang w:val="en-US"/>
              </w:rPr>
              <w:t>Fiscal restraint across government means continued constraints on appropriations, despite increases in Commission Executive. Additionally,</w:t>
            </w:r>
            <w:r w:rsidRPr="00CA5D13">
              <w:rPr>
                <w:rFonts w:cs="Arial"/>
                <w:color w:val="000000"/>
                <w:spacing w:val="-7"/>
                <w:sz w:val="16"/>
                <w:szCs w:val="16"/>
                <w:lang w:val="en-US"/>
              </w:rPr>
              <w:t xml:space="preserve"> </w:t>
            </w:r>
            <w:r w:rsidRPr="00CA5D13">
              <w:rPr>
                <w:rFonts w:cs="Arial"/>
                <w:color w:val="000000"/>
                <w:sz w:val="16"/>
                <w:szCs w:val="16"/>
                <w:lang w:val="en-US"/>
              </w:rPr>
              <w:t>the</w:t>
            </w:r>
            <w:r w:rsidRPr="00CA5D13">
              <w:rPr>
                <w:rFonts w:cs="Arial"/>
                <w:color w:val="000000"/>
                <w:spacing w:val="-7"/>
                <w:sz w:val="16"/>
                <w:szCs w:val="16"/>
                <w:lang w:val="en-US"/>
              </w:rPr>
              <w:t xml:space="preserve"> </w:t>
            </w:r>
            <w:r w:rsidRPr="00CA5D13">
              <w:rPr>
                <w:rFonts w:cs="Arial"/>
                <w:color w:val="000000"/>
                <w:sz w:val="16"/>
                <w:szCs w:val="16"/>
                <w:lang w:val="en-US"/>
              </w:rPr>
              <w:t>impact</w:t>
            </w:r>
            <w:r w:rsidRPr="00CA5D13">
              <w:rPr>
                <w:rFonts w:cs="Arial"/>
                <w:color w:val="000000"/>
                <w:spacing w:val="-7"/>
                <w:sz w:val="16"/>
                <w:szCs w:val="16"/>
                <w:lang w:val="en-US"/>
              </w:rPr>
              <w:t xml:space="preserve"> </w:t>
            </w:r>
            <w:r w:rsidRPr="00CA5D13">
              <w:rPr>
                <w:rFonts w:cs="Arial"/>
                <w:color w:val="000000"/>
                <w:sz w:val="16"/>
                <w:szCs w:val="16"/>
                <w:lang w:val="en-US"/>
              </w:rPr>
              <w:t>of</w:t>
            </w:r>
            <w:r w:rsidRPr="00CA5D13">
              <w:rPr>
                <w:rFonts w:cs="Arial"/>
                <w:color w:val="000000"/>
                <w:spacing w:val="-7"/>
                <w:sz w:val="16"/>
                <w:szCs w:val="16"/>
                <w:lang w:val="en-US"/>
              </w:rPr>
              <w:t xml:space="preserve"> </w:t>
            </w:r>
            <w:r w:rsidRPr="00CA5D13">
              <w:rPr>
                <w:rFonts w:cs="Arial"/>
                <w:color w:val="000000"/>
                <w:sz w:val="16"/>
                <w:szCs w:val="16"/>
                <w:lang w:val="en-US"/>
              </w:rPr>
              <w:t>efficiency</w:t>
            </w:r>
            <w:r w:rsidRPr="00CA5D13">
              <w:rPr>
                <w:rFonts w:cs="Arial"/>
                <w:color w:val="000000"/>
                <w:spacing w:val="-7"/>
                <w:sz w:val="16"/>
                <w:szCs w:val="16"/>
                <w:lang w:val="en-US"/>
              </w:rPr>
              <w:t xml:space="preserve"> </w:t>
            </w:r>
            <w:r w:rsidRPr="00CA5D13">
              <w:rPr>
                <w:rFonts w:cs="Arial"/>
                <w:color w:val="000000"/>
                <w:sz w:val="16"/>
                <w:szCs w:val="16"/>
                <w:lang w:val="en-US"/>
              </w:rPr>
              <w:t>dividends</w:t>
            </w:r>
            <w:r w:rsidRPr="00CA5D13">
              <w:rPr>
                <w:rFonts w:cs="Arial"/>
                <w:color w:val="000000"/>
                <w:spacing w:val="-7"/>
                <w:sz w:val="16"/>
                <w:szCs w:val="16"/>
                <w:lang w:val="en-US"/>
              </w:rPr>
              <w:t xml:space="preserve"> </w:t>
            </w:r>
            <w:r w:rsidRPr="00CA5D13">
              <w:rPr>
                <w:rFonts w:cs="Arial"/>
                <w:color w:val="000000"/>
                <w:sz w:val="16"/>
                <w:szCs w:val="16"/>
                <w:lang w:val="en-US"/>
              </w:rPr>
              <w:t>on</w:t>
            </w:r>
            <w:r w:rsidRPr="00CA5D13">
              <w:rPr>
                <w:rFonts w:cs="Arial"/>
                <w:color w:val="000000"/>
                <w:spacing w:val="-7"/>
                <w:sz w:val="16"/>
                <w:szCs w:val="16"/>
                <w:lang w:val="en-US"/>
              </w:rPr>
              <w:t xml:space="preserve"> </w:t>
            </w:r>
            <w:r w:rsidRPr="00CA5D13">
              <w:rPr>
                <w:rFonts w:cs="Arial"/>
                <w:color w:val="000000"/>
                <w:sz w:val="16"/>
                <w:szCs w:val="16"/>
                <w:lang w:val="en-US"/>
              </w:rPr>
              <w:t>small</w:t>
            </w:r>
            <w:r w:rsidRPr="00CA5D13">
              <w:rPr>
                <w:rFonts w:cs="Arial"/>
                <w:color w:val="000000"/>
                <w:spacing w:val="-7"/>
                <w:sz w:val="16"/>
                <w:szCs w:val="16"/>
                <w:lang w:val="en-US"/>
              </w:rPr>
              <w:t xml:space="preserve"> </w:t>
            </w:r>
            <w:r w:rsidRPr="00CA5D13">
              <w:rPr>
                <w:rFonts w:cs="Arial"/>
                <w:color w:val="000000"/>
                <w:sz w:val="16"/>
                <w:szCs w:val="16"/>
                <w:lang w:val="en-US"/>
              </w:rPr>
              <w:t>agencies continues</w:t>
            </w:r>
            <w:r w:rsidRPr="00CA5D13">
              <w:rPr>
                <w:rFonts w:cs="Arial"/>
                <w:color w:val="000000"/>
                <w:spacing w:val="-8"/>
                <w:sz w:val="16"/>
                <w:szCs w:val="16"/>
                <w:lang w:val="en-US"/>
              </w:rPr>
              <w:t xml:space="preserve"> </w:t>
            </w:r>
            <w:r w:rsidRPr="00CA5D13">
              <w:rPr>
                <w:rFonts w:cs="Arial"/>
                <w:color w:val="000000"/>
                <w:sz w:val="16"/>
                <w:szCs w:val="16"/>
                <w:lang w:val="en-US"/>
              </w:rPr>
              <w:t>to</w:t>
            </w:r>
            <w:r w:rsidRPr="00CA5D13">
              <w:rPr>
                <w:rFonts w:cs="Arial"/>
                <w:color w:val="000000"/>
                <w:spacing w:val="-8"/>
                <w:sz w:val="16"/>
                <w:szCs w:val="16"/>
                <w:lang w:val="en-US"/>
              </w:rPr>
              <w:t xml:space="preserve"> </w:t>
            </w:r>
            <w:r w:rsidRPr="00CA5D13">
              <w:rPr>
                <w:rFonts w:cs="Arial"/>
                <w:color w:val="000000"/>
                <w:sz w:val="16"/>
                <w:szCs w:val="16"/>
                <w:lang w:val="en-US"/>
              </w:rPr>
              <w:t>drive</w:t>
            </w:r>
            <w:r w:rsidRPr="00CA5D13">
              <w:rPr>
                <w:rFonts w:cs="Arial"/>
                <w:color w:val="000000"/>
                <w:spacing w:val="-8"/>
                <w:sz w:val="16"/>
                <w:szCs w:val="16"/>
                <w:lang w:val="en-US"/>
              </w:rPr>
              <w:t xml:space="preserve"> </w:t>
            </w:r>
            <w:r w:rsidRPr="00CA5D13">
              <w:rPr>
                <w:rFonts w:cs="Arial"/>
                <w:color w:val="000000"/>
                <w:sz w:val="16"/>
                <w:szCs w:val="16"/>
                <w:lang w:val="en-US"/>
              </w:rPr>
              <w:t>tight</w:t>
            </w:r>
            <w:r w:rsidRPr="00CA5D13">
              <w:rPr>
                <w:rFonts w:cs="Arial"/>
                <w:color w:val="000000"/>
                <w:spacing w:val="-8"/>
                <w:sz w:val="16"/>
                <w:szCs w:val="16"/>
                <w:lang w:val="en-US"/>
              </w:rPr>
              <w:t xml:space="preserve"> </w:t>
            </w:r>
            <w:r w:rsidRPr="00CA5D13">
              <w:rPr>
                <w:rFonts w:cs="Arial"/>
                <w:color w:val="000000"/>
                <w:sz w:val="16"/>
                <w:szCs w:val="16"/>
                <w:lang w:val="en-US"/>
              </w:rPr>
              <w:t>internal</w:t>
            </w:r>
            <w:r w:rsidRPr="00CA5D13">
              <w:rPr>
                <w:rFonts w:cs="Arial"/>
                <w:color w:val="000000"/>
                <w:spacing w:val="-8"/>
                <w:sz w:val="16"/>
                <w:szCs w:val="16"/>
                <w:lang w:val="en-US"/>
              </w:rPr>
              <w:t xml:space="preserve"> </w:t>
            </w:r>
            <w:r w:rsidRPr="00CA5D13">
              <w:rPr>
                <w:rFonts w:cs="Arial"/>
                <w:color w:val="000000"/>
                <w:sz w:val="16"/>
                <w:szCs w:val="16"/>
                <w:lang w:val="en-US"/>
              </w:rPr>
              <w:t>budgeting. In this context the return of funding that was redirected to the Royal Commission into Institutional Abuse is of critical importance in supporting our 2018–19 workplan.</w:t>
            </w:r>
          </w:p>
          <w:p w:rsidR="008C5E1E" w:rsidRPr="00CA5D13" w:rsidRDefault="008C5E1E" w:rsidP="001427AF">
            <w:pPr>
              <w:pStyle w:val="Paragrafoelenco"/>
              <w:numPr>
                <w:ilvl w:val="0"/>
                <w:numId w:val="5"/>
              </w:numPr>
              <w:suppressAutoHyphens/>
              <w:autoSpaceDE w:val="0"/>
              <w:autoSpaceDN w:val="0"/>
              <w:adjustRightInd w:val="0"/>
              <w:spacing w:after="57" w:line="288" w:lineRule="auto"/>
              <w:textAlignment w:val="center"/>
              <w:rPr>
                <w:rFonts w:cs="Arial"/>
                <w:color w:val="000000"/>
                <w:sz w:val="16"/>
                <w:szCs w:val="16"/>
                <w:lang w:val="en-US"/>
              </w:rPr>
            </w:pPr>
            <w:r w:rsidRPr="00CA5D13">
              <w:rPr>
                <w:rFonts w:cs="Arial"/>
                <w:color w:val="000000"/>
                <w:sz w:val="16"/>
                <w:szCs w:val="16"/>
                <w:lang w:val="en-US"/>
              </w:rPr>
              <w:t>Whole of government approaches to shared services places</w:t>
            </w:r>
            <w:r w:rsidRPr="00CA5D13">
              <w:rPr>
                <w:rFonts w:cs="Arial"/>
                <w:color w:val="000000"/>
                <w:spacing w:val="-6"/>
                <w:sz w:val="16"/>
                <w:szCs w:val="16"/>
                <w:lang w:val="en-US"/>
              </w:rPr>
              <w:t xml:space="preserve"> </w:t>
            </w:r>
            <w:r w:rsidRPr="00CA5D13">
              <w:rPr>
                <w:rFonts w:cs="Arial"/>
                <w:color w:val="000000"/>
                <w:sz w:val="16"/>
                <w:szCs w:val="16"/>
                <w:lang w:val="en-US"/>
              </w:rPr>
              <w:t>some</w:t>
            </w:r>
            <w:r w:rsidRPr="00CA5D13">
              <w:rPr>
                <w:rFonts w:cs="Arial"/>
                <w:color w:val="000000"/>
                <w:spacing w:val="-6"/>
                <w:sz w:val="16"/>
                <w:szCs w:val="16"/>
                <w:lang w:val="en-US"/>
              </w:rPr>
              <w:t xml:space="preserve"> </w:t>
            </w:r>
            <w:r w:rsidRPr="00CA5D13">
              <w:rPr>
                <w:rFonts w:cs="Arial"/>
                <w:color w:val="000000"/>
                <w:sz w:val="16"/>
                <w:szCs w:val="16"/>
                <w:lang w:val="en-US"/>
              </w:rPr>
              <w:t>uncertainty</w:t>
            </w:r>
            <w:r w:rsidRPr="00CA5D13">
              <w:rPr>
                <w:rFonts w:cs="Arial"/>
                <w:color w:val="000000"/>
                <w:spacing w:val="-6"/>
                <w:sz w:val="16"/>
                <w:szCs w:val="16"/>
                <w:lang w:val="en-US"/>
              </w:rPr>
              <w:t xml:space="preserve"> </w:t>
            </w:r>
            <w:r w:rsidRPr="00CA5D13">
              <w:rPr>
                <w:rFonts w:cs="Arial"/>
                <w:color w:val="000000"/>
                <w:sz w:val="16"/>
                <w:szCs w:val="16"/>
                <w:lang w:val="en-US"/>
              </w:rPr>
              <w:t>on</w:t>
            </w:r>
            <w:r w:rsidRPr="00CA5D13">
              <w:rPr>
                <w:rFonts w:cs="Arial"/>
                <w:color w:val="000000"/>
                <w:spacing w:val="-6"/>
                <w:sz w:val="16"/>
                <w:szCs w:val="16"/>
                <w:lang w:val="en-US"/>
              </w:rPr>
              <w:t xml:space="preserve"> </w:t>
            </w:r>
            <w:r w:rsidRPr="00CA5D13">
              <w:rPr>
                <w:rFonts w:cs="Arial"/>
                <w:color w:val="000000"/>
                <w:sz w:val="16"/>
                <w:szCs w:val="16"/>
                <w:lang w:val="en-US"/>
              </w:rPr>
              <w:t>our</w:t>
            </w:r>
            <w:r w:rsidRPr="00CA5D13">
              <w:rPr>
                <w:rFonts w:cs="Arial"/>
                <w:color w:val="000000"/>
                <w:spacing w:val="-6"/>
                <w:sz w:val="16"/>
                <w:szCs w:val="16"/>
                <w:lang w:val="en-US"/>
              </w:rPr>
              <w:t xml:space="preserve"> </w:t>
            </w:r>
            <w:r w:rsidRPr="00CA5D13">
              <w:rPr>
                <w:rFonts w:cs="Arial"/>
                <w:color w:val="000000"/>
                <w:sz w:val="16"/>
                <w:szCs w:val="16"/>
                <w:lang w:val="en-US"/>
              </w:rPr>
              <w:t>continued</w:t>
            </w:r>
            <w:r w:rsidRPr="00CA5D13">
              <w:rPr>
                <w:rFonts w:cs="Arial"/>
                <w:color w:val="000000"/>
                <w:spacing w:val="-6"/>
                <w:sz w:val="16"/>
                <w:szCs w:val="16"/>
                <w:lang w:val="en-US"/>
              </w:rPr>
              <w:t xml:space="preserve"> </w:t>
            </w:r>
            <w:r w:rsidRPr="00CA5D13">
              <w:rPr>
                <w:rFonts w:cs="Arial"/>
                <w:color w:val="000000"/>
                <w:sz w:val="16"/>
                <w:szCs w:val="16"/>
                <w:lang w:val="en-US"/>
              </w:rPr>
              <w:t>shared</w:t>
            </w:r>
            <w:r w:rsidRPr="00CA5D13">
              <w:rPr>
                <w:rFonts w:cs="Arial"/>
                <w:color w:val="000000"/>
                <w:spacing w:val="-6"/>
                <w:sz w:val="16"/>
                <w:szCs w:val="16"/>
                <w:lang w:val="en-US"/>
              </w:rPr>
              <w:t xml:space="preserve"> </w:t>
            </w:r>
            <w:r w:rsidRPr="00CA5D13">
              <w:rPr>
                <w:rFonts w:cs="Arial"/>
                <w:color w:val="000000"/>
                <w:sz w:val="16"/>
                <w:szCs w:val="16"/>
                <w:lang w:val="en-US"/>
              </w:rPr>
              <w:t>service arrangements.</w:t>
            </w:r>
          </w:p>
          <w:p w:rsidR="008C5E1E" w:rsidRPr="00CA5D13" w:rsidRDefault="008C5E1E" w:rsidP="001427AF">
            <w:pPr>
              <w:pStyle w:val="Paragrafoelenco"/>
              <w:numPr>
                <w:ilvl w:val="0"/>
                <w:numId w:val="5"/>
              </w:numPr>
              <w:suppressAutoHyphens/>
              <w:autoSpaceDE w:val="0"/>
              <w:autoSpaceDN w:val="0"/>
              <w:adjustRightInd w:val="0"/>
              <w:spacing w:after="57" w:line="288" w:lineRule="auto"/>
              <w:textAlignment w:val="center"/>
              <w:rPr>
                <w:rFonts w:cs="Arial"/>
                <w:color w:val="000000"/>
                <w:sz w:val="16"/>
                <w:szCs w:val="16"/>
                <w:lang w:val="en-US"/>
              </w:rPr>
            </w:pPr>
            <w:r w:rsidRPr="00CA5D13">
              <w:rPr>
                <w:rFonts w:cs="Arial"/>
                <w:color w:val="000000"/>
                <w:sz w:val="16"/>
                <w:szCs w:val="16"/>
                <w:lang w:val="en-US"/>
              </w:rPr>
              <w:t>Managed through a) further coordination and improvements to business development and sourcing external funding; b) refocusing our educational activities on diversity and inclusion and business/sectoral engagement, including fee for service training and technical advisory</w:t>
            </w:r>
            <w:r w:rsidRPr="00CA5D13">
              <w:rPr>
                <w:rFonts w:cs="Arial"/>
                <w:color w:val="000000"/>
                <w:spacing w:val="-26"/>
                <w:sz w:val="16"/>
                <w:szCs w:val="16"/>
                <w:lang w:val="en-US"/>
              </w:rPr>
              <w:t xml:space="preserve"> </w:t>
            </w:r>
            <w:r w:rsidRPr="00CA5D13">
              <w:rPr>
                <w:rFonts w:cs="Arial"/>
                <w:color w:val="000000"/>
                <w:spacing w:val="-2"/>
                <w:sz w:val="16"/>
                <w:szCs w:val="16"/>
                <w:lang w:val="en-US"/>
              </w:rPr>
              <w:t>capacity.</w:t>
            </w:r>
          </w:p>
        </w:tc>
      </w:tr>
      <w:tr w:rsidR="008C5E1E" w:rsidRPr="008C5E1E" w:rsidTr="001427AF">
        <w:trPr>
          <w:trHeight w:val="576"/>
        </w:trPr>
        <w:tc>
          <w:tcPr>
            <w:tcW w:w="1701"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spacing w:after="85"/>
              <w:rPr>
                <w:rFonts w:ascii="Arial" w:hAnsi="Arial" w:cs="Arial"/>
                <w:sz w:val="16"/>
                <w:szCs w:val="16"/>
              </w:rPr>
            </w:pPr>
            <w:r w:rsidRPr="00CA5D13">
              <w:rPr>
                <w:rFonts w:ascii="Arial" w:hAnsi="Arial" w:cs="Arial"/>
                <w:b/>
                <w:bCs/>
                <w:sz w:val="16"/>
                <w:szCs w:val="16"/>
              </w:rPr>
              <w:t>Federal election</w:t>
            </w:r>
          </w:p>
        </w:tc>
        <w:tc>
          <w:tcPr>
            <w:tcW w:w="1020"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11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107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EE37FD" w:rsidP="008C5E1E">
            <w:pPr>
              <w:spacing w:after="170"/>
              <w:jc w:val="center"/>
              <w:rPr>
                <w:rFonts w:ascii="Arial" w:hAnsi="Arial" w:cs="Arial"/>
                <w:sz w:val="16"/>
                <w:szCs w:val="16"/>
              </w:rPr>
            </w:pPr>
            <w:r w:rsidRPr="00EE37FD">
              <w:rPr>
                <w:rFonts w:ascii="Webdings" w:hAnsi="Webdings" w:cs="FontAwesome"/>
                <w:color w:val="ED7D31" w:themeColor="accent2"/>
                <w:sz w:val="28"/>
                <w:szCs w:val="28"/>
              </w:rPr>
              <w:sym w:font="Wingdings" w:char="F0FB"/>
            </w:r>
          </w:p>
        </w:tc>
        <w:tc>
          <w:tcPr>
            <w:tcW w:w="470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CA5D13" w:rsidRDefault="008C5E1E" w:rsidP="001427AF">
            <w:pPr>
              <w:pStyle w:val="Paragrafoelenco"/>
              <w:numPr>
                <w:ilvl w:val="0"/>
                <w:numId w:val="6"/>
              </w:numPr>
              <w:suppressAutoHyphens/>
              <w:autoSpaceDE w:val="0"/>
              <w:autoSpaceDN w:val="0"/>
              <w:adjustRightInd w:val="0"/>
              <w:spacing w:after="57" w:line="288" w:lineRule="auto"/>
              <w:textAlignment w:val="center"/>
              <w:rPr>
                <w:rFonts w:cs="Arial"/>
                <w:color w:val="000000"/>
                <w:sz w:val="16"/>
                <w:szCs w:val="16"/>
                <w:lang w:val="en-US"/>
              </w:rPr>
            </w:pPr>
            <w:r w:rsidRPr="00CA5D13">
              <w:rPr>
                <w:rFonts w:cs="Arial"/>
                <w:color w:val="000000"/>
                <w:sz w:val="16"/>
                <w:szCs w:val="16"/>
                <w:lang w:val="en-US"/>
              </w:rPr>
              <w:t>Federal</w:t>
            </w:r>
            <w:r w:rsidRPr="00CA5D13">
              <w:rPr>
                <w:rFonts w:cs="Arial"/>
                <w:color w:val="000000"/>
                <w:spacing w:val="-4"/>
                <w:sz w:val="16"/>
                <w:szCs w:val="16"/>
                <w:lang w:val="en-US"/>
              </w:rPr>
              <w:t xml:space="preserve"> </w:t>
            </w:r>
            <w:r w:rsidRPr="00CA5D13">
              <w:rPr>
                <w:rFonts w:cs="Arial"/>
                <w:color w:val="000000"/>
                <w:sz w:val="16"/>
                <w:szCs w:val="16"/>
                <w:lang w:val="en-US"/>
              </w:rPr>
              <w:t>election</w:t>
            </w:r>
            <w:r w:rsidRPr="00CA5D13">
              <w:rPr>
                <w:rFonts w:cs="Arial"/>
                <w:color w:val="000000"/>
                <w:spacing w:val="-5"/>
                <w:sz w:val="16"/>
                <w:szCs w:val="16"/>
                <w:lang w:val="en-US"/>
              </w:rPr>
              <w:t xml:space="preserve"> </w:t>
            </w:r>
            <w:r w:rsidRPr="00CA5D13">
              <w:rPr>
                <w:rFonts w:cs="Arial"/>
                <w:color w:val="000000"/>
                <w:sz w:val="16"/>
                <w:szCs w:val="16"/>
                <w:lang w:val="en-US"/>
              </w:rPr>
              <w:t>due</w:t>
            </w:r>
            <w:r w:rsidRPr="00CA5D13">
              <w:rPr>
                <w:rFonts w:cs="Arial"/>
                <w:color w:val="000000"/>
                <w:spacing w:val="-5"/>
                <w:sz w:val="16"/>
                <w:szCs w:val="16"/>
                <w:lang w:val="en-US"/>
              </w:rPr>
              <w:t xml:space="preserve"> </w:t>
            </w:r>
            <w:r w:rsidRPr="00CA5D13">
              <w:rPr>
                <w:rFonts w:cs="Arial"/>
                <w:color w:val="000000"/>
                <w:sz w:val="16"/>
                <w:szCs w:val="16"/>
                <w:lang w:val="en-US"/>
              </w:rPr>
              <w:t>in</w:t>
            </w:r>
            <w:r w:rsidRPr="00CA5D13">
              <w:rPr>
                <w:rFonts w:cs="Arial"/>
                <w:color w:val="000000"/>
                <w:spacing w:val="-5"/>
                <w:sz w:val="16"/>
                <w:szCs w:val="16"/>
                <w:lang w:val="en-US"/>
              </w:rPr>
              <w:t xml:space="preserve"> </w:t>
            </w:r>
            <w:r w:rsidRPr="00CA5D13">
              <w:rPr>
                <w:rFonts w:cs="Arial"/>
                <w:color w:val="000000"/>
                <w:sz w:val="16"/>
                <w:szCs w:val="16"/>
                <w:lang w:val="en-US"/>
              </w:rPr>
              <w:t>late</w:t>
            </w:r>
            <w:r w:rsidRPr="00CA5D13">
              <w:rPr>
                <w:rFonts w:cs="Arial"/>
                <w:color w:val="000000"/>
                <w:spacing w:val="-5"/>
                <w:sz w:val="16"/>
                <w:szCs w:val="16"/>
                <w:lang w:val="en-US"/>
              </w:rPr>
              <w:t xml:space="preserve"> </w:t>
            </w:r>
            <w:r w:rsidRPr="00CA5D13">
              <w:rPr>
                <w:rFonts w:cs="Arial"/>
                <w:color w:val="000000"/>
                <w:sz w:val="16"/>
                <w:szCs w:val="16"/>
                <w:lang w:val="en-US"/>
              </w:rPr>
              <w:t>2018</w:t>
            </w:r>
            <w:r w:rsidRPr="00CA5D13">
              <w:rPr>
                <w:rFonts w:cs="Arial"/>
                <w:color w:val="000000"/>
                <w:spacing w:val="-5"/>
                <w:sz w:val="16"/>
                <w:szCs w:val="16"/>
                <w:lang w:val="en-US"/>
              </w:rPr>
              <w:t xml:space="preserve"> </w:t>
            </w:r>
            <w:r w:rsidRPr="00CA5D13">
              <w:rPr>
                <w:rFonts w:cs="Arial"/>
                <w:color w:val="000000"/>
                <w:sz w:val="16"/>
                <w:szCs w:val="16"/>
                <w:lang w:val="en-US"/>
              </w:rPr>
              <w:t>or</w:t>
            </w:r>
            <w:r w:rsidRPr="00CA5D13">
              <w:rPr>
                <w:rFonts w:cs="Arial"/>
                <w:color w:val="000000"/>
                <w:spacing w:val="-5"/>
                <w:sz w:val="16"/>
                <w:szCs w:val="16"/>
                <w:lang w:val="en-US"/>
              </w:rPr>
              <w:t xml:space="preserve"> </w:t>
            </w:r>
            <w:r w:rsidRPr="00CA5D13">
              <w:rPr>
                <w:rFonts w:cs="Arial"/>
                <w:color w:val="000000"/>
                <w:sz w:val="16"/>
                <w:szCs w:val="16"/>
                <w:lang w:val="en-US"/>
              </w:rPr>
              <w:t>early</w:t>
            </w:r>
            <w:r w:rsidRPr="00CA5D13">
              <w:rPr>
                <w:rFonts w:cs="Arial"/>
                <w:color w:val="000000"/>
                <w:spacing w:val="-5"/>
                <w:sz w:val="16"/>
                <w:szCs w:val="16"/>
                <w:lang w:val="en-US"/>
              </w:rPr>
              <w:t xml:space="preserve"> </w:t>
            </w:r>
            <w:r w:rsidRPr="00CA5D13">
              <w:rPr>
                <w:rFonts w:cs="Arial"/>
                <w:color w:val="000000"/>
                <w:sz w:val="16"/>
                <w:szCs w:val="16"/>
                <w:lang w:val="en-US"/>
              </w:rPr>
              <w:t xml:space="preserve">2019. Election commitments could impact positively or negatively on the Commission. </w:t>
            </w:r>
          </w:p>
        </w:tc>
      </w:tr>
      <w:tr w:rsidR="008C5E1E" w:rsidRPr="008C5E1E" w:rsidTr="003C18CB">
        <w:trPr>
          <w:trHeight w:val="25"/>
        </w:trPr>
        <w:tc>
          <w:tcPr>
            <w:tcW w:w="9639" w:type="dxa"/>
            <w:gridSpan w:val="5"/>
            <w:tcBorders>
              <w:top w:val="single" w:sz="4" w:space="0" w:color="FFFFFF"/>
              <w:left w:val="single" w:sz="4" w:space="0" w:color="FFFFFF"/>
              <w:bottom w:val="single" w:sz="4" w:space="0" w:color="FFFFFF"/>
              <w:right w:val="single" w:sz="4" w:space="0" w:color="FFFFFF"/>
            </w:tcBorders>
            <w:shd w:val="clear" w:color="auto" w:fill="F7CAAC" w:themeFill="accent2" w:themeFillTint="66"/>
            <w:tcMar>
              <w:top w:w="227" w:type="dxa"/>
              <w:left w:w="227" w:type="dxa"/>
              <w:bottom w:w="227" w:type="dxa"/>
              <w:right w:w="227" w:type="dxa"/>
            </w:tcMar>
          </w:tcPr>
          <w:p w:rsidR="008C5E1E" w:rsidRPr="008C5E1E" w:rsidRDefault="008C5E1E" w:rsidP="0084766F">
            <w:pPr>
              <w:spacing w:after="0" w:line="240" w:lineRule="auto"/>
              <w:rPr>
                <w:rFonts w:ascii="Arial" w:hAnsi="Arial" w:cs="Arial"/>
                <w:sz w:val="16"/>
                <w:szCs w:val="16"/>
              </w:rPr>
            </w:pPr>
            <w:r w:rsidRPr="00CA5D13">
              <w:rPr>
                <w:rFonts w:ascii="Arial" w:hAnsi="Arial" w:cs="Arial"/>
                <w:b/>
                <w:bCs/>
                <w:sz w:val="16"/>
                <w:szCs w:val="16"/>
              </w:rPr>
              <w:t>Opportunities</w:t>
            </w:r>
          </w:p>
        </w:tc>
      </w:tr>
      <w:tr w:rsidR="008C5E1E" w:rsidRPr="008C5E1E" w:rsidTr="001427AF">
        <w:trPr>
          <w:trHeight w:val="651"/>
        </w:trPr>
        <w:tc>
          <w:tcPr>
            <w:tcW w:w="1701"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spacing w:after="85"/>
              <w:rPr>
                <w:rFonts w:ascii="Arial" w:hAnsi="Arial" w:cs="Arial"/>
                <w:sz w:val="16"/>
                <w:szCs w:val="16"/>
              </w:rPr>
            </w:pPr>
            <w:r w:rsidRPr="00CA5D13">
              <w:rPr>
                <w:rFonts w:ascii="Arial" w:hAnsi="Arial" w:cs="Arial"/>
                <w:b/>
                <w:bCs/>
                <w:sz w:val="16"/>
                <w:szCs w:val="16"/>
              </w:rPr>
              <w:t>Our unique role as Australia’s National Human Rights Institution</w:t>
            </w:r>
          </w:p>
        </w:tc>
        <w:tc>
          <w:tcPr>
            <w:tcW w:w="1020"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EE37FD" w:rsidP="008C5E1E">
            <w:pPr>
              <w:spacing w:after="170"/>
              <w:jc w:val="center"/>
              <w:rPr>
                <w:rFonts w:ascii="Arial" w:hAnsi="Arial" w:cs="Arial"/>
                <w:sz w:val="16"/>
                <w:szCs w:val="16"/>
              </w:rPr>
            </w:pPr>
            <w:r w:rsidRPr="00EE37FD">
              <w:rPr>
                <w:rFonts w:ascii="Webdings" w:hAnsi="Webdings" w:cs="FontAwesome"/>
                <w:color w:val="ED7D31" w:themeColor="accent2"/>
                <w:sz w:val="28"/>
                <w:szCs w:val="28"/>
              </w:rPr>
              <w:sym w:font="Wingdings" w:char="F0FB"/>
            </w:r>
          </w:p>
        </w:tc>
        <w:tc>
          <w:tcPr>
            <w:tcW w:w="11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107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470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CA5D13" w:rsidRDefault="008C5E1E" w:rsidP="001427AF">
            <w:pPr>
              <w:pStyle w:val="Paragrafoelenco"/>
              <w:numPr>
                <w:ilvl w:val="0"/>
                <w:numId w:val="6"/>
              </w:numPr>
              <w:suppressAutoHyphens/>
              <w:autoSpaceDE w:val="0"/>
              <w:autoSpaceDN w:val="0"/>
              <w:adjustRightInd w:val="0"/>
              <w:spacing w:after="57" w:line="288" w:lineRule="auto"/>
              <w:textAlignment w:val="center"/>
              <w:rPr>
                <w:rFonts w:cs="Arial"/>
                <w:color w:val="000000"/>
                <w:sz w:val="16"/>
                <w:szCs w:val="16"/>
                <w:lang w:val="en-US"/>
              </w:rPr>
            </w:pPr>
            <w:r w:rsidRPr="00CA5D13">
              <w:rPr>
                <w:rFonts w:cs="Arial"/>
                <w:color w:val="000000"/>
                <w:sz w:val="16"/>
                <w:szCs w:val="16"/>
                <w:lang w:val="en-US"/>
              </w:rPr>
              <w:t xml:space="preserve">As a National Human </w:t>
            </w:r>
            <w:proofErr w:type="gramStart"/>
            <w:r w:rsidRPr="00CA5D13">
              <w:rPr>
                <w:rFonts w:cs="Arial"/>
                <w:color w:val="000000"/>
                <w:sz w:val="16"/>
                <w:szCs w:val="16"/>
                <w:lang w:val="en-US"/>
              </w:rPr>
              <w:t>Rights Institution</w:t>
            </w:r>
            <w:proofErr w:type="gramEnd"/>
            <w:r w:rsidRPr="00CA5D13">
              <w:rPr>
                <w:rFonts w:cs="Arial"/>
                <w:color w:val="000000"/>
                <w:sz w:val="16"/>
                <w:szCs w:val="16"/>
                <w:lang w:val="en-US"/>
              </w:rPr>
              <w:t xml:space="preserve"> we offer unique expertise and perspectives with a legal mandate to exercise the powers to promote and protect human rights, free from political direction.</w:t>
            </w:r>
          </w:p>
        </w:tc>
      </w:tr>
      <w:tr w:rsidR="008C5E1E" w:rsidRPr="008C5E1E" w:rsidTr="001427AF">
        <w:trPr>
          <w:trHeight w:val="1544"/>
        </w:trPr>
        <w:tc>
          <w:tcPr>
            <w:tcW w:w="1701"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spacing w:after="85"/>
              <w:rPr>
                <w:rFonts w:ascii="Arial" w:hAnsi="Arial" w:cs="Arial"/>
                <w:sz w:val="16"/>
                <w:szCs w:val="16"/>
              </w:rPr>
            </w:pPr>
            <w:r w:rsidRPr="00CA5D13">
              <w:rPr>
                <w:rFonts w:ascii="Arial" w:hAnsi="Arial" w:cs="Arial"/>
                <w:b/>
                <w:bCs/>
                <w:sz w:val="16"/>
                <w:szCs w:val="16"/>
              </w:rPr>
              <w:t>Significant reports released or to be released that will inform human rights outcomes over next four years</w:t>
            </w:r>
          </w:p>
        </w:tc>
        <w:tc>
          <w:tcPr>
            <w:tcW w:w="1020"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11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EE37FD" w:rsidP="008C5E1E">
            <w:pPr>
              <w:spacing w:after="170"/>
              <w:jc w:val="center"/>
              <w:rPr>
                <w:rFonts w:ascii="Arial" w:hAnsi="Arial" w:cs="Arial"/>
                <w:sz w:val="16"/>
                <w:szCs w:val="16"/>
              </w:rPr>
            </w:pPr>
            <w:r w:rsidRPr="00EE37FD">
              <w:rPr>
                <w:rFonts w:ascii="Webdings" w:hAnsi="Webdings" w:cs="FontAwesome"/>
                <w:color w:val="ED7D31" w:themeColor="accent2"/>
                <w:sz w:val="28"/>
                <w:szCs w:val="28"/>
              </w:rPr>
              <w:sym w:font="Wingdings" w:char="F0FB"/>
            </w:r>
          </w:p>
        </w:tc>
        <w:tc>
          <w:tcPr>
            <w:tcW w:w="107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470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CA5D13" w:rsidRDefault="008C5E1E" w:rsidP="001427AF">
            <w:pPr>
              <w:pStyle w:val="Paragrafoelenco"/>
              <w:numPr>
                <w:ilvl w:val="0"/>
                <w:numId w:val="6"/>
              </w:numPr>
              <w:suppressAutoHyphens/>
              <w:autoSpaceDE w:val="0"/>
              <w:autoSpaceDN w:val="0"/>
              <w:adjustRightInd w:val="0"/>
              <w:spacing w:after="37" w:line="288" w:lineRule="auto"/>
              <w:textAlignment w:val="center"/>
              <w:rPr>
                <w:rFonts w:cs="Arial"/>
                <w:color w:val="000000"/>
                <w:sz w:val="16"/>
                <w:szCs w:val="16"/>
                <w:lang w:val="en-US"/>
              </w:rPr>
            </w:pPr>
            <w:r w:rsidRPr="00CA5D13">
              <w:rPr>
                <w:rFonts w:cs="Arial"/>
                <w:color w:val="000000"/>
                <w:sz w:val="16"/>
                <w:szCs w:val="16"/>
                <w:lang w:val="en-US"/>
              </w:rPr>
              <w:t>Implementation of recommendations of Royal Commission into institutional abuse are expected by end of 2018 with potential role for the Commission.</w:t>
            </w:r>
          </w:p>
          <w:p w:rsidR="008C5E1E" w:rsidRPr="00CA5D13" w:rsidRDefault="008C5E1E" w:rsidP="001427AF">
            <w:pPr>
              <w:pStyle w:val="Paragrafoelenco"/>
              <w:numPr>
                <w:ilvl w:val="0"/>
                <w:numId w:val="6"/>
              </w:numPr>
              <w:suppressAutoHyphens/>
              <w:autoSpaceDE w:val="0"/>
              <w:autoSpaceDN w:val="0"/>
              <w:adjustRightInd w:val="0"/>
              <w:spacing w:after="37" w:line="288" w:lineRule="auto"/>
              <w:textAlignment w:val="center"/>
              <w:rPr>
                <w:rFonts w:cs="Arial"/>
                <w:color w:val="000000"/>
                <w:sz w:val="16"/>
                <w:szCs w:val="16"/>
                <w:lang w:val="en-US"/>
              </w:rPr>
            </w:pPr>
            <w:r w:rsidRPr="00CA5D13">
              <w:rPr>
                <w:rFonts w:cs="Arial"/>
                <w:color w:val="000000"/>
                <w:sz w:val="16"/>
                <w:szCs w:val="16"/>
                <w:lang w:val="en-US"/>
              </w:rPr>
              <w:t>Ongoing focus on implementation of the 2017 Australian Law Reform Commission’s reports on elder abuse and disability, and release of indigenous incarceration report.</w:t>
            </w:r>
          </w:p>
          <w:p w:rsidR="008C5E1E" w:rsidRPr="00CA5D13" w:rsidRDefault="008C5E1E" w:rsidP="001427AF">
            <w:pPr>
              <w:pStyle w:val="Paragrafoelenco"/>
              <w:numPr>
                <w:ilvl w:val="0"/>
                <w:numId w:val="6"/>
              </w:numPr>
              <w:suppressAutoHyphens/>
              <w:autoSpaceDE w:val="0"/>
              <w:autoSpaceDN w:val="0"/>
              <w:adjustRightInd w:val="0"/>
              <w:spacing w:after="37" w:line="288" w:lineRule="auto"/>
              <w:textAlignment w:val="center"/>
              <w:rPr>
                <w:rFonts w:cs="Arial"/>
                <w:color w:val="000000"/>
                <w:sz w:val="16"/>
                <w:szCs w:val="16"/>
                <w:lang w:val="en-US"/>
              </w:rPr>
            </w:pPr>
            <w:r w:rsidRPr="00CA5D13">
              <w:rPr>
                <w:rFonts w:cs="Arial"/>
                <w:color w:val="000000"/>
                <w:sz w:val="16"/>
                <w:szCs w:val="16"/>
                <w:lang w:val="en-US"/>
              </w:rPr>
              <w:t>Forthcoming release of religious freedoms panel report may a) identify future policy priorities for Commission; and b) place increased focus on operation of SDA and exemption processes.</w:t>
            </w:r>
          </w:p>
          <w:p w:rsidR="008C5E1E" w:rsidRPr="00CA5D13" w:rsidRDefault="008C5E1E" w:rsidP="001427AF">
            <w:pPr>
              <w:pStyle w:val="Paragrafoelenco"/>
              <w:numPr>
                <w:ilvl w:val="0"/>
                <w:numId w:val="6"/>
              </w:numPr>
              <w:suppressAutoHyphens/>
              <w:autoSpaceDE w:val="0"/>
              <w:autoSpaceDN w:val="0"/>
              <w:adjustRightInd w:val="0"/>
              <w:spacing w:after="37" w:line="288" w:lineRule="auto"/>
              <w:textAlignment w:val="center"/>
              <w:rPr>
                <w:rFonts w:cs="Arial"/>
                <w:color w:val="000000"/>
                <w:sz w:val="16"/>
                <w:szCs w:val="16"/>
                <w:lang w:val="en-US"/>
              </w:rPr>
            </w:pPr>
            <w:r w:rsidRPr="00CA5D13">
              <w:rPr>
                <w:rFonts w:cs="Arial"/>
                <w:color w:val="000000"/>
                <w:sz w:val="16"/>
                <w:szCs w:val="16"/>
                <w:lang w:val="en-US"/>
              </w:rPr>
              <w:t>The Commission is well placed to play key role in the implementation of such reports.</w:t>
            </w:r>
          </w:p>
        </w:tc>
      </w:tr>
      <w:tr w:rsidR="008C5E1E" w:rsidRPr="008C5E1E" w:rsidTr="001427AF">
        <w:trPr>
          <w:trHeight w:val="846"/>
        </w:trPr>
        <w:tc>
          <w:tcPr>
            <w:tcW w:w="1701"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spacing w:after="85"/>
              <w:rPr>
                <w:rFonts w:ascii="Arial" w:hAnsi="Arial" w:cs="Arial"/>
                <w:sz w:val="16"/>
                <w:szCs w:val="16"/>
              </w:rPr>
            </w:pPr>
            <w:r w:rsidRPr="00CA5D13">
              <w:rPr>
                <w:rFonts w:ascii="Arial" w:hAnsi="Arial" w:cs="Arial"/>
                <w:b/>
                <w:bCs/>
                <w:sz w:val="16"/>
                <w:szCs w:val="16"/>
              </w:rPr>
              <w:t>National and international focus on violence and harassment issues</w:t>
            </w:r>
          </w:p>
        </w:tc>
        <w:tc>
          <w:tcPr>
            <w:tcW w:w="1020"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11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EE37FD" w:rsidP="008C5E1E">
            <w:pPr>
              <w:spacing w:after="170"/>
              <w:jc w:val="center"/>
              <w:rPr>
                <w:rFonts w:ascii="Arial" w:hAnsi="Arial" w:cs="Arial"/>
                <w:sz w:val="16"/>
                <w:szCs w:val="16"/>
              </w:rPr>
            </w:pPr>
            <w:r w:rsidRPr="00EE37FD">
              <w:rPr>
                <w:rFonts w:ascii="Webdings" w:hAnsi="Webdings" w:cs="FontAwesome"/>
                <w:color w:val="ED7D31" w:themeColor="accent2"/>
                <w:sz w:val="28"/>
                <w:szCs w:val="28"/>
              </w:rPr>
              <w:sym w:font="Wingdings" w:char="F0FB"/>
            </w:r>
          </w:p>
        </w:tc>
        <w:tc>
          <w:tcPr>
            <w:tcW w:w="107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470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CA5D13" w:rsidRDefault="008C5E1E" w:rsidP="001427AF">
            <w:pPr>
              <w:pStyle w:val="Paragrafoelenco"/>
              <w:numPr>
                <w:ilvl w:val="0"/>
                <w:numId w:val="7"/>
              </w:numPr>
              <w:suppressAutoHyphens/>
              <w:autoSpaceDE w:val="0"/>
              <w:autoSpaceDN w:val="0"/>
              <w:adjustRightInd w:val="0"/>
              <w:spacing w:after="37" w:line="288" w:lineRule="auto"/>
              <w:textAlignment w:val="center"/>
              <w:rPr>
                <w:rFonts w:cs="Arial"/>
                <w:color w:val="000000"/>
                <w:spacing w:val="-1"/>
                <w:sz w:val="16"/>
                <w:szCs w:val="16"/>
                <w:lang w:val="en-US"/>
              </w:rPr>
            </w:pPr>
            <w:r w:rsidRPr="00CA5D13">
              <w:rPr>
                <w:rFonts w:cs="Arial"/>
                <w:color w:val="000000"/>
                <w:spacing w:val="-1"/>
                <w:sz w:val="16"/>
                <w:szCs w:val="16"/>
                <w:lang w:val="en-US"/>
              </w:rPr>
              <w:t>International focus through #</w:t>
            </w:r>
            <w:proofErr w:type="spellStart"/>
            <w:r w:rsidRPr="00CA5D13">
              <w:rPr>
                <w:rFonts w:cs="Arial"/>
                <w:color w:val="000000"/>
                <w:spacing w:val="-1"/>
                <w:sz w:val="16"/>
                <w:szCs w:val="16"/>
                <w:lang w:val="en-US"/>
              </w:rPr>
              <w:t>MeToo</w:t>
            </w:r>
            <w:proofErr w:type="spellEnd"/>
            <w:r w:rsidRPr="00CA5D13">
              <w:rPr>
                <w:rFonts w:cs="Arial"/>
                <w:color w:val="000000"/>
                <w:spacing w:val="-1"/>
                <w:sz w:val="16"/>
                <w:szCs w:val="16"/>
                <w:lang w:val="en-US"/>
              </w:rPr>
              <w:t xml:space="preserve"> and #</w:t>
            </w:r>
            <w:proofErr w:type="spellStart"/>
            <w:r w:rsidRPr="00CA5D13">
              <w:rPr>
                <w:rFonts w:cs="Arial"/>
                <w:color w:val="000000"/>
                <w:spacing w:val="-1"/>
                <w:sz w:val="16"/>
                <w:szCs w:val="16"/>
                <w:lang w:val="en-US"/>
              </w:rPr>
              <w:t>TimesUp</w:t>
            </w:r>
            <w:proofErr w:type="spellEnd"/>
            <w:r w:rsidRPr="00CA5D13">
              <w:rPr>
                <w:rFonts w:cs="Arial"/>
                <w:color w:val="000000"/>
                <w:spacing w:val="-1"/>
                <w:sz w:val="16"/>
                <w:szCs w:val="16"/>
                <w:lang w:val="en-US"/>
              </w:rPr>
              <w:t xml:space="preserve"> movement on sexual harassment contributing to significant national focus on this issue.</w:t>
            </w:r>
          </w:p>
          <w:p w:rsidR="008C5E1E" w:rsidRPr="00CA5D13" w:rsidRDefault="008C5E1E" w:rsidP="001427AF">
            <w:pPr>
              <w:pStyle w:val="Paragrafoelenco"/>
              <w:numPr>
                <w:ilvl w:val="0"/>
                <w:numId w:val="7"/>
              </w:numPr>
              <w:suppressAutoHyphens/>
              <w:autoSpaceDE w:val="0"/>
              <w:autoSpaceDN w:val="0"/>
              <w:adjustRightInd w:val="0"/>
              <w:spacing w:after="37" w:line="288" w:lineRule="auto"/>
              <w:textAlignment w:val="center"/>
              <w:rPr>
                <w:rFonts w:cs="Arial"/>
                <w:color w:val="000000"/>
                <w:sz w:val="16"/>
                <w:szCs w:val="16"/>
                <w:lang w:val="en-US"/>
              </w:rPr>
            </w:pPr>
            <w:r w:rsidRPr="00CA5D13">
              <w:rPr>
                <w:rFonts w:cs="Arial"/>
                <w:color w:val="000000"/>
                <w:sz w:val="16"/>
                <w:szCs w:val="16"/>
                <w:lang w:val="en-US"/>
              </w:rPr>
              <w:t>The Commission is well placed to advance policy focus on this issue — for example, through the national sexual harassment prevalence study and follow up to universities work.</w:t>
            </w:r>
          </w:p>
        </w:tc>
      </w:tr>
      <w:tr w:rsidR="008C5E1E" w:rsidRPr="008C5E1E" w:rsidTr="001427AF">
        <w:trPr>
          <w:trHeight w:val="934"/>
        </w:trPr>
        <w:tc>
          <w:tcPr>
            <w:tcW w:w="1701"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spacing w:after="85"/>
              <w:rPr>
                <w:rFonts w:ascii="Arial" w:hAnsi="Arial" w:cs="Arial"/>
                <w:sz w:val="16"/>
                <w:szCs w:val="16"/>
              </w:rPr>
            </w:pPr>
            <w:r w:rsidRPr="00CA5D13">
              <w:rPr>
                <w:rFonts w:ascii="Arial" w:hAnsi="Arial" w:cs="Arial"/>
                <w:b/>
                <w:bCs/>
                <w:sz w:val="16"/>
                <w:szCs w:val="16"/>
              </w:rPr>
              <w:t>Creating ‘rights mindedness’ in the community</w:t>
            </w:r>
          </w:p>
        </w:tc>
        <w:tc>
          <w:tcPr>
            <w:tcW w:w="1020"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11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EE37FD" w:rsidP="008C5E1E">
            <w:pPr>
              <w:spacing w:after="170"/>
              <w:jc w:val="center"/>
              <w:rPr>
                <w:rFonts w:ascii="Arial" w:hAnsi="Arial" w:cs="Arial"/>
                <w:sz w:val="16"/>
                <w:szCs w:val="16"/>
              </w:rPr>
            </w:pPr>
            <w:r w:rsidRPr="00EE37FD">
              <w:rPr>
                <w:rFonts w:ascii="Webdings" w:hAnsi="Webdings" w:cs="FontAwesome"/>
                <w:color w:val="ED7D31" w:themeColor="accent2"/>
                <w:sz w:val="28"/>
                <w:szCs w:val="28"/>
              </w:rPr>
              <w:sym w:font="Wingdings" w:char="F0FB"/>
            </w:r>
          </w:p>
        </w:tc>
        <w:tc>
          <w:tcPr>
            <w:tcW w:w="107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470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CA5D13" w:rsidRDefault="008C5E1E" w:rsidP="001427AF">
            <w:pPr>
              <w:pStyle w:val="Paragrafoelenco"/>
              <w:numPr>
                <w:ilvl w:val="0"/>
                <w:numId w:val="8"/>
              </w:numPr>
              <w:suppressAutoHyphens/>
              <w:autoSpaceDE w:val="0"/>
              <w:autoSpaceDN w:val="0"/>
              <w:adjustRightInd w:val="0"/>
              <w:spacing w:after="37" w:line="288" w:lineRule="auto"/>
              <w:textAlignment w:val="center"/>
              <w:rPr>
                <w:rFonts w:cs="Arial"/>
                <w:color w:val="000000"/>
                <w:sz w:val="16"/>
                <w:szCs w:val="16"/>
                <w:lang w:val="en-US"/>
              </w:rPr>
            </w:pPr>
            <w:r w:rsidRPr="00CA5D13">
              <w:rPr>
                <w:rFonts w:cs="Arial"/>
                <w:color w:val="000000"/>
                <w:sz w:val="16"/>
                <w:szCs w:val="16"/>
                <w:lang w:val="en-US"/>
              </w:rPr>
              <w:t xml:space="preserve">The recent erosion of trust in many public institutions creates an opportunity to promote and educate the broader community about their rights. </w:t>
            </w:r>
          </w:p>
          <w:p w:rsidR="008C5E1E" w:rsidRPr="00CA5D13" w:rsidRDefault="008C5E1E" w:rsidP="001427AF">
            <w:pPr>
              <w:pStyle w:val="Paragrafoelenco"/>
              <w:numPr>
                <w:ilvl w:val="0"/>
                <w:numId w:val="8"/>
              </w:numPr>
              <w:suppressAutoHyphens/>
              <w:autoSpaceDE w:val="0"/>
              <w:autoSpaceDN w:val="0"/>
              <w:adjustRightInd w:val="0"/>
              <w:spacing w:after="37" w:line="288" w:lineRule="auto"/>
              <w:textAlignment w:val="center"/>
              <w:rPr>
                <w:rFonts w:cs="Arial"/>
                <w:color w:val="000000"/>
                <w:sz w:val="16"/>
                <w:szCs w:val="16"/>
                <w:lang w:val="en-US"/>
              </w:rPr>
            </w:pPr>
            <w:r w:rsidRPr="00CA5D13">
              <w:rPr>
                <w:rFonts w:cs="Arial"/>
                <w:color w:val="000000"/>
                <w:sz w:val="16"/>
                <w:szCs w:val="16"/>
                <w:lang w:val="en-US"/>
              </w:rPr>
              <w:t>Promote our mandated human rights education role and especially our core work in developing school and training resources.</w:t>
            </w:r>
          </w:p>
          <w:p w:rsidR="008C5E1E" w:rsidRPr="00CA5D13" w:rsidRDefault="008C5E1E" w:rsidP="001427AF">
            <w:pPr>
              <w:pStyle w:val="Paragrafoelenco"/>
              <w:numPr>
                <w:ilvl w:val="0"/>
                <w:numId w:val="8"/>
              </w:numPr>
              <w:suppressAutoHyphens/>
              <w:autoSpaceDE w:val="0"/>
              <w:autoSpaceDN w:val="0"/>
              <w:adjustRightInd w:val="0"/>
              <w:spacing w:after="37" w:line="288" w:lineRule="auto"/>
              <w:textAlignment w:val="center"/>
              <w:rPr>
                <w:rFonts w:cs="Arial"/>
                <w:color w:val="000000"/>
                <w:sz w:val="16"/>
                <w:szCs w:val="16"/>
                <w:lang w:val="en-US"/>
              </w:rPr>
            </w:pPr>
            <w:r w:rsidRPr="00CA5D13">
              <w:rPr>
                <w:rFonts w:cs="Arial"/>
                <w:color w:val="000000"/>
                <w:sz w:val="16"/>
                <w:szCs w:val="16"/>
                <w:lang w:val="en-US"/>
              </w:rPr>
              <w:t>The 70th anniversary of the Universal Declaration of Human Rights provides a vehicle for these discussions.</w:t>
            </w:r>
          </w:p>
        </w:tc>
      </w:tr>
      <w:tr w:rsidR="008C5E1E" w:rsidRPr="008C5E1E" w:rsidTr="001427AF">
        <w:trPr>
          <w:trHeight w:val="572"/>
        </w:trPr>
        <w:tc>
          <w:tcPr>
            <w:tcW w:w="1701"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spacing w:after="85"/>
              <w:rPr>
                <w:rFonts w:ascii="Arial" w:hAnsi="Arial" w:cs="Arial"/>
                <w:sz w:val="16"/>
                <w:szCs w:val="16"/>
              </w:rPr>
            </w:pPr>
            <w:r w:rsidRPr="00CA5D13">
              <w:rPr>
                <w:rFonts w:ascii="Arial" w:hAnsi="Arial" w:cs="Arial"/>
                <w:b/>
                <w:bCs/>
                <w:sz w:val="16"/>
                <w:szCs w:val="16"/>
              </w:rPr>
              <w:t>International engagement</w:t>
            </w:r>
          </w:p>
        </w:tc>
        <w:tc>
          <w:tcPr>
            <w:tcW w:w="1020"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11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EE37FD" w:rsidP="008C5E1E">
            <w:pPr>
              <w:spacing w:after="170"/>
              <w:jc w:val="center"/>
              <w:rPr>
                <w:rFonts w:ascii="Arial" w:hAnsi="Arial" w:cs="Arial"/>
                <w:sz w:val="16"/>
                <w:szCs w:val="16"/>
              </w:rPr>
            </w:pPr>
            <w:r w:rsidRPr="00EE37FD">
              <w:rPr>
                <w:rFonts w:ascii="Webdings" w:hAnsi="Webdings" w:cs="FontAwesome"/>
                <w:color w:val="ED7D31" w:themeColor="accent2"/>
                <w:sz w:val="28"/>
                <w:szCs w:val="28"/>
              </w:rPr>
              <w:sym w:font="Wingdings" w:char="F0FB"/>
            </w:r>
          </w:p>
        </w:tc>
        <w:tc>
          <w:tcPr>
            <w:tcW w:w="107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470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CA5D13" w:rsidRDefault="008C5E1E" w:rsidP="001427AF">
            <w:pPr>
              <w:pStyle w:val="Paragrafoelenco"/>
              <w:numPr>
                <w:ilvl w:val="0"/>
                <w:numId w:val="9"/>
              </w:numPr>
              <w:suppressAutoHyphens/>
              <w:autoSpaceDE w:val="0"/>
              <w:autoSpaceDN w:val="0"/>
              <w:adjustRightInd w:val="0"/>
              <w:spacing w:after="37" w:line="288" w:lineRule="auto"/>
              <w:textAlignment w:val="center"/>
              <w:rPr>
                <w:rFonts w:cs="Arial"/>
                <w:color w:val="000000"/>
                <w:sz w:val="16"/>
                <w:szCs w:val="16"/>
                <w:lang w:val="en-US"/>
              </w:rPr>
            </w:pPr>
            <w:r w:rsidRPr="00CA5D13">
              <w:rPr>
                <w:rFonts w:cs="Arial"/>
                <w:color w:val="000000"/>
                <w:sz w:val="16"/>
                <w:szCs w:val="16"/>
                <w:lang w:val="en-US"/>
              </w:rPr>
              <w:t>Australia’s election to the United Nations Human Rights Council for 2018–2020 places greater prominence on engagement through Human Rights Council processes a</w:t>
            </w:r>
            <w:r w:rsidR="00525C69">
              <w:rPr>
                <w:rFonts w:cs="Arial"/>
                <w:color w:val="000000"/>
                <w:sz w:val="16"/>
                <w:szCs w:val="16"/>
                <w:lang w:val="en-US"/>
              </w:rPr>
              <w:t>nd human rights more generally.</w:t>
            </w:r>
          </w:p>
          <w:p w:rsidR="008C5E1E" w:rsidRPr="00CA5D13" w:rsidRDefault="008C5E1E" w:rsidP="001427AF">
            <w:pPr>
              <w:pStyle w:val="Paragrafoelenco"/>
              <w:numPr>
                <w:ilvl w:val="0"/>
                <w:numId w:val="9"/>
              </w:numPr>
              <w:suppressAutoHyphens/>
              <w:autoSpaceDE w:val="0"/>
              <w:autoSpaceDN w:val="0"/>
              <w:adjustRightInd w:val="0"/>
              <w:spacing w:after="37" w:line="288" w:lineRule="auto"/>
              <w:textAlignment w:val="center"/>
              <w:rPr>
                <w:rFonts w:cs="Arial"/>
                <w:color w:val="000000"/>
                <w:sz w:val="16"/>
                <w:szCs w:val="16"/>
                <w:lang w:val="en-US"/>
              </w:rPr>
            </w:pPr>
            <w:r w:rsidRPr="00CA5D13">
              <w:rPr>
                <w:rFonts w:cs="Arial"/>
                <w:color w:val="000000"/>
                <w:sz w:val="16"/>
                <w:szCs w:val="16"/>
                <w:lang w:val="en-US"/>
              </w:rPr>
              <w:t>Discussions with Department of Foreign Affairs and Trade about how to leverage Commission’s A status as National Human Rights Institution in Human Rights Council related processes.</w:t>
            </w:r>
          </w:p>
          <w:p w:rsidR="008C5E1E" w:rsidRPr="00CA5D13" w:rsidRDefault="008C5E1E" w:rsidP="001427AF">
            <w:pPr>
              <w:pStyle w:val="Paragrafoelenco"/>
              <w:numPr>
                <w:ilvl w:val="0"/>
                <w:numId w:val="9"/>
              </w:numPr>
              <w:suppressAutoHyphens/>
              <w:autoSpaceDE w:val="0"/>
              <w:autoSpaceDN w:val="0"/>
              <w:adjustRightInd w:val="0"/>
              <w:spacing w:after="37" w:line="288" w:lineRule="auto"/>
              <w:textAlignment w:val="center"/>
              <w:rPr>
                <w:rFonts w:cs="Arial"/>
                <w:color w:val="000000"/>
                <w:sz w:val="16"/>
                <w:szCs w:val="16"/>
                <w:lang w:val="en-US"/>
              </w:rPr>
            </w:pPr>
            <w:r w:rsidRPr="00CA5D13">
              <w:rPr>
                <w:rFonts w:cs="Arial"/>
                <w:color w:val="000000"/>
                <w:sz w:val="16"/>
                <w:szCs w:val="16"/>
                <w:lang w:val="en-US"/>
              </w:rPr>
              <w:t>Mid-term of Australia’s Universal Periodic Review cycle in 2018 provides opportunity for focused discussion on implementation of human rights.</w:t>
            </w:r>
          </w:p>
          <w:p w:rsidR="008C5E1E" w:rsidRPr="00CA5D13" w:rsidRDefault="008C5E1E" w:rsidP="001427AF">
            <w:pPr>
              <w:pStyle w:val="Paragrafoelenco"/>
              <w:numPr>
                <w:ilvl w:val="0"/>
                <w:numId w:val="9"/>
              </w:numPr>
              <w:suppressAutoHyphens/>
              <w:autoSpaceDE w:val="0"/>
              <w:autoSpaceDN w:val="0"/>
              <w:adjustRightInd w:val="0"/>
              <w:spacing w:after="37" w:line="288" w:lineRule="auto"/>
              <w:textAlignment w:val="center"/>
              <w:rPr>
                <w:rFonts w:cs="Arial"/>
                <w:color w:val="000000"/>
                <w:sz w:val="16"/>
                <w:szCs w:val="16"/>
                <w:lang w:val="en-US"/>
              </w:rPr>
            </w:pPr>
            <w:r w:rsidRPr="00CA5D13">
              <w:rPr>
                <w:rFonts w:cs="Arial"/>
                <w:color w:val="000000"/>
                <w:sz w:val="16"/>
                <w:szCs w:val="16"/>
                <w:lang w:val="en-US"/>
              </w:rPr>
              <w:t>Convention on the Elimination of All Forms of Discrimination Against Women appearance July 2018, Convention of the Rights of the Child 2019, and Convention against Torture and Convention on the Rights of Persons with Disabilities likely by 2019, and one–year report backs on International Covenant on Civil and Political Rights, International Covenant on Economic, Social and Cultural Rights and International Convention on the Elimination of all forms of Racial Discrimination in 2018.</w:t>
            </w:r>
          </w:p>
          <w:p w:rsidR="008C5E1E" w:rsidRPr="00CA5D13" w:rsidRDefault="008C5E1E" w:rsidP="001427AF">
            <w:pPr>
              <w:pStyle w:val="Paragrafoelenco"/>
              <w:numPr>
                <w:ilvl w:val="0"/>
                <w:numId w:val="9"/>
              </w:numPr>
              <w:suppressAutoHyphens/>
              <w:autoSpaceDE w:val="0"/>
              <w:autoSpaceDN w:val="0"/>
              <w:adjustRightInd w:val="0"/>
              <w:spacing w:after="37" w:line="288" w:lineRule="auto"/>
              <w:textAlignment w:val="center"/>
              <w:rPr>
                <w:rFonts w:cs="Arial"/>
                <w:color w:val="000000"/>
                <w:sz w:val="16"/>
                <w:szCs w:val="16"/>
                <w:lang w:val="en-US"/>
              </w:rPr>
            </w:pPr>
            <w:r w:rsidRPr="00CA5D13">
              <w:rPr>
                <w:rFonts w:cs="Arial"/>
                <w:color w:val="000000"/>
                <w:sz w:val="16"/>
                <w:szCs w:val="16"/>
                <w:lang w:val="en-US"/>
              </w:rPr>
              <w:t>Opportunity</w:t>
            </w:r>
            <w:r w:rsidRPr="00CA5D13">
              <w:rPr>
                <w:rFonts w:cs="Arial"/>
                <w:color w:val="000000"/>
                <w:spacing w:val="-6"/>
                <w:sz w:val="16"/>
                <w:szCs w:val="16"/>
                <w:lang w:val="en-US"/>
              </w:rPr>
              <w:t xml:space="preserve"> </w:t>
            </w:r>
            <w:r w:rsidRPr="00CA5D13">
              <w:rPr>
                <w:rFonts w:cs="Arial"/>
                <w:color w:val="000000"/>
                <w:sz w:val="16"/>
                <w:szCs w:val="16"/>
                <w:lang w:val="en-US"/>
              </w:rPr>
              <w:t>to</w:t>
            </w:r>
            <w:r w:rsidRPr="00CA5D13">
              <w:rPr>
                <w:rFonts w:cs="Arial"/>
                <w:color w:val="000000"/>
                <w:spacing w:val="-6"/>
                <w:sz w:val="16"/>
                <w:szCs w:val="16"/>
                <w:lang w:val="en-US"/>
              </w:rPr>
              <w:t xml:space="preserve"> </w:t>
            </w:r>
            <w:r w:rsidRPr="00CA5D13">
              <w:rPr>
                <w:rFonts w:cs="Arial"/>
                <w:color w:val="000000"/>
                <w:sz w:val="16"/>
                <w:szCs w:val="16"/>
                <w:lang w:val="en-US"/>
              </w:rPr>
              <w:t>build</w:t>
            </w:r>
            <w:r w:rsidRPr="00CA5D13">
              <w:rPr>
                <w:rFonts w:cs="Arial"/>
                <w:color w:val="000000"/>
                <w:spacing w:val="-6"/>
                <w:sz w:val="16"/>
                <w:szCs w:val="16"/>
                <w:lang w:val="en-US"/>
              </w:rPr>
              <w:t xml:space="preserve"> </w:t>
            </w:r>
            <w:r w:rsidRPr="00CA5D13">
              <w:rPr>
                <w:rFonts w:cs="Arial"/>
                <w:color w:val="000000"/>
                <w:sz w:val="16"/>
                <w:szCs w:val="16"/>
                <w:lang w:val="en-US"/>
              </w:rPr>
              <w:t>awareness</w:t>
            </w:r>
            <w:r w:rsidRPr="00CA5D13">
              <w:rPr>
                <w:rFonts w:cs="Arial"/>
                <w:color w:val="000000"/>
                <w:spacing w:val="-6"/>
                <w:sz w:val="16"/>
                <w:szCs w:val="16"/>
                <w:lang w:val="en-US"/>
              </w:rPr>
              <w:t xml:space="preserve"> </w:t>
            </w:r>
            <w:r w:rsidRPr="00CA5D13">
              <w:rPr>
                <w:rFonts w:cs="Arial"/>
                <w:color w:val="000000"/>
                <w:sz w:val="16"/>
                <w:szCs w:val="16"/>
                <w:lang w:val="en-US"/>
              </w:rPr>
              <w:t>of international-domestic human rights compliance and to seek voluntary commitments to implementation by the Australian government.</w:t>
            </w:r>
          </w:p>
        </w:tc>
      </w:tr>
      <w:tr w:rsidR="008C5E1E" w:rsidRPr="008C5E1E" w:rsidTr="001427AF">
        <w:trPr>
          <w:trHeight w:val="2547"/>
        </w:trPr>
        <w:tc>
          <w:tcPr>
            <w:tcW w:w="1701"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spacing w:after="85"/>
              <w:rPr>
                <w:rFonts w:ascii="Arial" w:hAnsi="Arial" w:cs="Arial"/>
                <w:sz w:val="16"/>
                <w:szCs w:val="16"/>
              </w:rPr>
            </w:pPr>
            <w:r w:rsidRPr="00CA5D13">
              <w:rPr>
                <w:rFonts w:ascii="Arial" w:hAnsi="Arial" w:cs="Arial"/>
                <w:b/>
                <w:bCs/>
                <w:sz w:val="16"/>
                <w:szCs w:val="16"/>
              </w:rPr>
              <w:t>Sustainable Development Goals</w:t>
            </w:r>
          </w:p>
        </w:tc>
        <w:tc>
          <w:tcPr>
            <w:tcW w:w="1020"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11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EE37FD" w:rsidP="008C5E1E">
            <w:pPr>
              <w:spacing w:after="170"/>
              <w:jc w:val="center"/>
              <w:rPr>
                <w:rFonts w:ascii="Arial" w:hAnsi="Arial" w:cs="Arial"/>
                <w:sz w:val="16"/>
                <w:szCs w:val="16"/>
              </w:rPr>
            </w:pPr>
            <w:r w:rsidRPr="00EE37FD">
              <w:rPr>
                <w:rFonts w:ascii="Webdings" w:hAnsi="Webdings" w:cs="FontAwesome"/>
                <w:color w:val="ED7D31" w:themeColor="accent2"/>
                <w:sz w:val="28"/>
                <w:szCs w:val="28"/>
              </w:rPr>
              <w:sym w:font="Wingdings" w:char="F0FB"/>
            </w:r>
          </w:p>
        </w:tc>
        <w:tc>
          <w:tcPr>
            <w:tcW w:w="107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8C5E1E" w:rsidRDefault="008C5E1E" w:rsidP="008C5E1E">
            <w:pPr>
              <w:keepLines w:val="0"/>
              <w:spacing w:after="0"/>
              <w:rPr>
                <w:rFonts w:ascii="Arial" w:hAnsi="Arial" w:cs="Arial"/>
                <w:sz w:val="16"/>
                <w:szCs w:val="16"/>
              </w:rPr>
            </w:pPr>
          </w:p>
        </w:tc>
        <w:tc>
          <w:tcPr>
            <w:tcW w:w="470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8C5E1E" w:rsidRPr="00CA5D13" w:rsidRDefault="008C5E1E" w:rsidP="001427AF">
            <w:pPr>
              <w:pStyle w:val="Paragrafoelenco"/>
              <w:numPr>
                <w:ilvl w:val="0"/>
                <w:numId w:val="10"/>
              </w:numPr>
              <w:suppressAutoHyphens/>
              <w:autoSpaceDE w:val="0"/>
              <w:autoSpaceDN w:val="0"/>
              <w:adjustRightInd w:val="0"/>
              <w:spacing w:after="37" w:line="288" w:lineRule="auto"/>
              <w:textAlignment w:val="center"/>
              <w:rPr>
                <w:rFonts w:cs="Arial"/>
                <w:color w:val="000000"/>
                <w:sz w:val="16"/>
                <w:szCs w:val="16"/>
                <w:lang w:val="en-US"/>
              </w:rPr>
            </w:pPr>
            <w:r w:rsidRPr="00CA5D13">
              <w:rPr>
                <w:rFonts w:cs="Arial"/>
                <w:color w:val="000000"/>
                <w:sz w:val="16"/>
                <w:szCs w:val="16"/>
                <w:lang w:val="en-US"/>
              </w:rPr>
              <w:t>A new</w:t>
            </w:r>
            <w:r w:rsidRPr="00CA5D13">
              <w:rPr>
                <w:rFonts w:cs="Arial"/>
                <w:color w:val="000000"/>
                <w:spacing w:val="-5"/>
                <w:sz w:val="16"/>
                <w:szCs w:val="16"/>
                <w:lang w:val="en-US"/>
              </w:rPr>
              <w:t xml:space="preserve"> </w:t>
            </w:r>
            <w:r w:rsidRPr="00CA5D13">
              <w:rPr>
                <w:rFonts w:cs="Arial"/>
                <w:color w:val="000000"/>
                <w:sz w:val="16"/>
                <w:szCs w:val="16"/>
                <w:lang w:val="en-US"/>
              </w:rPr>
              <w:t>paradigm</w:t>
            </w:r>
            <w:r w:rsidRPr="00CA5D13">
              <w:rPr>
                <w:rFonts w:cs="Arial"/>
                <w:color w:val="000000"/>
                <w:spacing w:val="-6"/>
                <w:sz w:val="16"/>
                <w:szCs w:val="16"/>
                <w:lang w:val="en-US"/>
              </w:rPr>
              <w:t xml:space="preserve"> </w:t>
            </w:r>
            <w:r w:rsidRPr="00CA5D13">
              <w:rPr>
                <w:rFonts w:cs="Arial"/>
                <w:color w:val="000000"/>
                <w:sz w:val="16"/>
                <w:szCs w:val="16"/>
                <w:lang w:val="en-US"/>
              </w:rPr>
              <w:t>shift</w:t>
            </w:r>
            <w:r w:rsidRPr="00CA5D13">
              <w:rPr>
                <w:rFonts w:cs="Arial"/>
                <w:color w:val="000000"/>
                <w:spacing w:val="-6"/>
                <w:sz w:val="16"/>
                <w:szCs w:val="16"/>
                <w:lang w:val="en-US"/>
              </w:rPr>
              <w:t xml:space="preserve"> </w:t>
            </w:r>
            <w:r w:rsidRPr="00CA5D13">
              <w:rPr>
                <w:rFonts w:cs="Arial"/>
                <w:color w:val="000000"/>
                <w:sz w:val="16"/>
                <w:szCs w:val="16"/>
                <w:lang w:val="en-US"/>
              </w:rPr>
              <w:t>in</w:t>
            </w:r>
            <w:r w:rsidRPr="00CA5D13">
              <w:rPr>
                <w:rFonts w:cs="Arial"/>
                <w:color w:val="000000"/>
                <w:spacing w:val="-6"/>
                <w:sz w:val="16"/>
                <w:szCs w:val="16"/>
                <w:lang w:val="en-US"/>
              </w:rPr>
              <w:t xml:space="preserve"> </w:t>
            </w:r>
            <w:r w:rsidRPr="00CA5D13">
              <w:rPr>
                <w:rFonts w:cs="Arial"/>
                <w:color w:val="000000"/>
                <w:sz w:val="16"/>
                <w:szCs w:val="16"/>
                <w:lang w:val="en-US"/>
              </w:rPr>
              <w:t>international</w:t>
            </w:r>
            <w:r w:rsidRPr="00CA5D13">
              <w:rPr>
                <w:rFonts w:cs="Arial"/>
                <w:color w:val="000000"/>
                <w:spacing w:val="-6"/>
                <w:sz w:val="16"/>
                <w:szCs w:val="16"/>
                <w:lang w:val="en-US"/>
              </w:rPr>
              <w:t xml:space="preserve"> </w:t>
            </w:r>
            <w:r w:rsidRPr="00CA5D13">
              <w:rPr>
                <w:rFonts w:cs="Arial"/>
                <w:color w:val="000000"/>
                <w:sz w:val="16"/>
                <w:szCs w:val="16"/>
                <w:lang w:val="en-US"/>
              </w:rPr>
              <w:t>processes</w:t>
            </w:r>
            <w:r w:rsidRPr="00CA5D13">
              <w:rPr>
                <w:rFonts w:cs="Arial"/>
                <w:color w:val="000000"/>
                <w:spacing w:val="-6"/>
                <w:sz w:val="16"/>
                <w:szCs w:val="16"/>
                <w:lang w:val="en-US"/>
              </w:rPr>
              <w:t xml:space="preserve"> </w:t>
            </w:r>
            <w:r w:rsidRPr="00CA5D13">
              <w:rPr>
                <w:rFonts w:cs="Arial"/>
                <w:color w:val="000000"/>
                <w:sz w:val="16"/>
                <w:szCs w:val="16"/>
                <w:lang w:val="en-US"/>
              </w:rPr>
              <w:t>is</w:t>
            </w:r>
            <w:r w:rsidRPr="00CA5D13">
              <w:rPr>
                <w:rFonts w:cs="Arial"/>
                <w:color w:val="000000"/>
                <w:spacing w:val="-6"/>
                <w:sz w:val="16"/>
                <w:szCs w:val="16"/>
                <w:lang w:val="en-US"/>
              </w:rPr>
              <w:t xml:space="preserve"> </w:t>
            </w:r>
            <w:proofErr w:type="spellStart"/>
            <w:r w:rsidRPr="00CA5D13">
              <w:rPr>
                <w:rFonts w:cs="Arial"/>
                <w:color w:val="000000"/>
                <w:sz w:val="16"/>
                <w:szCs w:val="16"/>
                <w:lang w:val="en-US"/>
              </w:rPr>
              <w:t>centred</w:t>
            </w:r>
            <w:proofErr w:type="spellEnd"/>
            <w:r w:rsidRPr="00CA5D13">
              <w:rPr>
                <w:rFonts w:cs="Arial"/>
                <w:color w:val="000000"/>
                <w:spacing w:val="-6"/>
                <w:sz w:val="16"/>
                <w:szCs w:val="16"/>
                <w:lang w:val="en-US"/>
              </w:rPr>
              <w:t xml:space="preserve"> </w:t>
            </w:r>
            <w:r w:rsidRPr="00CA5D13">
              <w:rPr>
                <w:rFonts w:cs="Arial"/>
                <w:color w:val="000000"/>
                <w:sz w:val="16"/>
                <w:szCs w:val="16"/>
                <w:lang w:val="en-US"/>
              </w:rPr>
              <w:t>on</w:t>
            </w:r>
            <w:r w:rsidRPr="00CA5D13">
              <w:rPr>
                <w:rFonts w:cs="Arial"/>
                <w:color w:val="000000"/>
                <w:spacing w:val="-6"/>
                <w:sz w:val="16"/>
                <w:szCs w:val="16"/>
                <w:lang w:val="en-US"/>
              </w:rPr>
              <w:t xml:space="preserve"> </w:t>
            </w:r>
            <w:r w:rsidRPr="00CA5D13">
              <w:rPr>
                <w:rFonts w:cs="Arial"/>
                <w:color w:val="000000"/>
                <w:sz w:val="16"/>
                <w:szCs w:val="16"/>
                <w:lang w:val="en-US"/>
              </w:rPr>
              <w:t>the 2030 Agenda and</w:t>
            </w:r>
            <w:r w:rsidRPr="00CA5D13">
              <w:rPr>
                <w:rFonts w:cs="Arial"/>
                <w:color w:val="000000"/>
                <w:spacing w:val="-14"/>
                <w:sz w:val="16"/>
                <w:szCs w:val="16"/>
                <w:lang w:val="en-US"/>
              </w:rPr>
              <w:t xml:space="preserve"> </w:t>
            </w:r>
            <w:r w:rsidRPr="00CA5D13">
              <w:rPr>
                <w:rFonts w:cs="Arial"/>
                <w:color w:val="000000"/>
                <w:sz w:val="16"/>
                <w:szCs w:val="16"/>
                <w:lang w:val="en-US"/>
              </w:rPr>
              <w:t>Sustainable Development Goals.</w:t>
            </w:r>
          </w:p>
          <w:p w:rsidR="008C5E1E" w:rsidRPr="00CA5D13" w:rsidRDefault="008C5E1E" w:rsidP="001427AF">
            <w:pPr>
              <w:pStyle w:val="Paragrafoelenco"/>
              <w:numPr>
                <w:ilvl w:val="0"/>
                <w:numId w:val="10"/>
              </w:numPr>
              <w:suppressAutoHyphens/>
              <w:autoSpaceDE w:val="0"/>
              <w:autoSpaceDN w:val="0"/>
              <w:adjustRightInd w:val="0"/>
              <w:spacing w:after="37" w:line="288" w:lineRule="auto"/>
              <w:textAlignment w:val="center"/>
              <w:rPr>
                <w:rFonts w:cs="Arial"/>
                <w:color w:val="000000"/>
                <w:spacing w:val="-3"/>
                <w:sz w:val="16"/>
                <w:szCs w:val="16"/>
                <w:lang w:val="en-US"/>
              </w:rPr>
            </w:pPr>
            <w:r w:rsidRPr="00CA5D13">
              <w:rPr>
                <w:rFonts w:cs="Arial"/>
                <w:color w:val="000000"/>
                <w:sz w:val="16"/>
                <w:szCs w:val="16"/>
                <w:lang w:val="en-US"/>
              </w:rPr>
              <w:t xml:space="preserve">Domestic application is </w:t>
            </w:r>
            <w:proofErr w:type="gramStart"/>
            <w:r w:rsidRPr="00CA5D13">
              <w:rPr>
                <w:rFonts w:cs="Arial"/>
                <w:color w:val="000000"/>
                <w:sz w:val="16"/>
                <w:szCs w:val="16"/>
                <w:lang w:val="en-US"/>
              </w:rPr>
              <w:t>expected</w:t>
            </w:r>
            <w:proofErr w:type="gramEnd"/>
            <w:r w:rsidRPr="00CA5D13">
              <w:rPr>
                <w:rFonts w:cs="Arial"/>
                <w:color w:val="000000"/>
                <w:sz w:val="16"/>
                <w:szCs w:val="16"/>
                <w:lang w:val="en-US"/>
              </w:rPr>
              <w:t xml:space="preserve"> and National Human Rights Institutions have a key role to </w:t>
            </w:r>
            <w:r w:rsidRPr="00CA5D13">
              <w:rPr>
                <w:rFonts w:cs="Arial"/>
                <w:color w:val="000000"/>
                <w:spacing w:val="-3"/>
                <w:sz w:val="16"/>
                <w:szCs w:val="16"/>
                <w:lang w:val="en-US"/>
              </w:rPr>
              <w:t>play.</w:t>
            </w:r>
          </w:p>
          <w:p w:rsidR="008C5E1E" w:rsidRPr="00CA5D13" w:rsidRDefault="008C5E1E" w:rsidP="001427AF">
            <w:pPr>
              <w:pStyle w:val="Paragrafoelenco"/>
              <w:numPr>
                <w:ilvl w:val="0"/>
                <w:numId w:val="10"/>
              </w:numPr>
              <w:suppressAutoHyphens/>
              <w:autoSpaceDE w:val="0"/>
              <w:autoSpaceDN w:val="0"/>
              <w:adjustRightInd w:val="0"/>
              <w:spacing w:after="37" w:line="288" w:lineRule="auto"/>
              <w:textAlignment w:val="center"/>
              <w:rPr>
                <w:rFonts w:cs="Arial"/>
                <w:color w:val="000000"/>
                <w:spacing w:val="-2"/>
                <w:sz w:val="16"/>
                <w:szCs w:val="16"/>
                <w:lang w:val="en-US"/>
              </w:rPr>
            </w:pPr>
            <w:r w:rsidRPr="00CA5D13">
              <w:rPr>
                <w:rFonts w:cs="Arial"/>
                <w:color w:val="000000"/>
                <w:sz w:val="16"/>
                <w:szCs w:val="16"/>
                <w:lang w:val="en-US"/>
              </w:rPr>
              <w:t xml:space="preserve">Sustainable Development Goals are relevant to almost every aspect of the Commission’s work program. Building internal knowledge and </w:t>
            </w:r>
            <w:proofErr w:type="spellStart"/>
            <w:r w:rsidRPr="00CA5D13">
              <w:rPr>
                <w:rFonts w:cs="Arial"/>
                <w:color w:val="000000"/>
                <w:sz w:val="16"/>
                <w:szCs w:val="16"/>
                <w:lang w:val="en-US"/>
              </w:rPr>
              <w:t>specialisation</w:t>
            </w:r>
            <w:proofErr w:type="spellEnd"/>
            <w:r w:rsidRPr="00CA5D13">
              <w:rPr>
                <w:rFonts w:cs="Arial"/>
                <w:color w:val="000000"/>
                <w:sz w:val="16"/>
                <w:szCs w:val="16"/>
                <w:lang w:val="en-US"/>
              </w:rPr>
              <w:t xml:space="preserve"> on Sustainable Development Goals and other key human rights issues will be an ongoing </w:t>
            </w:r>
            <w:r w:rsidRPr="00CA5D13">
              <w:rPr>
                <w:rFonts w:cs="Arial"/>
                <w:color w:val="000000"/>
                <w:spacing w:val="-2"/>
                <w:sz w:val="16"/>
                <w:szCs w:val="16"/>
                <w:lang w:val="en-US"/>
              </w:rPr>
              <w:t>priority.</w:t>
            </w:r>
          </w:p>
          <w:p w:rsidR="008C5E1E" w:rsidRPr="00CA5D13" w:rsidRDefault="008C5E1E" w:rsidP="001427AF">
            <w:pPr>
              <w:pStyle w:val="Paragrafoelenco"/>
              <w:numPr>
                <w:ilvl w:val="0"/>
                <w:numId w:val="10"/>
              </w:numPr>
              <w:suppressAutoHyphens/>
              <w:autoSpaceDE w:val="0"/>
              <w:autoSpaceDN w:val="0"/>
              <w:adjustRightInd w:val="0"/>
              <w:spacing w:after="37" w:line="288" w:lineRule="auto"/>
              <w:textAlignment w:val="center"/>
              <w:rPr>
                <w:rFonts w:cs="Arial"/>
                <w:color w:val="000000"/>
                <w:sz w:val="16"/>
                <w:szCs w:val="16"/>
                <w:lang w:val="en-US"/>
              </w:rPr>
            </w:pPr>
            <w:r w:rsidRPr="00CA5D13">
              <w:rPr>
                <w:rFonts w:cs="Arial"/>
                <w:color w:val="000000"/>
                <w:sz w:val="16"/>
                <w:szCs w:val="16"/>
                <w:lang w:val="en-US"/>
              </w:rPr>
              <w:t>International and technical cooperation opportunities may become</w:t>
            </w:r>
            <w:r w:rsidRPr="00CA5D13">
              <w:rPr>
                <w:rFonts w:cs="Arial"/>
                <w:color w:val="000000"/>
                <w:spacing w:val="-8"/>
                <w:sz w:val="16"/>
                <w:szCs w:val="16"/>
                <w:lang w:val="en-US"/>
              </w:rPr>
              <w:t xml:space="preserve"> </w:t>
            </w:r>
            <w:r w:rsidRPr="00CA5D13">
              <w:rPr>
                <w:rFonts w:cs="Arial"/>
                <w:color w:val="000000"/>
                <w:sz w:val="16"/>
                <w:szCs w:val="16"/>
                <w:lang w:val="en-US"/>
              </w:rPr>
              <w:t>increasingly</w:t>
            </w:r>
            <w:r w:rsidRPr="00CA5D13">
              <w:rPr>
                <w:rFonts w:cs="Arial"/>
                <w:color w:val="000000"/>
                <w:spacing w:val="-8"/>
                <w:sz w:val="16"/>
                <w:szCs w:val="16"/>
                <w:lang w:val="en-US"/>
              </w:rPr>
              <w:t xml:space="preserve"> </w:t>
            </w:r>
            <w:r w:rsidRPr="00CA5D13">
              <w:rPr>
                <w:rFonts w:cs="Arial"/>
                <w:color w:val="000000"/>
                <w:sz w:val="16"/>
                <w:szCs w:val="16"/>
                <w:lang w:val="en-US"/>
              </w:rPr>
              <w:t>dependent</w:t>
            </w:r>
            <w:r w:rsidRPr="00CA5D13">
              <w:rPr>
                <w:rFonts w:cs="Arial"/>
                <w:color w:val="000000"/>
                <w:spacing w:val="-8"/>
                <w:sz w:val="16"/>
                <w:szCs w:val="16"/>
                <w:lang w:val="en-US"/>
              </w:rPr>
              <w:t xml:space="preserve"> </w:t>
            </w:r>
            <w:r w:rsidRPr="00CA5D13">
              <w:rPr>
                <w:rFonts w:cs="Arial"/>
                <w:color w:val="000000"/>
                <w:sz w:val="16"/>
                <w:szCs w:val="16"/>
                <w:lang w:val="en-US"/>
              </w:rPr>
              <w:t>on</w:t>
            </w:r>
            <w:r w:rsidRPr="00CA5D13">
              <w:rPr>
                <w:rFonts w:cs="Arial"/>
                <w:color w:val="000000"/>
                <w:spacing w:val="-8"/>
                <w:sz w:val="16"/>
                <w:szCs w:val="16"/>
                <w:lang w:val="en-US"/>
              </w:rPr>
              <w:t xml:space="preserve"> </w:t>
            </w:r>
            <w:r w:rsidRPr="00CA5D13">
              <w:rPr>
                <w:rFonts w:cs="Arial"/>
                <w:color w:val="000000"/>
                <w:sz w:val="16"/>
                <w:szCs w:val="16"/>
                <w:lang w:val="en-US"/>
              </w:rPr>
              <w:t>specialist</w:t>
            </w:r>
            <w:r w:rsidRPr="00CA5D13">
              <w:rPr>
                <w:rFonts w:cs="Arial"/>
                <w:color w:val="000000"/>
                <w:spacing w:val="-8"/>
                <w:sz w:val="16"/>
                <w:szCs w:val="16"/>
                <w:lang w:val="en-US"/>
              </w:rPr>
              <w:t xml:space="preserve"> </w:t>
            </w:r>
            <w:r w:rsidRPr="00CA5D13">
              <w:rPr>
                <w:rFonts w:cs="Arial"/>
                <w:color w:val="000000"/>
                <w:sz w:val="16"/>
                <w:szCs w:val="16"/>
                <w:lang w:val="en-US"/>
              </w:rPr>
              <w:t>knowledge</w:t>
            </w:r>
            <w:r w:rsidRPr="00CA5D13">
              <w:rPr>
                <w:rFonts w:cs="Arial"/>
                <w:color w:val="000000"/>
                <w:spacing w:val="-8"/>
                <w:sz w:val="16"/>
                <w:szCs w:val="16"/>
                <w:lang w:val="en-US"/>
              </w:rPr>
              <w:t xml:space="preserve"> </w:t>
            </w:r>
            <w:r w:rsidRPr="00CA5D13">
              <w:rPr>
                <w:rFonts w:cs="Arial"/>
                <w:color w:val="000000"/>
                <w:sz w:val="16"/>
                <w:szCs w:val="16"/>
                <w:lang w:val="en-US"/>
              </w:rPr>
              <w:t>of Sustainable Development Goals and how to apply</w:t>
            </w:r>
            <w:r w:rsidRPr="00CA5D13">
              <w:rPr>
                <w:rFonts w:cs="Arial"/>
                <w:color w:val="000000"/>
                <w:spacing w:val="-17"/>
                <w:sz w:val="16"/>
                <w:szCs w:val="16"/>
                <w:lang w:val="en-US"/>
              </w:rPr>
              <w:t xml:space="preserve"> </w:t>
            </w:r>
            <w:r w:rsidRPr="00CA5D13">
              <w:rPr>
                <w:rFonts w:cs="Arial"/>
                <w:color w:val="000000"/>
                <w:sz w:val="16"/>
                <w:szCs w:val="16"/>
                <w:lang w:val="en-US"/>
              </w:rPr>
              <w:t>them.</w:t>
            </w:r>
          </w:p>
        </w:tc>
      </w:tr>
    </w:tbl>
    <w:p w:rsidR="008C5E1E" w:rsidRDefault="008C5E1E" w:rsidP="008C5E1E"/>
    <w:p w:rsidR="00807D6F" w:rsidRDefault="00807D6F">
      <w:pPr>
        <w:keepLines w:val="0"/>
        <w:spacing w:after="0"/>
      </w:pPr>
      <w:r>
        <w:br w:type="page"/>
      </w:r>
    </w:p>
    <w:p w:rsidR="001051C1" w:rsidRPr="003C18CB" w:rsidRDefault="001051C1" w:rsidP="004F46E6">
      <w:pPr>
        <w:pStyle w:val="Titolo2"/>
        <w:rPr>
          <w:color w:val="FF0000"/>
          <w:lang w:val="en-US"/>
        </w:rPr>
      </w:pPr>
      <w:r w:rsidRPr="003C18CB">
        <w:rPr>
          <w:lang w:val="en-US"/>
        </w:rPr>
        <w:t xml:space="preserve">Table 2: Internal and capability challenges, risks, management </w:t>
      </w:r>
      <w:r w:rsidRPr="003C18CB">
        <w:rPr>
          <w:lang w:val="en-US"/>
        </w:rPr>
        <w:br/>
        <w:t>and opportunities for the Commission 2018–19</w:t>
      </w:r>
      <w:r w:rsidRPr="003C18CB">
        <w:rPr>
          <w:color w:val="FF0000"/>
          <w:lang w:val="en-US"/>
        </w:rPr>
        <w:t xml:space="preserve"> </w:t>
      </w:r>
    </w:p>
    <w:tbl>
      <w:tblPr>
        <w:tblW w:w="9781" w:type="dxa"/>
        <w:tblInd w:w="-5" w:type="dxa"/>
        <w:tblLayout w:type="fixed"/>
        <w:tblCellMar>
          <w:left w:w="0" w:type="dxa"/>
          <w:right w:w="0" w:type="dxa"/>
        </w:tblCellMar>
        <w:tblLook w:val="0000" w:firstRow="0" w:lastRow="0" w:firstColumn="0" w:lastColumn="0" w:noHBand="0" w:noVBand="0"/>
      </w:tblPr>
      <w:tblGrid>
        <w:gridCol w:w="1701"/>
        <w:gridCol w:w="1020"/>
        <w:gridCol w:w="1134"/>
        <w:gridCol w:w="1077"/>
        <w:gridCol w:w="4849"/>
      </w:tblGrid>
      <w:tr w:rsidR="00550FF0" w:rsidRPr="00550FF0" w:rsidTr="00525C69">
        <w:trPr>
          <w:trHeight w:val="800"/>
        </w:trPr>
        <w:tc>
          <w:tcPr>
            <w:tcW w:w="1701"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vAlign w:val="bottom"/>
          </w:tcPr>
          <w:p w:rsidR="001051C1" w:rsidRPr="00550FF0" w:rsidRDefault="001051C1" w:rsidP="001051C1">
            <w:pPr>
              <w:rPr>
                <w:rFonts w:ascii="Arial" w:hAnsi="Arial" w:cs="Arial"/>
                <w:color w:val="auto"/>
                <w:sz w:val="16"/>
                <w:szCs w:val="16"/>
              </w:rPr>
            </w:pPr>
            <w:r w:rsidRPr="00550FF0">
              <w:rPr>
                <w:rStyle w:val="BoldWhite"/>
                <w:rFonts w:ascii="Arial" w:hAnsi="Arial" w:cs="Arial"/>
                <w:color w:val="auto"/>
                <w:sz w:val="16"/>
                <w:szCs w:val="16"/>
              </w:rPr>
              <w:t>Factor</w:t>
            </w:r>
          </w:p>
        </w:tc>
        <w:tc>
          <w:tcPr>
            <w:tcW w:w="1020"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vAlign w:val="bottom"/>
          </w:tcPr>
          <w:p w:rsidR="001051C1" w:rsidRPr="00550FF0" w:rsidRDefault="001051C1" w:rsidP="001051C1">
            <w:pPr>
              <w:rPr>
                <w:rFonts w:ascii="Arial" w:hAnsi="Arial" w:cs="Arial"/>
                <w:color w:val="auto"/>
                <w:sz w:val="16"/>
                <w:szCs w:val="16"/>
              </w:rPr>
            </w:pPr>
            <w:r w:rsidRPr="00550FF0">
              <w:rPr>
                <w:rStyle w:val="BoldWhite"/>
                <w:rFonts w:ascii="Arial" w:hAnsi="Arial" w:cs="Arial"/>
                <w:color w:val="auto"/>
                <w:sz w:val="16"/>
                <w:szCs w:val="16"/>
              </w:rPr>
              <w:t>In full control</w:t>
            </w:r>
          </w:p>
        </w:tc>
        <w:tc>
          <w:tcPr>
            <w:tcW w:w="113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vAlign w:val="bottom"/>
          </w:tcPr>
          <w:p w:rsidR="001051C1" w:rsidRPr="00550FF0" w:rsidRDefault="001051C1" w:rsidP="001051C1">
            <w:pPr>
              <w:rPr>
                <w:rFonts w:ascii="Arial" w:hAnsi="Arial" w:cs="Arial"/>
                <w:color w:val="auto"/>
                <w:sz w:val="16"/>
                <w:szCs w:val="16"/>
              </w:rPr>
            </w:pPr>
            <w:r w:rsidRPr="00550FF0">
              <w:rPr>
                <w:rStyle w:val="BoldWhite"/>
                <w:rFonts w:ascii="Arial" w:hAnsi="Arial" w:cs="Arial"/>
                <w:color w:val="auto"/>
                <w:sz w:val="16"/>
                <w:szCs w:val="16"/>
              </w:rPr>
              <w:t>In partial control</w:t>
            </w:r>
          </w:p>
        </w:tc>
        <w:tc>
          <w:tcPr>
            <w:tcW w:w="1077"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vAlign w:val="bottom"/>
          </w:tcPr>
          <w:p w:rsidR="001051C1" w:rsidRPr="00550FF0" w:rsidRDefault="001051C1" w:rsidP="001051C1">
            <w:pPr>
              <w:rPr>
                <w:rFonts w:ascii="Arial" w:hAnsi="Arial" w:cs="Arial"/>
                <w:color w:val="auto"/>
                <w:sz w:val="16"/>
                <w:szCs w:val="16"/>
                <w:lang w:val="it-IT"/>
              </w:rPr>
            </w:pPr>
          </w:p>
        </w:tc>
        <w:tc>
          <w:tcPr>
            <w:tcW w:w="4849"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vAlign w:val="bottom"/>
          </w:tcPr>
          <w:p w:rsidR="001051C1" w:rsidRPr="00550FF0" w:rsidRDefault="001051C1" w:rsidP="001051C1">
            <w:pPr>
              <w:rPr>
                <w:rFonts w:ascii="Arial" w:hAnsi="Arial" w:cs="Arial"/>
                <w:color w:val="auto"/>
                <w:sz w:val="16"/>
                <w:szCs w:val="16"/>
              </w:rPr>
            </w:pPr>
            <w:proofErr w:type="gramStart"/>
            <w:r w:rsidRPr="00550FF0">
              <w:rPr>
                <w:rStyle w:val="BoldWhite"/>
                <w:rFonts w:ascii="Arial" w:hAnsi="Arial" w:cs="Arial"/>
                <w:color w:val="auto"/>
                <w:sz w:val="16"/>
                <w:szCs w:val="16"/>
              </w:rPr>
              <w:t>4 year</w:t>
            </w:r>
            <w:proofErr w:type="gramEnd"/>
            <w:r w:rsidRPr="00550FF0">
              <w:rPr>
                <w:rStyle w:val="BoldWhite"/>
                <w:rFonts w:ascii="Arial" w:hAnsi="Arial" w:cs="Arial"/>
                <w:color w:val="auto"/>
                <w:sz w:val="16"/>
                <w:szCs w:val="16"/>
              </w:rPr>
              <w:t xml:space="preserve"> outlook, analysis and risk management </w:t>
            </w:r>
          </w:p>
        </w:tc>
      </w:tr>
      <w:tr w:rsidR="001051C1" w:rsidRPr="004F46E6" w:rsidTr="00525C69">
        <w:trPr>
          <w:trHeight w:val="135"/>
        </w:trPr>
        <w:tc>
          <w:tcPr>
            <w:tcW w:w="9781" w:type="dxa"/>
            <w:gridSpan w:val="5"/>
            <w:tcBorders>
              <w:top w:val="single" w:sz="4" w:space="0" w:color="FFFFFF"/>
              <w:left w:val="single" w:sz="4" w:space="0" w:color="FFFFFF"/>
              <w:bottom w:val="single" w:sz="4" w:space="0" w:color="FFFFFF"/>
              <w:right w:val="single" w:sz="4" w:space="0" w:color="FFFFFF"/>
            </w:tcBorders>
            <w:shd w:val="clear" w:color="auto" w:fill="F7CAAC" w:themeFill="accent2" w:themeFillTint="66"/>
            <w:tcMar>
              <w:top w:w="227" w:type="dxa"/>
              <w:left w:w="227" w:type="dxa"/>
              <w:bottom w:w="227" w:type="dxa"/>
              <w:right w:w="227" w:type="dxa"/>
            </w:tcMar>
          </w:tcPr>
          <w:p w:rsidR="001051C1" w:rsidRPr="004F46E6" w:rsidRDefault="001051C1" w:rsidP="0084766F">
            <w:pPr>
              <w:spacing w:after="0" w:line="240" w:lineRule="auto"/>
              <w:rPr>
                <w:rFonts w:ascii="Arial" w:hAnsi="Arial" w:cs="Arial"/>
                <w:sz w:val="16"/>
                <w:szCs w:val="16"/>
              </w:rPr>
            </w:pPr>
            <w:r w:rsidRPr="004F46E6">
              <w:rPr>
                <w:rStyle w:val="Bold"/>
                <w:rFonts w:ascii="Arial" w:hAnsi="Arial" w:cs="Arial"/>
                <w:sz w:val="16"/>
                <w:szCs w:val="16"/>
              </w:rPr>
              <w:t>Challenges, risk management and opportunities</w:t>
            </w:r>
          </w:p>
        </w:tc>
      </w:tr>
      <w:tr w:rsidR="001051C1" w:rsidRPr="004F46E6" w:rsidTr="00525C69">
        <w:trPr>
          <w:trHeight w:val="1819"/>
        </w:trPr>
        <w:tc>
          <w:tcPr>
            <w:tcW w:w="1701"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1051C1" w:rsidRPr="004F46E6" w:rsidRDefault="001051C1" w:rsidP="001051C1">
            <w:pPr>
              <w:rPr>
                <w:rFonts w:ascii="Arial" w:hAnsi="Arial" w:cs="Arial"/>
                <w:sz w:val="16"/>
                <w:szCs w:val="16"/>
              </w:rPr>
            </w:pPr>
            <w:r w:rsidRPr="004F46E6">
              <w:rPr>
                <w:rStyle w:val="Bold"/>
                <w:rFonts w:ascii="Arial" w:hAnsi="Arial" w:cs="Arial"/>
                <w:sz w:val="16"/>
                <w:szCs w:val="16"/>
              </w:rPr>
              <w:t>Building partnerships and financial support to expand our work program</w:t>
            </w:r>
          </w:p>
        </w:tc>
        <w:tc>
          <w:tcPr>
            <w:tcW w:w="1020"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1051C1" w:rsidRPr="004F46E6" w:rsidRDefault="001051C1" w:rsidP="004F46E6">
            <w:pPr>
              <w:jc w:val="center"/>
              <w:rPr>
                <w:rFonts w:ascii="Arial" w:hAnsi="Arial" w:cs="Arial"/>
                <w:color w:val="auto"/>
                <w:sz w:val="16"/>
                <w:szCs w:val="16"/>
              </w:rPr>
            </w:pPr>
          </w:p>
        </w:tc>
        <w:tc>
          <w:tcPr>
            <w:tcW w:w="11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1051C1" w:rsidRPr="004F46E6" w:rsidRDefault="00EE37FD" w:rsidP="004F46E6">
            <w:pPr>
              <w:jc w:val="center"/>
              <w:rPr>
                <w:rFonts w:ascii="Arial" w:hAnsi="Arial" w:cs="Arial"/>
                <w:b/>
                <w:sz w:val="16"/>
                <w:szCs w:val="16"/>
              </w:rPr>
            </w:pPr>
            <w:r w:rsidRPr="00EE37FD">
              <w:rPr>
                <w:rFonts w:ascii="Webdings" w:hAnsi="Webdings" w:cs="FontAwesome"/>
                <w:color w:val="ED7D31" w:themeColor="accent2"/>
                <w:sz w:val="28"/>
                <w:szCs w:val="28"/>
              </w:rPr>
              <w:sym w:font="Wingdings" w:char="F0FB"/>
            </w:r>
          </w:p>
        </w:tc>
        <w:tc>
          <w:tcPr>
            <w:tcW w:w="107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1051C1" w:rsidRPr="004F46E6" w:rsidRDefault="001051C1" w:rsidP="004F46E6">
            <w:pPr>
              <w:jc w:val="center"/>
              <w:rPr>
                <w:rFonts w:ascii="Arial" w:hAnsi="Arial" w:cs="Arial"/>
                <w:color w:val="auto"/>
                <w:sz w:val="16"/>
                <w:szCs w:val="16"/>
                <w:lang w:val="it-IT"/>
              </w:rPr>
            </w:pPr>
          </w:p>
        </w:tc>
        <w:tc>
          <w:tcPr>
            <w:tcW w:w="4849"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1051C1" w:rsidRPr="003C18CB" w:rsidRDefault="001051C1" w:rsidP="004F46E6">
            <w:pPr>
              <w:pStyle w:val="Paragrafoelenco"/>
              <w:numPr>
                <w:ilvl w:val="0"/>
                <w:numId w:val="11"/>
              </w:numPr>
              <w:spacing w:after="37" w:line="288" w:lineRule="auto"/>
              <w:ind w:left="357" w:hanging="357"/>
              <w:rPr>
                <w:rFonts w:cs="Arial"/>
                <w:sz w:val="16"/>
                <w:szCs w:val="16"/>
                <w:lang w:val="en-US"/>
              </w:rPr>
            </w:pPr>
            <w:r w:rsidRPr="003C18CB">
              <w:rPr>
                <w:rFonts w:cs="Arial"/>
                <w:sz w:val="16"/>
                <w:szCs w:val="16"/>
                <w:lang w:val="en-US"/>
              </w:rPr>
              <w:t xml:space="preserve">Reliance upon external partnerships and fund-raising to support achievement of the Commission’s overall work plan. </w:t>
            </w:r>
          </w:p>
          <w:p w:rsidR="001051C1" w:rsidRPr="003C18CB" w:rsidRDefault="001051C1" w:rsidP="004F46E6">
            <w:pPr>
              <w:pStyle w:val="Paragrafoelenco"/>
              <w:numPr>
                <w:ilvl w:val="0"/>
                <w:numId w:val="11"/>
              </w:numPr>
              <w:spacing w:after="37" w:line="288" w:lineRule="auto"/>
              <w:ind w:left="357" w:hanging="357"/>
              <w:rPr>
                <w:rFonts w:cs="Arial"/>
                <w:sz w:val="16"/>
                <w:szCs w:val="16"/>
                <w:lang w:val="en-US"/>
              </w:rPr>
            </w:pPr>
            <w:r w:rsidRPr="003C18CB">
              <w:rPr>
                <w:rFonts w:cs="Arial"/>
                <w:sz w:val="16"/>
                <w:szCs w:val="16"/>
                <w:lang w:val="en-US"/>
              </w:rPr>
              <w:t>Reputational risk from seeking funding and partnerships in a manner that is not strategic or is duplicative. An immediate focus will be to review internal guidance material to improve the principles and decision-making process applied to partnership opportunities.</w:t>
            </w:r>
          </w:p>
          <w:p w:rsidR="001051C1" w:rsidRPr="003C18CB" w:rsidRDefault="001051C1" w:rsidP="004F46E6">
            <w:pPr>
              <w:pStyle w:val="Paragrafoelenco"/>
              <w:numPr>
                <w:ilvl w:val="0"/>
                <w:numId w:val="11"/>
              </w:numPr>
              <w:spacing w:after="37" w:line="288" w:lineRule="auto"/>
              <w:ind w:left="357" w:hanging="357"/>
              <w:rPr>
                <w:rFonts w:cs="Arial"/>
                <w:sz w:val="16"/>
                <w:szCs w:val="16"/>
                <w:lang w:val="en-US"/>
              </w:rPr>
            </w:pPr>
            <w:proofErr w:type="spellStart"/>
            <w:r w:rsidRPr="003C18CB">
              <w:rPr>
                <w:rFonts w:cs="Arial"/>
                <w:sz w:val="16"/>
                <w:szCs w:val="16"/>
                <w:lang w:val="en-US"/>
              </w:rPr>
              <w:t>Recognising</w:t>
            </w:r>
            <w:proofErr w:type="spellEnd"/>
            <w:r w:rsidRPr="003C18CB">
              <w:rPr>
                <w:rFonts w:cs="Arial"/>
                <w:sz w:val="16"/>
                <w:szCs w:val="16"/>
                <w:lang w:val="en-US"/>
              </w:rPr>
              <w:t xml:space="preserve"> that some work areas are less susceptible to external funding arrangements – need to ensure support through core budget for such activities to ensure that the Commission maintains a balanced work program across all Commissioners and areas of responsibility.</w:t>
            </w:r>
          </w:p>
          <w:p w:rsidR="001051C1" w:rsidRPr="003C18CB" w:rsidRDefault="001051C1" w:rsidP="004F46E6">
            <w:pPr>
              <w:pStyle w:val="Paragrafoelenco"/>
              <w:numPr>
                <w:ilvl w:val="0"/>
                <w:numId w:val="11"/>
              </w:numPr>
              <w:spacing w:after="37" w:line="288" w:lineRule="auto"/>
              <w:ind w:left="357" w:hanging="357"/>
              <w:rPr>
                <w:rFonts w:cs="Arial"/>
                <w:sz w:val="16"/>
                <w:szCs w:val="16"/>
                <w:lang w:val="en-US"/>
              </w:rPr>
            </w:pPr>
            <w:r w:rsidRPr="003C18CB">
              <w:rPr>
                <w:rFonts w:cs="Arial"/>
                <w:sz w:val="16"/>
                <w:szCs w:val="16"/>
                <w:lang w:val="en-US"/>
              </w:rPr>
              <w:t xml:space="preserve">Management review and implement a revised partnership policy and process. </w:t>
            </w:r>
          </w:p>
        </w:tc>
      </w:tr>
      <w:tr w:rsidR="001051C1" w:rsidRPr="004F46E6" w:rsidTr="00525C69">
        <w:trPr>
          <w:trHeight w:val="1405"/>
        </w:trPr>
        <w:tc>
          <w:tcPr>
            <w:tcW w:w="1701"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1051C1" w:rsidRPr="004F46E6" w:rsidRDefault="001051C1" w:rsidP="001051C1">
            <w:pPr>
              <w:rPr>
                <w:rFonts w:ascii="Arial" w:hAnsi="Arial" w:cs="Arial"/>
                <w:sz w:val="16"/>
                <w:szCs w:val="16"/>
              </w:rPr>
            </w:pPr>
            <w:r w:rsidRPr="004F46E6">
              <w:rPr>
                <w:rStyle w:val="Bold"/>
                <w:rFonts w:ascii="Arial" w:hAnsi="Arial" w:cs="Arial"/>
                <w:sz w:val="16"/>
                <w:szCs w:val="16"/>
              </w:rPr>
              <w:t>Embedding a ‘new Commission’</w:t>
            </w:r>
          </w:p>
        </w:tc>
        <w:tc>
          <w:tcPr>
            <w:tcW w:w="1020"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1051C1" w:rsidRPr="004F46E6" w:rsidRDefault="00EE37FD" w:rsidP="004F46E6">
            <w:pPr>
              <w:jc w:val="center"/>
              <w:rPr>
                <w:rFonts w:ascii="Arial" w:hAnsi="Arial" w:cs="Arial"/>
                <w:sz w:val="16"/>
                <w:szCs w:val="16"/>
              </w:rPr>
            </w:pPr>
            <w:r w:rsidRPr="00EE37FD">
              <w:rPr>
                <w:rFonts w:ascii="Webdings" w:hAnsi="Webdings" w:cs="FontAwesome"/>
                <w:color w:val="ED7D31" w:themeColor="accent2"/>
                <w:sz w:val="28"/>
                <w:szCs w:val="28"/>
              </w:rPr>
              <w:sym w:font="Wingdings" w:char="F0FB"/>
            </w:r>
          </w:p>
        </w:tc>
        <w:tc>
          <w:tcPr>
            <w:tcW w:w="11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1051C1" w:rsidRPr="004F46E6" w:rsidRDefault="001051C1" w:rsidP="004F46E6">
            <w:pPr>
              <w:jc w:val="center"/>
              <w:rPr>
                <w:rFonts w:ascii="Arial" w:hAnsi="Arial" w:cs="Arial"/>
                <w:color w:val="auto"/>
                <w:sz w:val="16"/>
                <w:szCs w:val="16"/>
                <w:lang w:val="it-IT"/>
              </w:rPr>
            </w:pPr>
          </w:p>
        </w:tc>
        <w:tc>
          <w:tcPr>
            <w:tcW w:w="107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1051C1" w:rsidRPr="004F46E6" w:rsidRDefault="001051C1" w:rsidP="004F46E6">
            <w:pPr>
              <w:jc w:val="center"/>
              <w:rPr>
                <w:rFonts w:ascii="Arial" w:hAnsi="Arial" w:cs="Arial"/>
                <w:color w:val="auto"/>
                <w:sz w:val="16"/>
                <w:szCs w:val="16"/>
                <w:lang w:val="it-IT"/>
              </w:rPr>
            </w:pPr>
          </w:p>
        </w:tc>
        <w:tc>
          <w:tcPr>
            <w:tcW w:w="4849"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1051C1" w:rsidRPr="003C18CB" w:rsidRDefault="001051C1" w:rsidP="004F46E6">
            <w:pPr>
              <w:pStyle w:val="Paragrafoelenco"/>
              <w:numPr>
                <w:ilvl w:val="0"/>
                <w:numId w:val="11"/>
              </w:numPr>
              <w:spacing w:after="37" w:line="288" w:lineRule="auto"/>
              <w:ind w:left="357" w:hanging="357"/>
              <w:rPr>
                <w:rFonts w:cs="Arial"/>
                <w:sz w:val="16"/>
                <w:szCs w:val="16"/>
                <w:lang w:val="en-US"/>
              </w:rPr>
            </w:pPr>
            <w:r w:rsidRPr="003C18CB">
              <w:rPr>
                <w:rFonts w:cs="Arial"/>
                <w:sz w:val="16"/>
                <w:szCs w:val="16"/>
                <w:lang w:val="en-US"/>
              </w:rPr>
              <w:t xml:space="preserve">Consolidate new working methods to appropriately support the Commission — including by reforming decision making to streamline process; clarifying expectations across the life cycle of a commissioner; adjusting staffing support. </w:t>
            </w:r>
          </w:p>
          <w:p w:rsidR="001051C1" w:rsidRPr="003C18CB" w:rsidRDefault="001051C1" w:rsidP="004F46E6">
            <w:pPr>
              <w:pStyle w:val="Paragrafoelenco"/>
              <w:numPr>
                <w:ilvl w:val="0"/>
                <w:numId w:val="11"/>
              </w:numPr>
              <w:spacing w:after="37" w:line="288" w:lineRule="auto"/>
              <w:ind w:left="357" w:hanging="357"/>
              <w:rPr>
                <w:rFonts w:cs="Arial"/>
                <w:sz w:val="16"/>
                <w:szCs w:val="16"/>
                <w:lang w:val="en-US"/>
              </w:rPr>
            </w:pPr>
            <w:r w:rsidRPr="003C18CB">
              <w:rPr>
                <w:rFonts w:cs="Arial"/>
                <w:sz w:val="16"/>
                <w:szCs w:val="16"/>
                <w:lang w:val="en-US"/>
              </w:rPr>
              <w:t>Likely return of Royal Commission resources will enable support for priorities that have not been possible in recent years due to funding restraints.</w:t>
            </w:r>
          </w:p>
          <w:p w:rsidR="001051C1" w:rsidRPr="003C18CB" w:rsidRDefault="001051C1" w:rsidP="004F46E6">
            <w:pPr>
              <w:pStyle w:val="Paragrafoelenco"/>
              <w:numPr>
                <w:ilvl w:val="0"/>
                <w:numId w:val="11"/>
              </w:numPr>
              <w:spacing w:after="37" w:line="288" w:lineRule="auto"/>
              <w:ind w:left="357" w:hanging="357"/>
              <w:rPr>
                <w:rFonts w:cs="Arial"/>
                <w:sz w:val="16"/>
                <w:szCs w:val="16"/>
                <w:lang w:val="en-US"/>
              </w:rPr>
            </w:pPr>
            <w:r w:rsidRPr="003C18CB">
              <w:rPr>
                <w:rFonts w:cs="Arial"/>
                <w:sz w:val="16"/>
                <w:szCs w:val="16"/>
                <w:lang w:val="en-US"/>
              </w:rPr>
              <w:t>New Race Discrimination Commissioner appointment due August 2018.</w:t>
            </w:r>
          </w:p>
        </w:tc>
      </w:tr>
      <w:tr w:rsidR="001051C1" w:rsidRPr="004F46E6" w:rsidTr="00525C69">
        <w:trPr>
          <w:trHeight w:val="900"/>
        </w:trPr>
        <w:tc>
          <w:tcPr>
            <w:tcW w:w="1701"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1051C1" w:rsidRPr="004F46E6" w:rsidRDefault="001051C1" w:rsidP="001051C1">
            <w:pPr>
              <w:rPr>
                <w:rFonts w:ascii="Arial" w:hAnsi="Arial" w:cs="Arial"/>
                <w:sz w:val="16"/>
                <w:szCs w:val="16"/>
              </w:rPr>
            </w:pPr>
            <w:r w:rsidRPr="004F46E6">
              <w:rPr>
                <w:rStyle w:val="Bold"/>
                <w:rFonts w:ascii="Arial" w:hAnsi="Arial" w:cs="Arial"/>
                <w:sz w:val="16"/>
                <w:szCs w:val="16"/>
              </w:rPr>
              <w:t>‘Living within our means’: realistic work planning</w:t>
            </w:r>
          </w:p>
        </w:tc>
        <w:tc>
          <w:tcPr>
            <w:tcW w:w="1020"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1051C1" w:rsidRPr="004F46E6" w:rsidRDefault="00EE37FD" w:rsidP="004F46E6">
            <w:pPr>
              <w:jc w:val="center"/>
              <w:rPr>
                <w:rFonts w:ascii="Arial" w:hAnsi="Arial" w:cs="Arial"/>
                <w:sz w:val="16"/>
                <w:szCs w:val="16"/>
              </w:rPr>
            </w:pPr>
            <w:r w:rsidRPr="00EE37FD">
              <w:rPr>
                <w:rFonts w:ascii="Webdings" w:hAnsi="Webdings" w:cs="FontAwesome"/>
                <w:color w:val="ED7D31" w:themeColor="accent2"/>
                <w:sz w:val="28"/>
                <w:szCs w:val="28"/>
              </w:rPr>
              <w:sym w:font="Wingdings" w:char="F0FB"/>
            </w:r>
          </w:p>
        </w:tc>
        <w:tc>
          <w:tcPr>
            <w:tcW w:w="11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1051C1" w:rsidRPr="004F46E6" w:rsidRDefault="001051C1" w:rsidP="004F46E6">
            <w:pPr>
              <w:jc w:val="center"/>
              <w:rPr>
                <w:rFonts w:ascii="Arial" w:hAnsi="Arial" w:cs="Arial"/>
                <w:color w:val="auto"/>
                <w:sz w:val="16"/>
                <w:szCs w:val="16"/>
                <w:lang w:val="it-IT"/>
              </w:rPr>
            </w:pPr>
          </w:p>
        </w:tc>
        <w:tc>
          <w:tcPr>
            <w:tcW w:w="1077"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1051C1" w:rsidRPr="004F46E6" w:rsidRDefault="001051C1" w:rsidP="004F46E6">
            <w:pPr>
              <w:jc w:val="center"/>
              <w:rPr>
                <w:rFonts w:ascii="Arial" w:hAnsi="Arial" w:cs="Arial"/>
                <w:color w:val="auto"/>
                <w:sz w:val="16"/>
                <w:szCs w:val="16"/>
                <w:lang w:val="it-IT"/>
              </w:rPr>
            </w:pPr>
          </w:p>
        </w:tc>
        <w:tc>
          <w:tcPr>
            <w:tcW w:w="4849"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1051C1" w:rsidRPr="003C18CB" w:rsidRDefault="001051C1" w:rsidP="004F46E6">
            <w:pPr>
              <w:pStyle w:val="Paragrafoelenco"/>
              <w:numPr>
                <w:ilvl w:val="0"/>
                <w:numId w:val="11"/>
              </w:numPr>
              <w:spacing w:after="37" w:line="288" w:lineRule="auto"/>
              <w:ind w:left="357" w:hanging="357"/>
              <w:rPr>
                <w:rFonts w:cs="Arial"/>
                <w:sz w:val="16"/>
                <w:szCs w:val="16"/>
                <w:lang w:val="en-US"/>
              </w:rPr>
            </w:pPr>
            <w:r w:rsidRPr="003C18CB">
              <w:rPr>
                <w:rFonts w:cs="Arial"/>
                <w:sz w:val="16"/>
                <w:szCs w:val="16"/>
                <w:lang w:val="en-US"/>
              </w:rPr>
              <w:t>Limited core-resourcing has an impact on our work program. This is managed through strict adherence to robust project planning to ensure manageable workloads for our committed staff.</w:t>
            </w:r>
          </w:p>
        </w:tc>
      </w:tr>
    </w:tbl>
    <w:p w:rsidR="00807D6F" w:rsidRPr="008C5E1E" w:rsidRDefault="00807D6F" w:rsidP="008C5E1E"/>
    <w:sectPr w:rsidR="00807D6F" w:rsidRPr="008C5E1E" w:rsidSect="00124F9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Pro 55 Roman">
    <w:panose1 w:val="020B0604020202020204"/>
    <w:charset w:val="4D"/>
    <w:family w:val="swiss"/>
    <w:notTrueType/>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HelveticaNeueLT Pro 45 Lt">
    <w:altName w:val="Arial"/>
    <w:panose1 w:val="020B0403020202020204"/>
    <w:charset w:val="4D"/>
    <w:family w:val="swiss"/>
    <w:notTrueType/>
    <w:pitch w:val="variable"/>
    <w:sig w:usb0="800000AF" w:usb1="5000205B" w:usb2="00000000" w:usb3="00000000" w:csb0="0000009B" w:csb1="00000000"/>
  </w:font>
  <w:font w:name="Webdings">
    <w:panose1 w:val="05030102010509060703"/>
    <w:charset w:val="02"/>
    <w:family w:val="decorative"/>
    <w:pitch w:val="variable"/>
    <w:sig w:usb0="00000000" w:usb1="10000000" w:usb2="00000000" w:usb3="00000000" w:csb0="80000000" w:csb1="00000000"/>
  </w:font>
  <w:font w:name="FontAwesom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09BE"/>
    <w:multiLevelType w:val="hybridMultilevel"/>
    <w:tmpl w:val="D83875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CD17907"/>
    <w:multiLevelType w:val="hybridMultilevel"/>
    <w:tmpl w:val="A56A8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34092C"/>
    <w:multiLevelType w:val="hybridMultilevel"/>
    <w:tmpl w:val="1CC657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49859E7"/>
    <w:multiLevelType w:val="hybridMultilevel"/>
    <w:tmpl w:val="DA6C08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7315D95"/>
    <w:multiLevelType w:val="hybridMultilevel"/>
    <w:tmpl w:val="D7683F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0D5478D"/>
    <w:multiLevelType w:val="hybridMultilevel"/>
    <w:tmpl w:val="5418AB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01432F5"/>
    <w:multiLevelType w:val="hybridMultilevel"/>
    <w:tmpl w:val="16AAB6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2576F10"/>
    <w:multiLevelType w:val="hybridMultilevel"/>
    <w:tmpl w:val="F1C831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AC2734D"/>
    <w:multiLevelType w:val="hybridMultilevel"/>
    <w:tmpl w:val="53240B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8DA0D9A"/>
    <w:multiLevelType w:val="hybridMultilevel"/>
    <w:tmpl w:val="1CBCDC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C7F6DD0"/>
    <w:multiLevelType w:val="hybridMultilevel"/>
    <w:tmpl w:val="487076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8"/>
  </w:num>
  <w:num w:numId="6">
    <w:abstractNumId w:val="10"/>
  </w:num>
  <w:num w:numId="7">
    <w:abstractNumId w:val="0"/>
  </w:num>
  <w:num w:numId="8">
    <w:abstractNumId w:val="9"/>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1E"/>
    <w:rsid w:val="001051C1"/>
    <w:rsid w:val="00124F99"/>
    <w:rsid w:val="001427AF"/>
    <w:rsid w:val="00330FDE"/>
    <w:rsid w:val="003C18CB"/>
    <w:rsid w:val="004F46E6"/>
    <w:rsid w:val="00525C69"/>
    <w:rsid w:val="00550FF0"/>
    <w:rsid w:val="00807D6F"/>
    <w:rsid w:val="0084766F"/>
    <w:rsid w:val="008C5E1E"/>
    <w:rsid w:val="00923828"/>
    <w:rsid w:val="00CA5D13"/>
    <w:rsid w:val="00EE37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807F8A87-4730-9B47-96A2-EFAA82DA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99"/>
    <w:qFormat/>
    <w:rsid w:val="001051C1"/>
    <w:pPr>
      <w:keepLines/>
      <w:suppressAutoHyphens/>
      <w:autoSpaceDE w:val="0"/>
      <w:autoSpaceDN w:val="0"/>
      <w:adjustRightInd w:val="0"/>
      <w:spacing w:after="113" w:line="288" w:lineRule="auto"/>
      <w:textAlignment w:val="center"/>
    </w:pPr>
    <w:rPr>
      <w:rFonts w:ascii="HelveticaNeueLT Pro 55 Roman" w:hAnsi="HelveticaNeueLT Pro 55 Roman" w:cs="HelveticaNeueLT Pro 55 Roman"/>
      <w:color w:val="000000"/>
      <w:sz w:val="18"/>
      <w:szCs w:val="18"/>
      <w:lang w:val="en-US"/>
    </w:rPr>
  </w:style>
  <w:style w:type="paragraph" w:styleId="Titolo1">
    <w:name w:val="heading 1"/>
    <w:basedOn w:val="Normale"/>
    <w:next w:val="Normale"/>
    <w:link w:val="Titolo1Carattere"/>
    <w:uiPriority w:val="99"/>
    <w:qFormat/>
    <w:rsid w:val="008C5E1E"/>
    <w:pPr>
      <w:keepNext/>
      <w:spacing w:after="850" w:line="500" w:lineRule="atLeast"/>
      <w:ind w:left="397" w:hanging="397"/>
      <w:outlineLvl w:val="0"/>
    </w:pPr>
    <w:rPr>
      <w:color w:val="BC5F00"/>
      <w:sz w:val="48"/>
      <w:szCs w:val="48"/>
    </w:rPr>
  </w:style>
  <w:style w:type="paragraph" w:styleId="Titolo2">
    <w:name w:val="heading 2"/>
    <w:basedOn w:val="Normale"/>
    <w:next w:val="Normale"/>
    <w:link w:val="Titolo2Carattere"/>
    <w:uiPriority w:val="9"/>
    <w:unhideWhenUsed/>
    <w:qFormat/>
    <w:rsid w:val="00EE37FD"/>
    <w:pPr>
      <w:keepNext/>
      <w:suppressAutoHyphens w:val="0"/>
      <w:autoSpaceDE/>
      <w:autoSpaceDN/>
      <w:adjustRightInd/>
      <w:spacing w:after="400" w:line="240" w:lineRule="auto"/>
      <w:textAlignment w:val="auto"/>
      <w:outlineLvl w:val="1"/>
    </w:pPr>
    <w:rPr>
      <w:rFonts w:ascii="Arial" w:eastAsiaTheme="majorEastAsia" w:hAnsi="Arial" w:cstheme="majorBidi"/>
      <w:color w:val="ED7D31" w:themeColor="accent2"/>
      <w:sz w:val="28"/>
      <w:szCs w:val="26"/>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C5E1E"/>
    <w:rPr>
      <w:rFonts w:ascii="HelveticaNeueLT Pro 55 Roman" w:hAnsi="HelveticaNeueLT Pro 55 Roman" w:cs="HelveticaNeueLT Pro 55 Roman"/>
      <w:color w:val="BC5F00"/>
      <w:sz w:val="48"/>
      <w:szCs w:val="48"/>
      <w:lang w:val="en-US"/>
    </w:rPr>
  </w:style>
  <w:style w:type="paragraph" w:styleId="Titolo">
    <w:name w:val="Title"/>
    <w:basedOn w:val="Normale"/>
    <w:next w:val="Normale"/>
    <w:link w:val="TitoloCarattere"/>
    <w:uiPriority w:val="10"/>
    <w:qFormat/>
    <w:rsid w:val="00EE37FD"/>
    <w:pPr>
      <w:suppressAutoHyphens w:val="0"/>
      <w:autoSpaceDE/>
      <w:autoSpaceDN/>
      <w:adjustRightInd/>
      <w:spacing w:after="1000" w:line="240" w:lineRule="auto"/>
      <w:contextualSpacing/>
      <w:textAlignment w:val="auto"/>
    </w:pPr>
    <w:rPr>
      <w:rFonts w:ascii="Arial" w:eastAsiaTheme="majorEastAsia" w:hAnsi="Arial" w:cstheme="majorBidi"/>
      <w:color w:val="ED7D31" w:themeColor="accent2"/>
      <w:spacing w:val="-10"/>
      <w:kern w:val="28"/>
      <w:sz w:val="56"/>
      <w:szCs w:val="56"/>
      <w:lang w:val="it-IT"/>
    </w:rPr>
  </w:style>
  <w:style w:type="character" w:customStyle="1" w:styleId="TitoloCarattere">
    <w:name w:val="Titolo Carattere"/>
    <w:basedOn w:val="Carpredefinitoparagrafo"/>
    <w:link w:val="Titolo"/>
    <w:uiPriority w:val="10"/>
    <w:rsid w:val="00EE37FD"/>
    <w:rPr>
      <w:rFonts w:ascii="Arial" w:eastAsiaTheme="majorEastAsia" w:hAnsi="Arial" w:cstheme="majorBidi"/>
      <w:color w:val="ED7D31" w:themeColor="accent2"/>
      <w:spacing w:val="-10"/>
      <w:kern w:val="28"/>
      <w:sz w:val="56"/>
      <w:szCs w:val="56"/>
    </w:rPr>
  </w:style>
  <w:style w:type="paragraph" w:customStyle="1" w:styleId="HeadingTwo">
    <w:name w:val="Heading Two"/>
    <w:basedOn w:val="Normale"/>
    <w:uiPriority w:val="99"/>
    <w:rsid w:val="008C5E1E"/>
    <w:pPr>
      <w:keepNext/>
      <w:tabs>
        <w:tab w:val="left" w:pos="0"/>
      </w:tabs>
      <w:spacing w:before="227" w:after="510"/>
    </w:pPr>
    <w:rPr>
      <w:rFonts w:ascii="HelveticaNeueLT Pro 45 Lt" w:hAnsi="HelveticaNeueLT Pro 45 Lt" w:cs="HelveticaNeueLT Pro 45 Lt"/>
      <w:color w:val="BC5F00"/>
      <w:sz w:val="30"/>
      <w:szCs w:val="30"/>
    </w:rPr>
  </w:style>
  <w:style w:type="character" w:customStyle="1" w:styleId="Titolo2Carattere">
    <w:name w:val="Titolo 2 Carattere"/>
    <w:basedOn w:val="Carpredefinitoparagrafo"/>
    <w:link w:val="Titolo2"/>
    <w:uiPriority w:val="9"/>
    <w:rsid w:val="00EE37FD"/>
    <w:rPr>
      <w:rFonts w:ascii="Arial" w:eastAsiaTheme="majorEastAsia" w:hAnsi="Arial" w:cstheme="majorBidi"/>
      <w:color w:val="ED7D31" w:themeColor="accent2"/>
      <w:sz w:val="28"/>
      <w:szCs w:val="26"/>
    </w:rPr>
  </w:style>
  <w:style w:type="paragraph" w:customStyle="1" w:styleId="Nessunostileparagrafo">
    <w:name w:val="[Nessuno stile paragrafo]"/>
    <w:rsid w:val="008C5E1E"/>
    <w:pPr>
      <w:autoSpaceDE w:val="0"/>
      <w:autoSpaceDN w:val="0"/>
      <w:adjustRightInd w:val="0"/>
      <w:spacing w:line="288" w:lineRule="auto"/>
      <w:textAlignment w:val="center"/>
    </w:pPr>
    <w:rPr>
      <w:rFonts w:ascii="HelveticaNeueLT Pro 55 Roman" w:hAnsi="HelveticaNeueLT Pro 55 Roman"/>
      <w:color w:val="000000"/>
      <w:lang w:val="en-US"/>
    </w:rPr>
  </w:style>
  <w:style w:type="paragraph" w:customStyle="1" w:styleId="Paragrafobase">
    <w:name w:val="[Paragrafo base]"/>
    <w:basedOn w:val="Nessunostileparagrafo"/>
    <w:uiPriority w:val="99"/>
    <w:rsid w:val="008C5E1E"/>
    <w:pPr>
      <w:keepLines/>
      <w:suppressAutoHyphens/>
      <w:spacing w:after="170"/>
    </w:pPr>
    <w:rPr>
      <w:rFonts w:cs="HelveticaNeueLT Pro 55 Roman"/>
      <w:sz w:val="18"/>
      <w:szCs w:val="18"/>
    </w:rPr>
  </w:style>
  <w:style w:type="paragraph" w:customStyle="1" w:styleId="TableText8">
    <w:name w:val="Table Text 8"/>
    <w:aliases w:val="5pt Cond"/>
    <w:basedOn w:val="Paragrafobase"/>
    <w:uiPriority w:val="99"/>
    <w:rsid w:val="008C5E1E"/>
    <w:pPr>
      <w:spacing w:after="113"/>
    </w:pPr>
    <w:rPr>
      <w:sz w:val="17"/>
      <w:szCs w:val="17"/>
    </w:rPr>
  </w:style>
  <w:style w:type="paragraph" w:customStyle="1" w:styleId="TableText8ptRoman">
    <w:name w:val="Table Text 8pt Roman"/>
    <w:basedOn w:val="TableText8"/>
    <w:uiPriority w:val="99"/>
    <w:rsid w:val="008C5E1E"/>
    <w:pPr>
      <w:spacing w:after="85"/>
    </w:pPr>
    <w:rPr>
      <w:sz w:val="16"/>
      <w:szCs w:val="16"/>
    </w:rPr>
  </w:style>
  <w:style w:type="paragraph" w:customStyle="1" w:styleId="TabletBullets8ptRoman">
    <w:name w:val="Tablet Bullets 8pt Roman"/>
    <w:basedOn w:val="Normale"/>
    <w:uiPriority w:val="99"/>
    <w:rsid w:val="008C5E1E"/>
    <w:pPr>
      <w:spacing w:after="57"/>
      <w:ind w:left="170" w:hanging="170"/>
    </w:pPr>
    <w:rPr>
      <w:sz w:val="16"/>
      <w:szCs w:val="16"/>
    </w:rPr>
  </w:style>
  <w:style w:type="character" w:customStyle="1" w:styleId="Bold">
    <w:name w:val="Bold"/>
    <w:uiPriority w:val="99"/>
    <w:rsid w:val="008C5E1E"/>
    <w:rPr>
      <w:rFonts w:ascii="HelveticaNeueLT Pro 55 Roman" w:hAnsi="HelveticaNeueLT Pro 55 Roman" w:cs="HelveticaNeueLT Pro 55 Roman"/>
      <w:b/>
      <w:bCs/>
    </w:rPr>
  </w:style>
  <w:style w:type="character" w:customStyle="1" w:styleId="BoldWhite">
    <w:name w:val="Bold White"/>
    <w:basedOn w:val="Bold"/>
    <w:uiPriority w:val="99"/>
    <w:rsid w:val="008C5E1E"/>
    <w:rPr>
      <w:rFonts w:ascii="HelveticaNeueLT Pro 55 Roman" w:hAnsi="HelveticaNeueLT Pro 55 Roman" w:cs="HelveticaNeueLT Pro 55 Roman"/>
      <w:b/>
      <w:bCs/>
      <w:color w:val="FFFFFF"/>
    </w:rPr>
  </w:style>
  <w:style w:type="character" w:styleId="Rimandocommento">
    <w:name w:val="annotation reference"/>
    <w:basedOn w:val="Carpredefinitoparagrafo"/>
    <w:uiPriority w:val="99"/>
    <w:semiHidden/>
    <w:unhideWhenUsed/>
    <w:rsid w:val="008C5E1E"/>
    <w:rPr>
      <w:sz w:val="16"/>
      <w:szCs w:val="16"/>
    </w:rPr>
  </w:style>
  <w:style w:type="paragraph" w:styleId="Testocommento">
    <w:name w:val="annotation text"/>
    <w:basedOn w:val="Normale"/>
    <w:link w:val="TestocommentoCarattere"/>
    <w:uiPriority w:val="99"/>
    <w:semiHidden/>
    <w:unhideWhenUsed/>
    <w:rsid w:val="008C5E1E"/>
    <w:pPr>
      <w:suppressAutoHyphens w:val="0"/>
      <w:autoSpaceDE/>
      <w:autoSpaceDN/>
      <w:adjustRightInd/>
      <w:spacing w:after="240" w:line="240" w:lineRule="auto"/>
      <w:textAlignment w:val="auto"/>
    </w:pPr>
    <w:rPr>
      <w:rFonts w:ascii="Arial" w:hAnsi="Arial" w:cstheme="minorBidi"/>
      <w:color w:val="auto"/>
      <w:sz w:val="20"/>
      <w:szCs w:val="20"/>
      <w:lang w:val="it-IT"/>
    </w:rPr>
  </w:style>
  <w:style w:type="character" w:customStyle="1" w:styleId="TestocommentoCarattere">
    <w:name w:val="Testo commento Carattere"/>
    <w:basedOn w:val="Carpredefinitoparagrafo"/>
    <w:link w:val="Testocommento"/>
    <w:uiPriority w:val="99"/>
    <w:semiHidden/>
    <w:rsid w:val="008C5E1E"/>
    <w:rPr>
      <w:rFonts w:ascii="Arial" w:hAnsi="Arial"/>
      <w:sz w:val="20"/>
      <w:szCs w:val="20"/>
    </w:rPr>
  </w:style>
  <w:style w:type="paragraph" w:styleId="Soggettocommento">
    <w:name w:val="annotation subject"/>
    <w:basedOn w:val="Testocommento"/>
    <w:next w:val="Testocommento"/>
    <w:link w:val="SoggettocommentoCarattere"/>
    <w:uiPriority w:val="99"/>
    <w:semiHidden/>
    <w:unhideWhenUsed/>
    <w:rsid w:val="008C5E1E"/>
    <w:rPr>
      <w:b/>
      <w:bCs/>
    </w:rPr>
  </w:style>
  <w:style w:type="character" w:customStyle="1" w:styleId="SoggettocommentoCarattere">
    <w:name w:val="Soggetto commento Carattere"/>
    <w:basedOn w:val="TestocommentoCarattere"/>
    <w:link w:val="Soggettocommento"/>
    <w:uiPriority w:val="99"/>
    <w:semiHidden/>
    <w:rsid w:val="008C5E1E"/>
    <w:rPr>
      <w:rFonts w:ascii="Arial" w:hAnsi="Arial"/>
      <w:b/>
      <w:bCs/>
      <w:sz w:val="20"/>
      <w:szCs w:val="20"/>
    </w:rPr>
  </w:style>
  <w:style w:type="paragraph" w:styleId="Testofumetto">
    <w:name w:val="Balloon Text"/>
    <w:basedOn w:val="Normale"/>
    <w:link w:val="TestofumettoCarattere"/>
    <w:uiPriority w:val="99"/>
    <w:semiHidden/>
    <w:unhideWhenUsed/>
    <w:rsid w:val="008C5E1E"/>
    <w:pPr>
      <w:suppressAutoHyphens w:val="0"/>
      <w:autoSpaceDE/>
      <w:autoSpaceDN/>
      <w:adjustRightInd/>
      <w:spacing w:after="0" w:line="240" w:lineRule="auto"/>
      <w:textAlignment w:val="auto"/>
    </w:pPr>
    <w:rPr>
      <w:rFonts w:ascii="Times New Roman" w:hAnsi="Times New Roman" w:cs="Times New Roman"/>
      <w:color w:val="auto"/>
      <w:lang w:val="it-IT"/>
    </w:rPr>
  </w:style>
  <w:style w:type="character" w:customStyle="1" w:styleId="TestofumettoCarattere">
    <w:name w:val="Testo fumetto Carattere"/>
    <w:basedOn w:val="Carpredefinitoparagrafo"/>
    <w:link w:val="Testofumetto"/>
    <w:uiPriority w:val="99"/>
    <w:semiHidden/>
    <w:rsid w:val="008C5E1E"/>
    <w:rPr>
      <w:rFonts w:ascii="Times New Roman" w:hAnsi="Times New Roman" w:cs="Times New Roman"/>
      <w:sz w:val="18"/>
      <w:szCs w:val="18"/>
    </w:rPr>
  </w:style>
  <w:style w:type="paragraph" w:styleId="Paragrafoelenco">
    <w:name w:val="List Paragraph"/>
    <w:basedOn w:val="Normale"/>
    <w:uiPriority w:val="34"/>
    <w:qFormat/>
    <w:rsid w:val="008C5E1E"/>
    <w:pPr>
      <w:suppressAutoHyphens w:val="0"/>
      <w:autoSpaceDE/>
      <w:autoSpaceDN/>
      <w:adjustRightInd/>
      <w:spacing w:after="240" w:line="240" w:lineRule="auto"/>
      <w:ind w:left="720"/>
      <w:contextualSpacing/>
      <w:textAlignment w:val="auto"/>
    </w:pPr>
    <w:rPr>
      <w:rFonts w:ascii="Arial" w:hAnsi="Arial" w:cstheme="minorBidi"/>
      <w:color w:val="auto"/>
      <w:sz w:val="20"/>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CF30B-1A61-ED41-8C4A-D6B60488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1149</Words>
  <Characters>6554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Jo</cp:lastModifiedBy>
  <cp:revision>10</cp:revision>
  <dcterms:created xsi:type="dcterms:W3CDTF">2018-08-11T16:50:00Z</dcterms:created>
  <dcterms:modified xsi:type="dcterms:W3CDTF">2018-08-14T06:15:00Z</dcterms:modified>
</cp:coreProperties>
</file>