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51" w:rsidRPr="00654793" w:rsidRDefault="00251D6C"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simplePos x="0" y="0"/>
                <wp:positionH relativeFrom="column">
                  <wp:posOffset>1108710</wp:posOffset>
                </wp:positionH>
                <wp:positionV relativeFrom="paragraph">
                  <wp:posOffset>1378585</wp:posOffset>
                </wp:positionV>
                <wp:extent cx="4981575" cy="679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1575" cy="679450"/>
                        </a:xfrm>
                        <a:prstGeom prst="rect">
                          <a:avLst/>
                        </a:prstGeom>
                        <a:noFill/>
                        <a:ln w="6350">
                          <a:noFill/>
                        </a:ln>
                        <a:effectLst/>
                      </wps:spPr>
                      <wps:txbx>
                        <w:txbxContent>
                          <w:p w:rsidR="00414DC7" w:rsidRPr="004D64C3" w:rsidRDefault="00414DC7" w:rsidP="00C72A88">
                            <w:bookmarkStart w:id="0" w:name="_Toc493005541"/>
                            <w:bookmarkStart w:id="1" w:name="_Toc493175562"/>
                            <w:r w:rsidRPr="00C72A88">
                              <w:rPr>
                                <w:b/>
                              </w:rPr>
                              <w:t>Submission by the Australian Human Rights Commission</w:t>
                            </w:r>
                            <w:bookmarkEnd w:id="0"/>
                            <w:bookmarkEnd w:id="1"/>
                            <w:r>
                              <w:rPr>
                                <w:b/>
                              </w:rPr>
                              <w:t xml:space="preserve"> to the Committee on the Elimination of Discrimination against W</w:t>
                            </w:r>
                            <w:r w:rsidRPr="00C72A88">
                              <w:rPr>
                                <w:b/>
                              </w:rPr>
                              <w:t xml:space="preserve">omen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7.3pt;margin-top:108.55pt;width:392.25pt;height: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" filled="f" stroked="f" strokeweight=".5pt">
                <v:path arrowok="t"/>
                <v:textbox>
                  <w:txbxContent>
                    <w:p w:rsidR="00414DC7" w:rsidRPr="004D64C3" w:rsidRDefault="00414DC7" w:rsidP="00C72A88">
                      <w:bookmarkStart w:id="2" w:name="_Toc493005541"/>
                      <w:bookmarkStart w:id="3" w:name="_Toc493175562"/>
                      <w:r w:rsidRPr="00C72A88">
                        <w:rPr>
                          <w:b/>
                        </w:rPr>
                        <w:t>Submission by the Australian Human Rights Commission</w:t>
                      </w:r>
                      <w:bookmarkEnd w:id="2"/>
                      <w:bookmarkEnd w:id="3"/>
                      <w:r>
                        <w:rPr>
                          <w:b/>
                        </w:rPr>
                        <w:t xml:space="preserve"> to the Committee on the Elimination of Discrimination against W</w:t>
                      </w:r>
                      <w:r w:rsidRPr="00C72A88">
                        <w:rPr>
                          <w:b/>
                        </w:rPr>
                        <w:t xml:space="preserve">omen </w:t>
                      </w:r>
                    </w:p>
                  </w:txbxContent>
                </v:textbox>
              </v:shape>
            </w:pict>
          </mc:Fallback>
        </mc:AlternateContent>
      </w:r>
      <w:r w:rsidR="00C36274">
        <w:rPr>
          <w:noProof/>
        </w:rPr>
        <mc:AlternateContent>
          <mc:Choice Requires="wps">
            <w:drawing>
              <wp:anchor distT="0" distB="0" distL="114300" distR="114300" simplePos="0" relativeHeight="251658752" behindDoc="0" locked="0" layoutInCell="1" allowOverlap="1">
                <wp:simplePos x="0" y="0"/>
                <wp:positionH relativeFrom="column">
                  <wp:posOffset>2134566</wp:posOffset>
                </wp:positionH>
                <wp:positionV relativeFrom="paragraph">
                  <wp:posOffset>1984816</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414DC7" w:rsidRPr="008362FA" w:rsidRDefault="000A0BEB" w:rsidP="002863D7">
                            <w:pPr>
                              <w:pStyle w:val="Date"/>
                              <w:rPr>
                                <w:color w:val="auto"/>
                              </w:rPr>
                            </w:pPr>
                            <w:r>
                              <w:rPr>
                                <w:color w:val="auto"/>
                              </w:rPr>
                              <w:t>29</w:t>
                            </w:r>
                            <w:r w:rsidR="00414DC7" w:rsidRPr="008362FA">
                              <w:rPr>
                                <w:color w:val="auto"/>
                              </w:rPr>
                              <w:t xml:space="preserve"> September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68.1pt;margin-top:156.3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" filled="f" stroked="f" strokeweight=".5pt">
                <v:path arrowok="t"/>
                <v:textbox>
                  <w:txbxContent>
                    <w:p w:rsidR="00414DC7" w:rsidRPr="008362FA" w:rsidRDefault="000A0BEB" w:rsidP="002863D7">
                      <w:pPr>
                        <w:pStyle w:val="Date"/>
                        <w:rPr>
                          <w:color w:val="auto"/>
                        </w:rPr>
                      </w:pPr>
                      <w:r>
                        <w:rPr>
                          <w:color w:val="auto"/>
                        </w:rPr>
                        <w:t>29</w:t>
                      </w:r>
                      <w:r w:rsidR="00414DC7" w:rsidRPr="008362FA">
                        <w:rPr>
                          <w:color w:val="auto"/>
                        </w:rPr>
                        <w:t xml:space="preserve"> September 2017</w:t>
                      </w:r>
                    </w:p>
                  </w:txbxContent>
                </v:textbox>
              </v:shape>
            </w:pict>
          </mc:Fallback>
        </mc:AlternateContent>
      </w:r>
      <w:r w:rsidR="00C36274">
        <w:rPr>
          <w:noProof/>
        </w:rPr>
        <mc:AlternateContent>
          <mc:Choice Requires="wps">
            <w:drawing>
              <wp:anchor distT="0" distB="0" distL="114300" distR="114300" simplePos="0" relativeHeight="251656704" behindDoc="0" locked="0" layoutInCell="1" allowOverlap="1">
                <wp:simplePos x="0" y="0"/>
                <wp:positionH relativeFrom="column">
                  <wp:posOffset>1715549</wp:posOffset>
                </wp:positionH>
                <wp:positionV relativeFrom="paragraph">
                  <wp:posOffset>-42904</wp:posOffset>
                </wp:positionV>
                <wp:extent cx="4023029" cy="1486894"/>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3029" cy="1486894"/>
                        </a:xfrm>
                        <a:prstGeom prst="rect">
                          <a:avLst/>
                        </a:prstGeom>
                        <a:noFill/>
                        <a:ln w="6350">
                          <a:noFill/>
                        </a:ln>
                        <a:effectLst/>
                      </wps:spPr>
                      <wps:txbx>
                        <w:txbxContent>
                          <w:p w:rsidR="00414DC7" w:rsidRDefault="00414DC7" w:rsidP="00FD01B5">
                            <w:pPr>
                              <w:pStyle w:val="MainTitle"/>
                            </w:pPr>
                            <w:r>
                              <w:t xml:space="preserve">Information for List of Issues </w:t>
                            </w:r>
                            <w:r w:rsidR="00EC54BA">
                              <w:t>on</w:t>
                            </w:r>
                            <w:r>
                              <w:t xml:space="preserve"> Australia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35.1pt;margin-top:-3.4pt;width:316.75pt;height:1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" filled="f" stroked="f" strokeweight=".5pt">
                <v:path arrowok="t"/>
                <v:textbox>
                  <w:txbxContent>
                    <w:p w:rsidR="00414DC7" w:rsidRDefault="00414DC7" w:rsidP="00FD01B5">
                      <w:pPr>
                        <w:pStyle w:val="MainTitle"/>
                      </w:pPr>
                      <w:r>
                        <w:t xml:space="preserve">Information for List of Issues </w:t>
                      </w:r>
                      <w:r w:rsidR="00EC54BA">
                        <w:t>on</w:t>
                      </w:r>
                      <w:r>
                        <w:t xml:space="preserve"> Australia  </w:t>
                      </w:r>
                    </w:p>
                  </w:txbxContent>
                </v:textbox>
              </v:shape>
            </w:pict>
          </mc:Fallback>
        </mc:AlternateConten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
    <w:p w:rsidR="00464D54" w:rsidRDefault="00B63D24">
      <w:pPr>
        <w:pStyle w:val="TOC1"/>
        <w:rPr>
          <w:b w:val="0"/>
          <w:sz w:val="28"/>
          <w:szCs w:val="28"/>
        </w:rPr>
      </w:pPr>
      <w:bookmarkStart w:id="3" w:name="_Toc207761829"/>
      <w:r w:rsidRPr="00907336">
        <w:rPr>
          <w:b w:val="0"/>
          <w:sz w:val="28"/>
          <w:szCs w:val="28"/>
        </w:rPr>
        <w:lastRenderedPageBreak/>
        <w:t>Table of Contents</w:t>
      </w:r>
      <w:bookmarkEnd w:id="3"/>
    </w:p>
    <w:p w:rsidR="007946ED" w:rsidRPr="00392EDD" w:rsidRDefault="00B63D24">
      <w:pPr>
        <w:pStyle w:val="TOC1"/>
        <w:rPr>
          <w:rFonts w:eastAsiaTheme="minorEastAsia" w:cs="Arial"/>
          <w:b w:val="0"/>
          <w:szCs w:val="22"/>
        </w:rPr>
      </w:pPr>
      <w:r w:rsidRPr="00931141">
        <w:rPr>
          <w:szCs w:val="22"/>
        </w:rPr>
        <w:fldChar w:fldCharType="begin"/>
      </w:r>
      <w:r w:rsidRPr="00931141">
        <w:rPr>
          <w:szCs w:val="22"/>
        </w:rPr>
        <w:instrText xml:space="preserve"> TOC \o "1-4" \h \z \u </w:instrText>
      </w:r>
      <w:r w:rsidRPr="00931141">
        <w:rPr>
          <w:szCs w:val="22"/>
        </w:rPr>
        <w:fldChar w:fldCharType="separate"/>
      </w:r>
      <w:hyperlink w:anchor="_Toc494372747" w:history="1">
        <w:r w:rsidR="007946ED" w:rsidRPr="00392EDD">
          <w:rPr>
            <w:rStyle w:val="Hyperlink"/>
            <w:rFonts w:cs="Arial"/>
            <w:szCs w:val="22"/>
          </w:rPr>
          <w:t>1</w:t>
        </w:r>
        <w:r w:rsidR="007946ED" w:rsidRPr="00392EDD">
          <w:rPr>
            <w:rFonts w:eastAsiaTheme="minorEastAsia" w:cs="Arial"/>
            <w:b w:val="0"/>
            <w:szCs w:val="22"/>
          </w:rPr>
          <w:tab/>
        </w:r>
        <w:r w:rsidR="007946ED" w:rsidRPr="00392EDD">
          <w:rPr>
            <w:rStyle w:val="Hyperlink"/>
            <w:rFonts w:cs="Arial"/>
            <w:szCs w:val="22"/>
          </w:rPr>
          <w:t>Introduction</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_Toc494372747 \h </w:instrText>
        </w:r>
        <w:r w:rsidR="007946ED" w:rsidRPr="00392EDD">
          <w:rPr>
            <w:rFonts w:cs="Arial"/>
            <w:webHidden/>
            <w:szCs w:val="22"/>
          </w:rPr>
        </w:r>
        <w:r w:rsidR="007946ED" w:rsidRPr="00392EDD">
          <w:rPr>
            <w:rFonts w:cs="Arial"/>
            <w:webHidden/>
            <w:szCs w:val="22"/>
          </w:rPr>
          <w:fldChar w:fldCharType="separate"/>
        </w:r>
        <w:r w:rsidR="00EF6027">
          <w:rPr>
            <w:rFonts w:cs="Arial"/>
            <w:webHidden/>
            <w:szCs w:val="22"/>
          </w:rPr>
          <w:t>3</w:t>
        </w:r>
        <w:r w:rsidR="007946ED" w:rsidRPr="00392EDD">
          <w:rPr>
            <w:rFonts w:cs="Arial"/>
            <w:webHidden/>
            <w:szCs w:val="22"/>
          </w:rPr>
          <w:fldChar w:fldCharType="end"/>
        </w:r>
      </w:hyperlink>
    </w:p>
    <w:p w:rsidR="007946ED" w:rsidRPr="00392EDD" w:rsidRDefault="00EF6027">
      <w:pPr>
        <w:pStyle w:val="TOC1"/>
        <w:rPr>
          <w:rFonts w:eastAsiaTheme="minorEastAsia" w:cs="Arial"/>
          <w:b w:val="0"/>
          <w:szCs w:val="22"/>
        </w:rPr>
      </w:pPr>
      <w:hyperlink w:anchor="_Toc494372748" w:history="1">
        <w:r w:rsidR="007946ED" w:rsidRPr="00392EDD">
          <w:rPr>
            <w:rStyle w:val="Hyperlink"/>
            <w:rFonts w:cs="Arial"/>
            <w:szCs w:val="22"/>
          </w:rPr>
          <w:t>2</w:t>
        </w:r>
        <w:r w:rsidR="007946ED" w:rsidRPr="00392EDD">
          <w:rPr>
            <w:rFonts w:eastAsiaTheme="minorEastAsia" w:cs="Arial"/>
            <w:b w:val="0"/>
            <w:szCs w:val="22"/>
          </w:rPr>
          <w:tab/>
        </w:r>
        <w:r w:rsidR="007946ED" w:rsidRPr="00392EDD">
          <w:rPr>
            <w:rStyle w:val="Hyperlink"/>
            <w:rFonts w:cs="Arial"/>
            <w:szCs w:val="22"/>
          </w:rPr>
          <w:t>General comments</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_Toc494372748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3</w:t>
        </w:r>
        <w:r w:rsidR="007946ED" w:rsidRPr="00392EDD">
          <w:rPr>
            <w:rFonts w:cs="Arial"/>
            <w:webHidden/>
            <w:szCs w:val="22"/>
          </w:rPr>
          <w:fldChar w:fldCharType="end"/>
        </w:r>
      </w:hyperlink>
    </w:p>
    <w:p w:rsidR="007946ED" w:rsidRPr="00392EDD" w:rsidRDefault="00EF6027">
      <w:pPr>
        <w:pStyle w:val="TOC1"/>
        <w:rPr>
          <w:rFonts w:eastAsiaTheme="minorEastAsia" w:cs="Arial"/>
          <w:b w:val="0"/>
          <w:szCs w:val="22"/>
        </w:rPr>
      </w:pPr>
      <w:hyperlink w:anchor="_Toc494372749" w:history="1">
        <w:r w:rsidR="007946ED" w:rsidRPr="00392EDD">
          <w:rPr>
            <w:rStyle w:val="Hyperlink"/>
            <w:rFonts w:cs="Arial"/>
            <w:szCs w:val="22"/>
          </w:rPr>
          <w:t>3</w:t>
        </w:r>
        <w:r w:rsidR="007946ED" w:rsidRPr="00392EDD">
          <w:rPr>
            <w:rFonts w:eastAsiaTheme="minorEastAsia" w:cs="Arial"/>
            <w:b w:val="0"/>
            <w:szCs w:val="22"/>
          </w:rPr>
          <w:tab/>
        </w:r>
        <w:r w:rsidR="007946ED" w:rsidRPr="00392EDD">
          <w:rPr>
            <w:rStyle w:val="Hyperlink"/>
            <w:rFonts w:cs="Arial"/>
            <w:szCs w:val="22"/>
          </w:rPr>
          <w:t>Violence against women and girls and their health and wellbeing (concluding observations paras 28–29 and CEDAW Articles 1–4, 12 and 16)</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_Toc494372749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4</w:t>
        </w:r>
        <w:r w:rsidR="007946ED" w:rsidRPr="00392EDD">
          <w:rPr>
            <w:rFonts w:cs="Arial"/>
            <w:webHidden/>
            <w:szCs w:val="22"/>
          </w:rPr>
          <w:fldChar w:fldCharType="end"/>
        </w:r>
      </w:hyperlink>
    </w:p>
    <w:p w:rsidR="007946ED" w:rsidRPr="00392EDD" w:rsidRDefault="00EF6027">
      <w:pPr>
        <w:pStyle w:val="TOC2"/>
        <w:rPr>
          <w:rFonts w:eastAsiaTheme="minorEastAsia" w:cs="Arial"/>
          <w:b w:val="0"/>
          <w:i w:val="0"/>
          <w:sz w:val="22"/>
          <w:szCs w:val="22"/>
        </w:rPr>
      </w:pPr>
      <w:hyperlink w:anchor="_Toc494372750" w:history="1">
        <w:r w:rsidR="007946ED" w:rsidRPr="00392EDD">
          <w:rPr>
            <w:rStyle w:val="Hyperlink"/>
            <w:rFonts w:cs="Arial"/>
            <w:sz w:val="22"/>
            <w:szCs w:val="22"/>
          </w:rPr>
          <w:t>3.1</w:t>
        </w:r>
        <w:r w:rsidR="007946ED" w:rsidRPr="00392EDD">
          <w:rPr>
            <w:rFonts w:eastAsiaTheme="minorEastAsia" w:cs="Arial"/>
            <w:b w:val="0"/>
            <w:i w:val="0"/>
            <w:sz w:val="22"/>
            <w:szCs w:val="22"/>
          </w:rPr>
          <w:tab/>
        </w:r>
        <w:r w:rsidR="007946ED" w:rsidRPr="00392EDD">
          <w:rPr>
            <w:rStyle w:val="Hyperlink"/>
            <w:rFonts w:cs="Arial"/>
            <w:sz w:val="22"/>
            <w:szCs w:val="22"/>
          </w:rPr>
          <w:t>Family and domestic violence</w:t>
        </w:r>
        <w:r w:rsidR="007946ED" w:rsidRPr="00392EDD">
          <w:rPr>
            <w:rFonts w:cs="Arial"/>
            <w:webHidden/>
            <w:sz w:val="22"/>
            <w:szCs w:val="22"/>
          </w:rPr>
          <w:tab/>
        </w:r>
        <w:r w:rsidR="007946ED" w:rsidRPr="00392EDD">
          <w:rPr>
            <w:rFonts w:cs="Arial"/>
            <w:webHidden/>
            <w:sz w:val="22"/>
            <w:szCs w:val="22"/>
          </w:rPr>
          <w:fldChar w:fldCharType="begin"/>
        </w:r>
        <w:r w:rsidR="007946ED" w:rsidRPr="00392EDD">
          <w:rPr>
            <w:rFonts w:cs="Arial"/>
            <w:webHidden/>
            <w:sz w:val="22"/>
            <w:szCs w:val="22"/>
          </w:rPr>
          <w:instrText xml:space="preserve"> PAGEREF _Toc494372750 \h </w:instrText>
        </w:r>
        <w:r w:rsidR="007946ED" w:rsidRPr="00392EDD">
          <w:rPr>
            <w:rFonts w:cs="Arial"/>
            <w:webHidden/>
            <w:sz w:val="22"/>
            <w:szCs w:val="22"/>
          </w:rPr>
        </w:r>
        <w:r w:rsidR="007946ED" w:rsidRPr="00392EDD">
          <w:rPr>
            <w:rFonts w:cs="Arial"/>
            <w:webHidden/>
            <w:sz w:val="22"/>
            <w:szCs w:val="22"/>
          </w:rPr>
          <w:fldChar w:fldCharType="separate"/>
        </w:r>
        <w:r>
          <w:rPr>
            <w:rFonts w:cs="Arial"/>
            <w:webHidden/>
            <w:sz w:val="22"/>
            <w:szCs w:val="22"/>
          </w:rPr>
          <w:t>4</w:t>
        </w:r>
        <w:r w:rsidR="007946ED" w:rsidRPr="00392EDD">
          <w:rPr>
            <w:rFonts w:cs="Arial"/>
            <w:webHidden/>
            <w:sz w:val="22"/>
            <w:szCs w:val="22"/>
          </w:rPr>
          <w:fldChar w:fldCharType="end"/>
        </w:r>
      </w:hyperlink>
    </w:p>
    <w:p w:rsidR="007946ED" w:rsidRPr="00392EDD" w:rsidRDefault="00EF6027">
      <w:pPr>
        <w:pStyle w:val="TOC2"/>
        <w:rPr>
          <w:rFonts w:eastAsiaTheme="minorEastAsia" w:cs="Arial"/>
          <w:b w:val="0"/>
          <w:i w:val="0"/>
          <w:sz w:val="22"/>
          <w:szCs w:val="22"/>
        </w:rPr>
      </w:pPr>
      <w:hyperlink w:anchor="_Toc494372751" w:history="1">
        <w:r w:rsidR="007946ED" w:rsidRPr="00392EDD">
          <w:rPr>
            <w:rStyle w:val="Hyperlink"/>
            <w:rFonts w:cs="Arial"/>
            <w:sz w:val="22"/>
            <w:szCs w:val="22"/>
          </w:rPr>
          <w:t>3.2</w:t>
        </w:r>
        <w:r w:rsidR="007946ED" w:rsidRPr="00392EDD">
          <w:rPr>
            <w:rFonts w:eastAsiaTheme="minorEastAsia" w:cs="Arial"/>
            <w:b w:val="0"/>
            <w:i w:val="0"/>
            <w:sz w:val="22"/>
            <w:szCs w:val="22"/>
          </w:rPr>
          <w:tab/>
        </w:r>
        <w:r w:rsidR="007946ED" w:rsidRPr="00392EDD">
          <w:rPr>
            <w:rStyle w:val="Hyperlink"/>
            <w:rFonts w:cs="Arial"/>
            <w:sz w:val="22"/>
            <w:szCs w:val="22"/>
          </w:rPr>
          <w:t>Violence against Aboriginal and Torres Strait Islander women (concluding observations paras 40–41 and CEDAW Articles 1 and 16)</w:t>
        </w:r>
        <w:r w:rsidR="007946ED" w:rsidRPr="00392EDD">
          <w:rPr>
            <w:rFonts w:cs="Arial"/>
            <w:webHidden/>
            <w:sz w:val="22"/>
            <w:szCs w:val="22"/>
          </w:rPr>
          <w:tab/>
        </w:r>
        <w:r w:rsidR="007946ED" w:rsidRPr="00392EDD">
          <w:rPr>
            <w:rFonts w:cs="Arial"/>
            <w:webHidden/>
            <w:sz w:val="22"/>
            <w:szCs w:val="22"/>
          </w:rPr>
          <w:fldChar w:fldCharType="begin"/>
        </w:r>
        <w:r w:rsidR="007946ED" w:rsidRPr="00392EDD">
          <w:rPr>
            <w:rFonts w:cs="Arial"/>
            <w:webHidden/>
            <w:sz w:val="22"/>
            <w:szCs w:val="22"/>
          </w:rPr>
          <w:instrText xml:space="preserve"> PAGEREF _Toc494372751 \h </w:instrText>
        </w:r>
        <w:r w:rsidR="007946ED" w:rsidRPr="00392EDD">
          <w:rPr>
            <w:rFonts w:cs="Arial"/>
            <w:webHidden/>
            <w:sz w:val="22"/>
            <w:szCs w:val="22"/>
          </w:rPr>
        </w:r>
        <w:r w:rsidR="007946ED" w:rsidRPr="00392EDD">
          <w:rPr>
            <w:rFonts w:cs="Arial"/>
            <w:webHidden/>
            <w:sz w:val="22"/>
            <w:szCs w:val="22"/>
          </w:rPr>
          <w:fldChar w:fldCharType="separate"/>
        </w:r>
        <w:r>
          <w:rPr>
            <w:rFonts w:cs="Arial"/>
            <w:webHidden/>
            <w:sz w:val="22"/>
            <w:szCs w:val="22"/>
          </w:rPr>
          <w:t>4</w:t>
        </w:r>
        <w:r w:rsidR="007946ED" w:rsidRPr="00392EDD">
          <w:rPr>
            <w:rFonts w:cs="Arial"/>
            <w:webHidden/>
            <w:sz w:val="22"/>
            <w:szCs w:val="22"/>
          </w:rPr>
          <w:fldChar w:fldCharType="end"/>
        </w:r>
      </w:hyperlink>
    </w:p>
    <w:p w:rsidR="007946ED" w:rsidRPr="00392EDD" w:rsidRDefault="00EF6027">
      <w:pPr>
        <w:pStyle w:val="TOC2"/>
        <w:rPr>
          <w:rFonts w:eastAsiaTheme="minorEastAsia" w:cs="Arial"/>
          <w:b w:val="0"/>
          <w:i w:val="0"/>
          <w:sz w:val="22"/>
          <w:szCs w:val="22"/>
        </w:rPr>
      </w:pPr>
      <w:hyperlink w:anchor="_Toc494372752" w:history="1">
        <w:r w:rsidR="007946ED" w:rsidRPr="00392EDD">
          <w:rPr>
            <w:rStyle w:val="Hyperlink"/>
            <w:rFonts w:cs="Arial"/>
            <w:sz w:val="22"/>
            <w:szCs w:val="22"/>
          </w:rPr>
          <w:t>3.3</w:t>
        </w:r>
        <w:r w:rsidR="007946ED" w:rsidRPr="00392EDD">
          <w:rPr>
            <w:rFonts w:eastAsiaTheme="minorEastAsia" w:cs="Arial"/>
            <w:b w:val="0"/>
            <w:i w:val="0"/>
            <w:sz w:val="22"/>
            <w:szCs w:val="22"/>
          </w:rPr>
          <w:tab/>
        </w:r>
        <w:r w:rsidR="007946ED" w:rsidRPr="00392EDD">
          <w:rPr>
            <w:rStyle w:val="Hyperlink"/>
            <w:rFonts w:cs="Arial"/>
            <w:sz w:val="22"/>
            <w:szCs w:val="22"/>
          </w:rPr>
          <w:t>Violence against women and girls with disability (concluding observations paras 42–43 and CEDAW Articles 1 and 16)</w:t>
        </w:r>
        <w:r w:rsidR="007946ED" w:rsidRPr="00392EDD">
          <w:rPr>
            <w:rFonts w:cs="Arial"/>
            <w:webHidden/>
            <w:sz w:val="22"/>
            <w:szCs w:val="22"/>
          </w:rPr>
          <w:tab/>
        </w:r>
        <w:r w:rsidR="007946ED" w:rsidRPr="00392EDD">
          <w:rPr>
            <w:rFonts w:cs="Arial"/>
            <w:webHidden/>
            <w:sz w:val="22"/>
            <w:szCs w:val="22"/>
          </w:rPr>
          <w:fldChar w:fldCharType="begin"/>
        </w:r>
        <w:r w:rsidR="007946ED" w:rsidRPr="00392EDD">
          <w:rPr>
            <w:rFonts w:cs="Arial"/>
            <w:webHidden/>
            <w:sz w:val="22"/>
            <w:szCs w:val="22"/>
          </w:rPr>
          <w:instrText xml:space="preserve"> PAGEREF _Toc494372752 \h </w:instrText>
        </w:r>
        <w:r w:rsidR="007946ED" w:rsidRPr="00392EDD">
          <w:rPr>
            <w:rFonts w:cs="Arial"/>
            <w:webHidden/>
            <w:sz w:val="22"/>
            <w:szCs w:val="22"/>
          </w:rPr>
        </w:r>
        <w:r w:rsidR="007946ED" w:rsidRPr="00392EDD">
          <w:rPr>
            <w:rFonts w:cs="Arial"/>
            <w:webHidden/>
            <w:sz w:val="22"/>
            <w:szCs w:val="22"/>
          </w:rPr>
          <w:fldChar w:fldCharType="separate"/>
        </w:r>
        <w:r>
          <w:rPr>
            <w:rFonts w:cs="Arial"/>
            <w:webHidden/>
            <w:sz w:val="22"/>
            <w:szCs w:val="22"/>
          </w:rPr>
          <w:t>5</w:t>
        </w:r>
        <w:r w:rsidR="007946ED" w:rsidRPr="00392EDD">
          <w:rPr>
            <w:rFonts w:cs="Arial"/>
            <w:webHidden/>
            <w:sz w:val="22"/>
            <w:szCs w:val="22"/>
          </w:rPr>
          <w:fldChar w:fldCharType="end"/>
        </w:r>
      </w:hyperlink>
    </w:p>
    <w:p w:rsidR="007946ED" w:rsidRPr="00392EDD" w:rsidRDefault="00EF6027">
      <w:pPr>
        <w:pStyle w:val="TOC2"/>
        <w:rPr>
          <w:rFonts w:eastAsiaTheme="minorEastAsia" w:cs="Arial"/>
          <w:b w:val="0"/>
          <w:i w:val="0"/>
          <w:sz w:val="22"/>
          <w:szCs w:val="22"/>
        </w:rPr>
      </w:pPr>
      <w:hyperlink w:anchor="_Toc494372753" w:history="1">
        <w:r w:rsidR="007946ED" w:rsidRPr="00392EDD">
          <w:rPr>
            <w:rStyle w:val="Hyperlink"/>
            <w:rFonts w:cs="Arial"/>
            <w:sz w:val="22"/>
            <w:szCs w:val="22"/>
          </w:rPr>
          <w:t>3.4</w:t>
        </w:r>
        <w:r w:rsidR="007946ED" w:rsidRPr="00392EDD">
          <w:rPr>
            <w:rFonts w:eastAsiaTheme="minorEastAsia" w:cs="Arial"/>
            <w:b w:val="0"/>
            <w:i w:val="0"/>
            <w:sz w:val="22"/>
            <w:szCs w:val="22"/>
          </w:rPr>
          <w:tab/>
        </w:r>
        <w:r w:rsidR="007946ED" w:rsidRPr="00392EDD">
          <w:rPr>
            <w:rStyle w:val="Hyperlink"/>
            <w:rFonts w:cs="Arial"/>
            <w:sz w:val="22"/>
            <w:szCs w:val="22"/>
          </w:rPr>
          <w:t>Sexual harassment and sexual assault in the workplace and in university settings</w:t>
        </w:r>
        <w:r w:rsidR="007946ED" w:rsidRPr="00392EDD">
          <w:rPr>
            <w:rFonts w:cs="Arial"/>
            <w:webHidden/>
            <w:sz w:val="22"/>
            <w:szCs w:val="22"/>
          </w:rPr>
          <w:tab/>
        </w:r>
        <w:r w:rsidR="007946ED" w:rsidRPr="00392EDD">
          <w:rPr>
            <w:rFonts w:cs="Arial"/>
            <w:webHidden/>
            <w:sz w:val="22"/>
            <w:szCs w:val="22"/>
          </w:rPr>
          <w:fldChar w:fldCharType="begin"/>
        </w:r>
        <w:r w:rsidR="007946ED" w:rsidRPr="00392EDD">
          <w:rPr>
            <w:rFonts w:cs="Arial"/>
            <w:webHidden/>
            <w:sz w:val="22"/>
            <w:szCs w:val="22"/>
          </w:rPr>
          <w:instrText xml:space="preserve"> PAGEREF _Toc494372753 \h </w:instrText>
        </w:r>
        <w:r w:rsidR="007946ED" w:rsidRPr="00392EDD">
          <w:rPr>
            <w:rFonts w:cs="Arial"/>
            <w:webHidden/>
            <w:sz w:val="22"/>
            <w:szCs w:val="22"/>
          </w:rPr>
        </w:r>
        <w:r w:rsidR="007946ED" w:rsidRPr="00392EDD">
          <w:rPr>
            <w:rFonts w:cs="Arial"/>
            <w:webHidden/>
            <w:sz w:val="22"/>
            <w:szCs w:val="22"/>
          </w:rPr>
          <w:fldChar w:fldCharType="separate"/>
        </w:r>
        <w:r>
          <w:rPr>
            <w:rFonts w:cs="Arial"/>
            <w:webHidden/>
            <w:sz w:val="22"/>
            <w:szCs w:val="22"/>
          </w:rPr>
          <w:t>6</w:t>
        </w:r>
        <w:r w:rsidR="007946ED" w:rsidRPr="00392EDD">
          <w:rPr>
            <w:rFonts w:cs="Arial"/>
            <w:webHidden/>
            <w:sz w:val="22"/>
            <w:szCs w:val="22"/>
          </w:rPr>
          <w:fldChar w:fldCharType="end"/>
        </w:r>
      </w:hyperlink>
    </w:p>
    <w:p w:rsidR="007946ED" w:rsidRPr="00392EDD" w:rsidRDefault="00EF6027">
      <w:pPr>
        <w:pStyle w:val="TOC2"/>
        <w:rPr>
          <w:rFonts w:eastAsiaTheme="minorEastAsia" w:cs="Arial"/>
          <w:b w:val="0"/>
          <w:i w:val="0"/>
          <w:sz w:val="22"/>
          <w:szCs w:val="22"/>
        </w:rPr>
      </w:pPr>
      <w:hyperlink w:anchor="_Toc494372754" w:history="1">
        <w:r w:rsidR="007946ED" w:rsidRPr="00392EDD">
          <w:rPr>
            <w:rStyle w:val="Hyperlink"/>
            <w:rFonts w:cs="Arial"/>
            <w:sz w:val="22"/>
            <w:szCs w:val="22"/>
          </w:rPr>
          <w:t>3.5</w:t>
        </w:r>
        <w:r w:rsidR="007946ED" w:rsidRPr="00392EDD">
          <w:rPr>
            <w:rFonts w:eastAsiaTheme="minorEastAsia" w:cs="Arial"/>
            <w:b w:val="0"/>
            <w:i w:val="0"/>
            <w:sz w:val="22"/>
            <w:szCs w:val="22"/>
          </w:rPr>
          <w:tab/>
        </w:r>
        <w:r w:rsidR="007946ED" w:rsidRPr="00392EDD">
          <w:rPr>
            <w:rStyle w:val="Hyperlink"/>
            <w:rFonts w:cs="Arial"/>
            <w:sz w:val="22"/>
            <w:szCs w:val="22"/>
          </w:rPr>
          <w:t>Health and wellbeing of women and girls</w:t>
        </w:r>
        <w:r w:rsidR="007946ED" w:rsidRPr="00392EDD">
          <w:rPr>
            <w:rFonts w:cs="Arial"/>
            <w:webHidden/>
            <w:sz w:val="22"/>
            <w:szCs w:val="22"/>
          </w:rPr>
          <w:tab/>
        </w:r>
        <w:r w:rsidR="007946ED" w:rsidRPr="00392EDD">
          <w:rPr>
            <w:rFonts w:cs="Arial"/>
            <w:webHidden/>
            <w:sz w:val="22"/>
            <w:szCs w:val="22"/>
          </w:rPr>
          <w:fldChar w:fldCharType="begin"/>
        </w:r>
        <w:r w:rsidR="007946ED" w:rsidRPr="00392EDD">
          <w:rPr>
            <w:rFonts w:cs="Arial"/>
            <w:webHidden/>
            <w:sz w:val="22"/>
            <w:szCs w:val="22"/>
          </w:rPr>
          <w:instrText xml:space="preserve"> PAGEREF _Toc494372754 \h </w:instrText>
        </w:r>
        <w:r w:rsidR="007946ED" w:rsidRPr="00392EDD">
          <w:rPr>
            <w:rFonts w:cs="Arial"/>
            <w:webHidden/>
            <w:sz w:val="22"/>
            <w:szCs w:val="22"/>
          </w:rPr>
        </w:r>
        <w:r w:rsidR="007946ED" w:rsidRPr="00392EDD">
          <w:rPr>
            <w:rFonts w:cs="Arial"/>
            <w:webHidden/>
            <w:sz w:val="22"/>
            <w:szCs w:val="22"/>
          </w:rPr>
          <w:fldChar w:fldCharType="separate"/>
        </w:r>
        <w:r>
          <w:rPr>
            <w:rFonts w:cs="Arial"/>
            <w:webHidden/>
            <w:sz w:val="22"/>
            <w:szCs w:val="22"/>
          </w:rPr>
          <w:t>6</w:t>
        </w:r>
        <w:r w:rsidR="007946ED" w:rsidRPr="00392EDD">
          <w:rPr>
            <w:rFonts w:cs="Arial"/>
            <w:webHidden/>
            <w:sz w:val="22"/>
            <w:szCs w:val="22"/>
          </w:rPr>
          <w:fldChar w:fldCharType="end"/>
        </w:r>
      </w:hyperlink>
    </w:p>
    <w:p w:rsidR="007946ED" w:rsidRPr="00392EDD" w:rsidRDefault="00EF6027">
      <w:pPr>
        <w:pStyle w:val="TOC1"/>
        <w:rPr>
          <w:rFonts w:eastAsiaTheme="minorEastAsia" w:cs="Arial"/>
          <w:b w:val="0"/>
          <w:szCs w:val="22"/>
        </w:rPr>
      </w:pPr>
      <w:hyperlink w:anchor="_Toc494372755" w:history="1">
        <w:r w:rsidR="007946ED" w:rsidRPr="00392EDD">
          <w:rPr>
            <w:rStyle w:val="Hyperlink"/>
            <w:rFonts w:cs="Arial"/>
            <w:szCs w:val="22"/>
          </w:rPr>
          <w:t>4</w:t>
        </w:r>
        <w:r w:rsidR="007946ED" w:rsidRPr="00392EDD">
          <w:rPr>
            <w:rFonts w:eastAsiaTheme="minorEastAsia" w:cs="Arial"/>
            <w:b w:val="0"/>
            <w:szCs w:val="22"/>
          </w:rPr>
          <w:tab/>
        </w:r>
        <w:r w:rsidR="007946ED" w:rsidRPr="00392EDD">
          <w:rPr>
            <w:rStyle w:val="Hyperlink"/>
            <w:rFonts w:cs="Arial"/>
            <w:szCs w:val="22"/>
          </w:rPr>
          <w:t>Medical interventions involving intersex women and girls (CEDAW Articles 2, 5)</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_Toc494372755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7</w:t>
        </w:r>
        <w:r w:rsidR="007946ED" w:rsidRPr="00392EDD">
          <w:rPr>
            <w:rFonts w:cs="Arial"/>
            <w:webHidden/>
            <w:szCs w:val="22"/>
          </w:rPr>
          <w:fldChar w:fldCharType="end"/>
        </w:r>
      </w:hyperlink>
    </w:p>
    <w:p w:rsidR="007946ED" w:rsidRPr="00392EDD" w:rsidRDefault="00EF6027">
      <w:pPr>
        <w:pStyle w:val="TOC1"/>
        <w:rPr>
          <w:rFonts w:eastAsiaTheme="minorEastAsia" w:cs="Arial"/>
          <w:b w:val="0"/>
          <w:szCs w:val="22"/>
        </w:rPr>
      </w:pPr>
      <w:hyperlink w:anchor="_Toc494372756" w:history="1">
        <w:r w:rsidR="007946ED" w:rsidRPr="00392EDD">
          <w:rPr>
            <w:rStyle w:val="Hyperlink"/>
            <w:rFonts w:cs="Arial"/>
            <w:szCs w:val="22"/>
          </w:rPr>
          <w:t>5</w:t>
        </w:r>
        <w:r w:rsidR="007946ED" w:rsidRPr="00392EDD">
          <w:rPr>
            <w:rFonts w:eastAsiaTheme="minorEastAsia" w:cs="Arial"/>
            <w:b w:val="0"/>
            <w:szCs w:val="22"/>
          </w:rPr>
          <w:tab/>
        </w:r>
        <w:r w:rsidR="007946ED" w:rsidRPr="00392EDD">
          <w:rPr>
            <w:rStyle w:val="Hyperlink"/>
            <w:rFonts w:cs="Arial"/>
            <w:szCs w:val="22"/>
          </w:rPr>
          <w:t>Discrimination faced by Muslim women (CEDAW Articles 1-3)</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_Toc494372756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7</w:t>
        </w:r>
        <w:r w:rsidR="007946ED" w:rsidRPr="00392EDD">
          <w:rPr>
            <w:rFonts w:cs="Arial"/>
            <w:webHidden/>
            <w:szCs w:val="22"/>
          </w:rPr>
          <w:fldChar w:fldCharType="end"/>
        </w:r>
      </w:hyperlink>
    </w:p>
    <w:p w:rsidR="007946ED" w:rsidRPr="00392EDD" w:rsidRDefault="00EF6027">
      <w:pPr>
        <w:pStyle w:val="TOC1"/>
        <w:rPr>
          <w:rFonts w:eastAsiaTheme="minorEastAsia" w:cs="Arial"/>
          <w:b w:val="0"/>
          <w:szCs w:val="22"/>
        </w:rPr>
      </w:pPr>
      <w:hyperlink w:anchor="_Toc494372757" w:history="1">
        <w:r w:rsidR="007946ED" w:rsidRPr="00392EDD">
          <w:rPr>
            <w:rStyle w:val="Hyperlink"/>
            <w:rFonts w:cs="Arial"/>
            <w:szCs w:val="22"/>
          </w:rPr>
          <w:t>6</w:t>
        </w:r>
        <w:r w:rsidR="007946ED" w:rsidRPr="00392EDD">
          <w:rPr>
            <w:rFonts w:eastAsiaTheme="minorEastAsia" w:cs="Arial"/>
            <w:b w:val="0"/>
            <w:szCs w:val="22"/>
          </w:rPr>
          <w:tab/>
        </w:r>
        <w:r w:rsidR="007946ED" w:rsidRPr="00392EDD">
          <w:rPr>
            <w:rStyle w:val="Hyperlink"/>
            <w:rFonts w:cs="Arial"/>
            <w:szCs w:val="22"/>
          </w:rPr>
          <w:t>Women in rural, regional and remote areas (CEDAW Article 14)</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_Toc494372757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8</w:t>
        </w:r>
        <w:r w:rsidR="007946ED" w:rsidRPr="00392EDD">
          <w:rPr>
            <w:rFonts w:cs="Arial"/>
            <w:webHidden/>
            <w:szCs w:val="22"/>
          </w:rPr>
          <w:fldChar w:fldCharType="end"/>
        </w:r>
      </w:hyperlink>
    </w:p>
    <w:p w:rsidR="007946ED" w:rsidRPr="00392EDD" w:rsidRDefault="00EF6027">
      <w:pPr>
        <w:pStyle w:val="TOC1"/>
        <w:rPr>
          <w:rFonts w:eastAsiaTheme="minorEastAsia" w:cs="Arial"/>
          <w:b w:val="0"/>
          <w:szCs w:val="22"/>
        </w:rPr>
      </w:pPr>
      <w:hyperlink w:anchor="_Toc494372758" w:history="1">
        <w:r w:rsidR="007946ED" w:rsidRPr="00392EDD">
          <w:rPr>
            <w:rStyle w:val="Hyperlink"/>
            <w:rFonts w:cs="Arial"/>
            <w:szCs w:val="22"/>
          </w:rPr>
          <w:t>7</w:t>
        </w:r>
        <w:r w:rsidR="007946ED" w:rsidRPr="00392EDD">
          <w:rPr>
            <w:rFonts w:eastAsiaTheme="minorEastAsia" w:cs="Arial"/>
            <w:b w:val="0"/>
            <w:szCs w:val="22"/>
          </w:rPr>
          <w:tab/>
        </w:r>
        <w:r w:rsidR="007946ED" w:rsidRPr="00392EDD">
          <w:rPr>
            <w:rStyle w:val="Hyperlink"/>
            <w:rFonts w:cs="Arial"/>
            <w:szCs w:val="22"/>
          </w:rPr>
          <w:t>Older women and homelessness (CEDAW Articles 1 and 11)</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_Toc494372758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8</w:t>
        </w:r>
        <w:r w:rsidR="007946ED" w:rsidRPr="00392EDD">
          <w:rPr>
            <w:rFonts w:cs="Arial"/>
            <w:webHidden/>
            <w:szCs w:val="22"/>
          </w:rPr>
          <w:fldChar w:fldCharType="end"/>
        </w:r>
      </w:hyperlink>
    </w:p>
    <w:p w:rsidR="007946ED" w:rsidRPr="00392EDD" w:rsidRDefault="00EF6027">
      <w:pPr>
        <w:pStyle w:val="TOC1"/>
        <w:rPr>
          <w:rFonts w:eastAsiaTheme="minorEastAsia" w:cs="Arial"/>
          <w:b w:val="0"/>
          <w:szCs w:val="22"/>
        </w:rPr>
      </w:pPr>
      <w:hyperlink w:anchor="_Toc494372759" w:history="1">
        <w:r w:rsidR="007946ED" w:rsidRPr="00392EDD">
          <w:rPr>
            <w:rStyle w:val="Hyperlink"/>
            <w:rFonts w:cs="Arial"/>
            <w:szCs w:val="22"/>
          </w:rPr>
          <w:t>8</w:t>
        </w:r>
        <w:r w:rsidR="007946ED" w:rsidRPr="00392EDD">
          <w:rPr>
            <w:rFonts w:eastAsiaTheme="minorEastAsia" w:cs="Arial"/>
            <w:b w:val="0"/>
            <w:szCs w:val="22"/>
          </w:rPr>
          <w:tab/>
        </w:r>
        <w:r w:rsidR="007946ED" w:rsidRPr="00392EDD">
          <w:rPr>
            <w:rStyle w:val="Hyperlink"/>
            <w:rFonts w:cs="Arial"/>
            <w:szCs w:val="22"/>
          </w:rPr>
          <w:t>Human trafficking and modern slavery (concluding observations paras 30–31 and CEDAW Article 6)</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_Toc494372759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9</w:t>
        </w:r>
        <w:r w:rsidR="007946ED" w:rsidRPr="00392EDD">
          <w:rPr>
            <w:rFonts w:cs="Arial"/>
            <w:webHidden/>
            <w:szCs w:val="22"/>
          </w:rPr>
          <w:fldChar w:fldCharType="end"/>
        </w:r>
      </w:hyperlink>
    </w:p>
    <w:p w:rsidR="007946ED" w:rsidRPr="00392EDD" w:rsidRDefault="00EF6027">
      <w:pPr>
        <w:pStyle w:val="TOC1"/>
        <w:rPr>
          <w:rFonts w:eastAsiaTheme="minorEastAsia" w:cs="Arial"/>
          <w:b w:val="0"/>
          <w:szCs w:val="22"/>
        </w:rPr>
      </w:pPr>
      <w:hyperlink w:anchor="_Toc494372760" w:history="1">
        <w:r w:rsidR="007946ED" w:rsidRPr="00392EDD">
          <w:rPr>
            <w:rStyle w:val="Hyperlink"/>
            <w:rFonts w:cs="Arial"/>
            <w:szCs w:val="22"/>
          </w:rPr>
          <w:t>9</w:t>
        </w:r>
        <w:r w:rsidR="007946ED" w:rsidRPr="00392EDD">
          <w:rPr>
            <w:rFonts w:eastAsiaTheme="minorEastAsia" w:cs="Arial"/>
            <w:b w:val="0"/>
            <w:szCs w:val="22"/>
          </w:rPr>
          <w:tab/>
        </w:r>
        <w:r w:rsidR="007946ED" w:rsidRPr="00392EDD">
          <w:rPr>
            <w:rStyle w:val="Hyperlink"/>
            <w:rFonts w:cs="Arial"/>
            <w:szCs w:val="22"/>
          </w:rPr>
          <w:t>Aboriginal and Torres Strait Islander women’s rights (CEDAW Articles 1–4, 11, 13 and 15)</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_Toc494372760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10</w:t>
        </w:r>
        <w:r w:rsidR="007946ED" w:rsidRPr="00392EDD">
          <w:rPr>
            <w:rFonts w:cs="Arial"/>
            <w:webHidden/>
            <w:szCs w:val="22"/>
          </w:rPr>
          <w:fldChar w:fldCharType="end"/>
        </w:r>
      </w:hyperlink>
    </w:p>
    <w:p w:rsidR="007946ED" w:rsidRPr="00392EDD" w:rsidRDefault="00EF6027">
      <w:pPr>
        <w:pStyle w:val="TOC2"/>
        <w:rPr>
          <w:rFonts w:eastAsiaTheme="minorEastAsia" w:cs="Arial"/>
          <w:b w:val="0"/>
          <w:i w:val="0"/>
          <w:sz w:val="22"/>
          <w:szCs w:val="22"/>
        </w:rPr>
      </w:pPr>
      <w:hyperlink w:anchor="_Toc494372761" w:history="1">
        <w:r w:rsidR="007946ED" w:rsidRPr="00392EDD">
          <w:rPr>
            <w:rStyle w:val="Hyperlink"/>
            <w:rFonts w:cs="Arial"/>
            <w:sz w:val="22"/>
            <w:szCs w:val="22"/>
          </w:rPr>
          <w:t>9.1</w:t>
        </w:r>
        <w:r w:rsidR="007946ED" w:rsidRPr="00392EDD">
          <w:rPr>
            <w:rFonts w:eastAsiaTheme="minorEastAsia" w:cs="Arial"/>
            <w:b w:val="0"/>
            <w:i w:val="0"/>
            <w:sz w:val="22"/>
            <w:szCs w:val="22"/>
          </w:rPr>
          <w:tab/>
        </w:r>
        <w:r w:rsidR="007946ED" w:rsidRPr="00392EDD">
          <w:rPr>
            <w:rStyle w:val="Hyperlink"/>
            <w:rFonts w:cs="Arial"/>
            <w:sz w:val="22"/>
            <w:szCs w:val="22"/>
          </w:rPr>
          <w:t>Incarceration of Aboriginal and Torres Strait Islander women</w:t>
        </w:r>
        <w:r w:rsidR="007946ED" w:rsidRPr="00392EDD">
          <w:rPr>
            <w:rFonts w:cs="Arial"/>
            <w:webHidden/>
            <w:sz w:val="22"/>
            <w:szCs w:val="22"/>
          </w:rPr>
          <w:tab/>
        </w:r>
        <w:r w:rsidR="007946ED" w:rsidRPr="00392EDD">
          <w:rPr>
            <w:rFonts w:cs="Arial"/>
            <w:webHidden/>
            <w:sz w:val="22"/>
            <w:szCs w:val="22"/>
          </w:rPr>
          <w:fldChar w:fldCharType="begin"/>
        </w:r>
        <w:r w:rsidR="007946ED" w:rsidRPr="00392EDD">
          <w:rPr>
            <w:rFonts w:cs="Arial"/>
            <w:webHidden/>
            <w:sz w:val="22"/>
            <w:szCs w:val="22"/>
          </w:rPr>
          <w:instrText xml:space="preserve"> PAGEREF _Toc494372761 \h </w:instrText>
        </w:r>
        <w:r w:rsidR="007946ED" w:rsidRPr="00392EDD">
          <w:rPr>
            <w:rFonts w:cs="Arial"/>
            <w:webHidden/>
            <w:sz w:val="22"/>
            <w:szCs w:val="22"/>
          </w:rPr>
        </w:r>
        <w:r w:rsidR="007946ED" w:rsidRPr="00392EDD">
          <w:rPr>
            <w:rFonts w:cs="Arial"/>
            <w:webHidden/>
            <w:sz w:val="22"/>
            <w:szCs w:val="22"/>
          </w:rPr>
          <w:fldChar w:fldCharType="separate"/>
        </w:r>
        <w:r>
          <w:rPr>
            <w:rFonts w:cs="Arial"/>
            <w:webHidden/>
            <w:sz w:val="22"/>
            <w:szCs w:val="22"/>
          </w:rPr>
          <w:t>10</w:t>
        </w:r>
        <w:r w:rsidR="007946ED" w:rsidRPr="00392EDD">
          <w:rPr>
            <w:rFonts w:cs="Arial"/>
            <w:webHidden/>
            <w:sz w:val="22"/>
            <w:szCs w:val="22"/>
          </w:rPr>
          <w:fldChar w:fldCharType="end"/>
        </w:r>
      </w:hyperlink>
    </w:p>
    <w:p w:rsidR="007946ED" w:rsidRPr="00392EDD" w:rsidRDefault="00EF6027">
      <w:pPr>
        <w:pStyle w:val="TOC2"/>
        <w:rPr>
          <w:rFonts w:eastAsiaTheme="minorEastAsia" w:cs="Arial"/>
          <w:b w:val="0"/>
          <w:i w:val="0"/>
          <w:sz w:val="22"/>
          <w:szCs w:val="22"/>
        </w:rPr>
      </w:pPr>
      <w:hyperlink w:anchor="_Toc494372762" w:history="1">
        <w:r w:rsidR="007946ED" w:rsidRPr="00392EDD">
          <w:rPr>
            <w:rStyle w:val="Hyperlink"/>
            <w:rFonts w:cs="Arial"/>
            <w:sz w:val="22"/>
            <w:szCs w:val="22"/>
          </w:rPr>
          <w:t>9.2</w:t>
        </w:r>
        <w:r w:rsidR="007946ED" w:rsidRPr="00392EDD">
          <w:rPr>
            <w:rFonts w:eastAsiaTheme="minorEastAsia" w:cs="Arial"/>
            <w:b w:val="0"/>
            <w:i w:val="0"/>
            <w:sz w:val="22"/>
            <w:szCs w:val="22"/>
          </w:rPr>
          <w:tab/>
        </w:r>
        <w:r w:rsidR="007946ED" w:rsidRPr="00392EDD">
          <w:rPr>
            <w:rStyle w:val="Hyperlink"/>
            <w:rFonts w:cs="Arial"/>
            <w:sz w:val="22"/>
            <w:szCs w:val="22"/>
          </w:rPr>
          <w:t>Supporting Aboriginal and Torres Strait Islander women and their families</w:t>
        </w:r>
        <w:r w:rsidR="007946ED" w:rsidRPr="00392EDD">
          <w:rPr>
            <w:rFonts w:cs="Arial"/>
            <w:webHidden/>
            <w:sz w:val="22"/>
            <w:szCs w:val="22"/>
          </w:rPr>
          <w:tab/>
        </w:r>
        <w:r w:rsidR="007946ED" w:rsidRPr="00392EDD">
          <w:rPr>
            <w:rFonts w:cs="Arial"/>
            <w:webHidden/>
            <w:sz w:val="22"/>
            <w:szCs w:val="22"/>
          </w:rPr>
          <w:fldChar w:fldCharType="begin"/>
        </w:r>
        <w:r w:rsidR="007946ED" w:rsidRPr="00392EDD">
          <w:rPr>
            <w:rFonts w:cs="Arial"/>
            <w:webHidden/>
            <w:sz w:val="22"/>
            <w:szCs w:val="22"/>
          </w:rPr>
          <w:instrText xml:space="preserve"> PAGEREF _Toc494372762 \h </w:instrText>
        </w:r>
        <w:r w:rsidR="007946ED" w:rsidRPr="00392EDD">
          <w:rPr>
            <w:rFonts w:cs="Arial"/>
            <w:webHidden/>
            <w:sz w:val="22"/>
            <w:szCs w:val="22"/>
          </w:rPr>
        </w:r>
        <w:r w:rsidR="007946ED" w:rsidRPr="00392EDD">
          <w:rPr>
            <w:rFonts w:cs="Arial"/>
            <w:webHidden/>
            <w:sz w:val="22"/>
            <w:szCs w:val="22"/>
          </w:rPr>
          <w:fldChar w:fldCharType="separate"/>
        </w:r>
        <w:r>
          <w:rPr>
            <w:rFonts w:cs="Arial"/>
            <w:webHidden/>
            <w:sz w:val="22"/>
            <w:szCs w:val="22"/>
          </w:rPr>
          <w:t>11</w:t>
        </w:r>
        <w:r w:rsidR="007946ED" w:rsidRPr="00392EDD">
          <w:rPr>
            <w:rFonts w:cs="Arial"/>
            <w:webHidden/>
            <w:sz w:val="22"/>
            <w:szCs w:val="22"/>
          </w:rPr>
          <w:fldChar w:fldCharType="end"/>
        </w:r>
      </w:hyperlink>
    </w:p>
    <w:p w:rsidR="007946ED" w:rsidRPr="00392EDD" w:rsidRDefault="00EF6027">
      <w:pPr>
        <w:pStyle w:val="TOC2"/>
        <w:rPr>
          <w:rFonts w:eastAsiaTheme="minorEastAsia" w:cs="Arial"/>
          <w:b w:val="0"/>
          <w:i w:val="0"/>
          <w:sz w:val="22"/>
          <w:szCs w:val="22"/>
        </w:rPr>
      </w:pPr>
      <w:hyperlink w:anchor="_Toc494372763" w:history="1">
        <w:r w:rsidR="007946ED" w:rsidRPr="00392EDD">
          <w:rPr>
            <w:rStyle w:val="Hyperlink"/>
            <w:rFonts w:cs="Arial"/>
            <w:sz w:val="22"/>
            <w:szCs w:val="22"/>
          </w:rPr>
          <w:t>9.3</w:t>
        </w:r>
        <w:r w:rsidR="007946ED" w:rsidRPr="00392EDD">
          <w:rPr>
            <w:rFonts w:eastAsiaTheme="minorEastAsia" w:cs="Arial"/>
            <w:b w:val="0"/>
            <w:i w:val="0"/>
            <w:sz w:val="22"/>
            <w:szCs w:val="22"/>
          </w:rPr>
          <w:tab/>
        </w:r>
        <w:r w:rsidR="007946ED" w:rsidRPr="00392EDD">
          <w:rPr>
            <w:rStyle w:val="Hyperlink"/>
            <w:rFonts w:cs="Arial"/>
            <w:sz w:val="22"/>
            <w:szCs w:val="22"/>
          </w:rPr>
          <w:t>Social security</w:t>
        </w:r>
        <w:r w:rsidR="007946ED" w:rsidRPr="00392EDD">
          <w:rPr>
            <w:rFonts w:cs="Arial"/>
            <w:webHidden/>
            <w:sz w:val="22"/>
            <w:szCs w:val="22"/>
          </w:rPr>
          <w:tab/>
        </w:r>
        <w:r w:rsidR="007946ED" w:rsidRPr="00392EDD">
          <w:rPr>
            <w:rFonts w:cs="Arial"/>
            <w:webHidden/>
            <w:sz w:val="22"/>
            <w:szCs w:val="22"/>
          </w:rPr>
          <w:fldChar w:fldCharType="begin"/>
        </w:r>
        <w:r w:rsidR="007946ED" w:rsidRPr="00392EDD">
          <w:rPr>
            <w:rFonts w:cs="Arial"/>
            <w:webHidden/>
            <w:sz w:val="22"/>
            <w:szCs w:val="22"/>
          </w:rPr>
          <w:instrText xml:space="preserve"> PAGEREF _Toc494372763 \h </w:instrText>
        </w:r>
        <w:r w:rsidR="007946ED" w:rsidRPr="00392EDD">
          <w:rPr>
            <w:rFonts w:cs="Arial"/>
            <w:webHidden/>
            <w:sz w:val="22"/>
            <w:szCs w:val="22"/>
          </w:rPr>
        </w:r>
        <w:r w:rsidR="007946ED" w:rsidRPr="00392EDD">
          <w:rPr>
            <w:rFonts w:cs="Arial"/>
            <w:webHidden/>
            <w:sz w:val="22"/>
            <w:szCs w:val="22"/>
          </w:rPr>
          <w:fldChar w:fldCharType="separate"/>
        </w:r>
        <w:r>
          <w:rPr>
            <w:rFonts w:cs="Arial"/>
            <w:webHidden/>
            <w:sz w:val="22"/>
            <w:szCs w:val="22"/>
          </w:rPr>
          <w:t>11</w:t>
        </w:r>
        <w:r w:rsidR="007946ED" w:rsidRPr="00392EDD">
          <w:rPr>
            <w:rFonts w:cs="Arial"/>
            <w:webHidden/>
            <w:sz w:val="22"/>
            <w:szCs w:val="22"/>
          </w:rPr>
          <w:fldChar w:fldCharType="end"/>
        </w:r>
      </w:hyperlink>
    </w:p>
    <w:p w:rsidR="007946ED" w:rsidRPr="00392EDD" w:rsidRDefault="00EF6027">
      <w:pPr>
        <w:pStyle w:val="TOC1"/>
        <w:rPr>
          <w:rFonts w:eastAsiaTheme="minorEastAsia" w:cs="Arial"/>
          <w:b w:val="0"/>
          <w:szCs w:val="22"/>
        </w:rPr>
      </w:pPr>
      <w:hyperlink w:anchor="_Toc494372764" w:history="1">
        <w:r w:rsidR="007946ED" w:rsidRPr="00392EDD">
          <w:rPr>
            <w:rStyle w:val="Hyperlink"/>
            <w:rFonts w:cs="Arial"/>
            <w:szCs w:val="22"/>
          </w:rPr>
          <w:t>10</w:t>
        </w:r>
        <w:r w:rsidR="007946ED" w:rsidRPr="00392EDD">
          <w:rPr>
            <w:rFonts w:eastAsiaTheme="minorEastAsia" w:cs="Arial"/>
            <w:b w:val="0"/>
            <w:szCs w:val="22"/>
          </w:rPr>
          <w:tab/>
        </w:r>
        <w:r w:rsidR="007946ED" w:rsidRPr="00392EDD">
          <w:rPr>
            <w:rStyle w:val="Hyperlink"/>
            <w:rFonts w:cs="Arial"/>
            <w:szCs w:val="22"/>
          </w:rPr>
          <w:t>Immigration and citizenship (CEDAW Article 16)</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_Toc494372764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12</w:t>
        </w:r>
        <w:r w:rsidR="007946ED" w:rsidRPr="00392EDD">
          <w:rPr>
            <w:rFonts w:cs="Arial"/>
            <w:webHidden/>
            <w:szCs w:val="22"/>
          </w:rPr>
          <w:fldChar w:fldCharType="end"/>
        </w:r>
      </w:hyperlink>
    </w:p>
    <w:p w:rsidR="007946ED" w:rsidRPr="00392EDD" w:rsidRDefault="00EF6027">
      <w:pPr>
        <w:pStyle w:val="TOC1"/>
        <w:rPr>
          <w:rFonts w:eastAsiaTheme="minorEastAsia" w:cs="Arial"/>
          <w:b w:val="0"/>
          <w:szCs w:val="22"/>
        </w:rPr>
      </w:pPr>
      <w:hyperlink w:anchor="_Toc494372765" w:history="1">
        <w:r w:rsidR="007946ED" w:rsidRPr="00392EDD">
          <w:rPr>
            <w:rStyle w:val="Hyperlink"/>
            <w:rFonts w:cs="Arial"/>
            <w:szCs w:val="22"/>
          </w:rPr>
          <w:t>11</w:t>
        </w:r>
        <w:r w:rsidR="007946ED" w:rsidRPr="00392EDD">
          <w:rPr>
            <w:rFonts w:eastAsiaTheme="minorEastAsia" w:cs="Arial"/>
            <w:b w:val="0"/>
            <w:szCs w:val="22"/>
          </w:rPr>
          <w:tab/>
        </w:r>
        <w:r w:rsidR="007946ED" w:rsidRPr="00392EDD">
          <w:rPr>
            <w:rStyle w:val="Hyperlink"/>
            <w:rFonts w:cs="Arial"/>
            <w:szCs w:val="22"/>
          </w:rPr>
          <w:t>Women and work (concluding observations paras 38–39 and CEDAW Article 11)</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_Toc494372765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12</w:t>
        </w:r>
        <w:r w:rsidR="007946ED" w:rsidRPr="00392EDD">
          <w:rPr>
            <w:rFonts w:cs="Arial"/>
            <w:webHidden/>
            <w:szCs w:val="22"/>
          </w:rPr>
          <w:fldChar w:fldCharType="end"/>
        </w:r>
      </w:hyperlink>
    </w:p>
    <w:p w:rsidR="007946ED" w:rsidRPr="00392EDD" w:rsidRDefault="00EF6027">
      <w:pPr>
        <w:pStyle w:val="TOC2"/>
        <w:rPr>
          <w:rFonts w:eastAsiaTheme="minorEastAsia" w:cs="Arial"/>
          <w:b w:val="0"/>
          <w:i w:val="0"/>
          <w:sz w:val="22"/>
          <w:szCs w:val="22"/>
        </w:rPr>
      </w:pPr>
      <w:hyperlink w:anchor="_Toc494372766" w:history="1">
        <w:r w:rsidR="007946ED" w:rsidRPr="00392EDD">
          <w:rPr>
            <w:rStyle w:val="Hyperlink"/>
            <w:rFonts w:cs="Arial"/>
            <w:sz w:val="22"/>
            <w:szCs w:val="22"/>
          </w:rPr>
          <w:t>11.1</w:t>
        </w:r>
        <w:r w:rsidR="007946ED" w:rsidRPr="00392EDD">
          <w:rPr>
            <w:rFonts w:eastAsiaTheme="minorEastAsia" w:cs="Arial"/>
            <w:b w:val="0"/>
            <w:i w:val="0"/>
            <w:sz w:val="22"/>
            <w:szCs w:val="22"/>
          </w:rPr>
          <w:tab/>
        </w:r>
        <w:r w:rsidR="007946ED" w:rsidRPr="00392EDD">
          <w:rPr>
            <w:rStyle w:val="Hyperlink"/>
            <w:rFonts w:cs="Arial"/>
            <w:sz w:val="22"/>
            <w:szCs w:val="22"/>
          </w:rPr>
          <w:t>Gender segregation in the workforce</w:t>
        </w:r>
        <w:r w:rsidR="007946ED" w:rsidRPr="00392EDD">
          <w:rPr>
            <w:rFonts w:cs="Arial"/>
            <w:webHidden/>
            <w:sz w:val="22"/>
            <w:szCs w:val="22"/>
          </w:rPr>
          <w:tab/>
        </w:r>
        <w:r w:rsidR="007946ED" w:rsidRPr="00392EDD">
          <w:rPr>
            <w:rFonts w:cs="Arial"/>
            <w:webHidden/>
            <w:sz w:val="22"/>
            <w:szCs w:val="22"/>
          </w:rPr>
          <w:fldChar w:fldCharType="begin"/>
        </w:r>
        <w:r w:rsidR="007946ED" w:rsidRPr="00392EDD">
          <w:rPr>
            <w:rFonts w:cs="Arial"/>
            <w:webHidden/>
            <w:sz w:val="22"/>
            <w:szCs w:val="22"/>
          </w:rPr>
          <w:instrText xml:space="preserve"> PAGEREF _Toc494372766 \h </w:instrText>
        </w:r>
        <w:r w:rsidR="007946ED" w:rsidRPr="00392EDD">
          <w:rPr>
            <w:rFonts w:cs="Arial"/>
            <w:webHidden/>
            <w:sz w:val="22"/>
            <w:szCs w:val="22"/>
          </w:rPr>
        </w:r>
        <w:r w:rsidR="007946ED" w:rsidRPr="00392EDD">
          <w:rPr>
            <w:rFonts w:cs="Arial"/>
            <w:webHidden/>
            <w:sz w:val="22"/>
            <w:szCs w:val="22"/>
          </w:rPr>
          <w:fldChar w:fldCharType="separate"/>
        </w:r>
        <w:r>
          <w:rPr>
            <w:rFonts w:cs="Arial"/>
            <w:webHidden/>
            <w:sz w:val="22"/>
            <w:szCs w:val="22"/>
          </w:rPr>
          <w:t>13</w:t>
        </w:r>
        <w:r w:rsidR="007946ED" w:rsidRPr="00392EDD">
          <w:rPr>
            <w:rFonts w:cs="Arial"/>
            <w:webHidden/>
            <w:sz w:val="22"/>
            <w:szCs w:val="22"/>
          </w:rPr>
          <w:fldChar w:fldCharType="end"/>
        </w:r>
      </w:hyperlink>
    </w:p>
    <w:p w:rsidR="007946ED" w:rsidRPr="00392EDD" w:rsidRDefault="00EF6027">
      <w:pPr>
        <w:pStyle w:val="TOC2"/>
        <w:rPr>
          <w:rFonts w:eastAsiaTheme="minorEastAsia" w:cs="Arial"/>
          <w:b w:val="0"/>
          <w:i w:val="0"/>
          <w:sz w:val="22"/>
          <w:szCs w:val="22"/>
        </w:rPr>
      </w:pPr>
      <w:hyperlink w:anchor="_Toc494372767" w:history="1">
        <w:r w:rsidR="007946ED" w:rsidRPr="00392EDD">
          <w:rPr>
            <w:rStyle w:val="Hyperlink"/>
            <w:rFonts w:cs="Arial"/>
            <w:sz w:val="22"/>
            <w:szCs w:val="22"/>
          </w:rPr>
          <w:t>11.2</w:t>
        </w:r>
        <w:r w:rsidR="007946ED" w:rsidRPr="00392EDD">
          <w:rPr>
            <w:rFonts w:eastAsiaTheme="minorEastAsia" w:cs="Arial"/>
            <w:b w:val="0"/>
            <w:i w:val="0"/>
            <w:sz w:val="22"/>
            <w:szCs w:val="22"/>
          </w:rPr>
          <w:tab/>
        </w:r>
        <w:r w:rsidR="007946ED" w:rsidRPr="00392EDD">
          <w:rPr>
            <w:rStyle w:val="Hyperlink"/>
            <w:rFonts w:cs="Arial"/>
            <w:sz w:val="22"/>
            <w:szCs w:val="22"/>
          </w:rPr>
          <w:t>Family and domestic violence leave and related protections</w:t>
        </w:r>
        <w:r w:rsidR="007946ED" w:rsidRPr="00392EDD">
          <w:rPr>
            <w:rFonts w:cs="Arial"/>
            <w:webHidden/>
            <w:sz w:val="22"/>
            <w:szCs w:val="22"/>
          </w:rPr>
          <w:tab/>
        </w:r>
        <w:r w:rsidR="007946ED" w:rsidRPr="00392EDD">
          <w:rPr>
            <w:rFonts w:cs="Arial"/>
            <w:webHidden/>
            <w:sz w:val="22"/>
            <w:szCs w:val="22"/>
          </w:rPr>
          <w:fldChar w:fldCharType="begin"/>
        </w:r>
        <w:r w:rsidR="007946ED" w:rsidRPr="00392EDD">
          <w:rPr>
            <w:rFonts w:cs="Arial"/>
            <w:webHidden/>
            <w:sz w:val="22"/>
            <w:szCs w:val="22"/>
          </w:rPr>
          <w:instrText xml:space="preserve"> PAGEREF _Toc494372767 \h </w:instrText>
        </w:r>
        <w:r w:rsidR="007946ED" w:rsidRPr="00392EDD">
          <w:rPr>
            <w:rFonts w:cs="Arial"/>
            <w:webHidden/>
            <w:sz w:val="22"/>
            <w:szCs w:val="22"/>
          </w:rPr>
        </w:r>
        <w:r w:rsidR="007946ED" w:rsidRPr="00392EDD">
          <w:rPr>
            <w:rFonts w:cs="Arial"/>
            <w:webHidden/>
            <w:sz w:val="22"/>
            <w:szCs w:val="22"/>
          </w:rPr>
          <w:fldChar w:fldCharType="separate"/>
        </w:r>
        <w:r>
          <w:rPr>
            <w:rFonts w:cs="Arial"/>
            <w:webHidden/>
            <w:sz w:val="22"/>
            <w:szCs w:val="22"/>
          </w:rPr>
          <w:t>14</w:t>
        </w:r>
        <w:r w:rsidR="007946ED" w:rsidRPr="00392EDD">
          <w:rPr>
            <w:rFonts w:cs="Arial"/>
            <w:webHidden/>
            <w:sz w:val="22"/>
            <w:szCs w:val="22"/>
          </w:rPr>
          <w:fldChar w:fldCharType="end"/>
        </w:r>
      </w:hyperlink>
    </w:p>
    <w:p w:rsidR="007946ED" w:rsidRPr="00392EDD" w:rsidRDefault="00EF6027">
      <w:pPr>
        <w:pStyle w:val="TOC2"/>
        <w:rPr>
          <w:rFonts w:eastAsiaTheme="minorEastAsia" w:cs="Arial"/>
          <w:b w:val="0"/>
          <w:i w:val="0"/>
          <w:sz w:val="22"/>
          <w:szCs w:val="22"/>
        </w:rPr>
      </w:pPr>
      <w:hyperlink w:anchor="_Toc494372768" w:history="1">
        <w:r w:rsidR="007946ED" w:rsidRPr="00392EDD">
          <w:rPr>
            <w:rStyle w:val="Hyperlink"/>
            <w:rFonts w:cs="Arial"/>
            <w:sz w:val="22"/>
            <w:szCs w:val="22"/>
          </w:rPr>
          <w:t>11.3</w:t>
        </w:r>
        <w:r w:rsidR="007946ED" w:rsidRPr="00392EDD">
          <w:rPr>
            <w:rFonts w:eastAsiaTheme="minorEastAsia" w:cs="Arial"/>
            <w:b w:val="0"/>
            <w:i w:val="0"/>
            <w:sz w:val="22"/>
            <w:szCs w:val="22"/>
          </w:rPr>
          <w:tab/>
        </w:r>
        <w:r w:rsidR="007946ED" w:rsidRPr="00392EDD">
          <w:rPr>
            <w:rStyle w:val="Hyperlink"/>
            <w:rFonts w:cs="Arial"/>
            <w:sz w:val="22"/>
            <w:szCs w:val="22"/>
          </w:rPr>
          <w:t>Paid Parental Leave</w:t>
        </w:r>
        <w:r w:rsidR="007946ED" w:rsidRPr="00392EDD">
          <w:rPr>
            <w:rFonts w:cs="Arial"/>
            <w:webHidden/>
            <w:sz w:val="22"/>
            <w:szCs w:val="22"/>
          </w:rPr>
          <w:tab/>
        </w:r>
        <w:r w:rsidR="007946ED" w:rsidRPr="00392EDD">
          <w:rPr>
            <w:rFonts w:cs="Arial"/>
            <w:webHidden/>
            <w:sz w:val="22"/>
            <w:szCs w:val="22"/>
          </w:rPr>
          <w:fldChar w:fldCharType="begin"/>
        </w:r>
        <w:r w:rsidR="007946ED" w:rsidRPr="00392EDD">
          <w:rPr>
            <w:rFonts w:cs="Arial"/>
            <w:webHidden/>
            <w:sz w:val="22"/>
            <w:szCs w:val="22"/>
          </w:rPr>
          <w:instrText xml:space="preserve"> PAGEREF _Toc494372768 \h </w:instrText>
        </w:r>
        <w:r w:rsidR="007946ED" w:rsidRPr="00392EDD">
          <w:rPr>
            <w:rFonts w:cs="Arial"/>
            <w:webHidden/>
            <w:sz w:val="22"/>
            <w:szCs w:val="22"/>
          </w:rPr>
        </w:r>
        <w:r w:rsidR="007946ED" w:rsidRPr="00392EDD">
          <w:rPr>
            <w:rFonts w:cs="Arial"/>
            <w:webHidden/>
            <w:sz w:val="22"/>
            <w:szCs w:val="22"/>
          </w:rPr>
          <w:fldChar w:fldCharType="separate"/>
        </w:r>
        <w:r>
          <w:rPr>
            <w:rFonts w:cs="Arial"/>
            <w:webHidden/>
            <w:sz w:val="22"/>
            <w:szCs w:val="22"/>
          </w:rPr>
          <w:t>14</w:t>
        </w:r>
        <w:r w:rsidR="007946ED" w:rsidRPr="00392EDD">
          <w:rPr>
            <w:rFonts w:cs="Arial"/>
            <w:webHidden/>
            <w:sz w:val="22"/>
            <w:szCs w:val="22"/>
          </w:rPr>
          <w:fldChar w:fldCharType="end"/>
        </w:r>
      </w:hyperlink>
    </w:p>
    <w:p w:rsidR="007946ED" w:rsidRPr="00392EDD" w:rsidRDefault="00EF6027">
      <w:pPr>
        <w:pStyle w:val="TOC1"/>
        <w:rPr>
          <w:rFonts w:eastAsiaTheme="minorEastAsia" w:cs="Arial"/>
          <w:b w:val="0"/>
          <w:szCs w:val="22"/>
        </w:rPr>
      </w:pPr>
      <w:hyperlink w:anchor="_Toc494372769" w:history="1">
        <w:r w:rsidR="007946ED" w:rsidRPr="00392EDD">
          <w:rPr>
            <w:rStyle w:val="Hyperlink"/>
            <w:rFonts w:cs="Arial"/>
            <w:szCs w:val="22"/>
          </w:rPr>
          <w:t>12</w:t>
        </w:r>
        <w:r w:rsidR="007946ED" w:rsidRPr="00392EDD">
          <w:rPr>
            <w:rFonts w:eastAsiaTheme="minorEastAsia" w:cs="Arial"/>
            <w:b w:val="0"/>
            <w:szCs w:val="22"/>
          </w:rPr>
          <w:tab/>
        </w:r>
        <w:r w:rsidR="007946ED" w:rsidRPr="00392EDD">
          <w:rPr>
            <w:rStyle w:val="Hyperlink"/>
            <w:rFonts w:cs="Arial"/>
            <w:szCs w:val="22"/>
          </w:rPr>
          <w:t>Women in defence (CEDAW Articles 8 and 11)</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_Toc494372769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15</w:t>
        </w:r>
        <w:r w:rsidR="007946ED" w:rsidRPr="00392EDD">
          <w:rPr>
            <w:rFonts w:cs="Arial"/>
            <w:webHidden/>
            <w:szCs w:val="22"/>
          </w:rPr>
          <w:fldChar w:fldCharType="end"/>
        </w:r>
      </w:hyperlink>
    </w:p>
    <w:p w:rsidR="007946ED" w:rsidRPr="00392EDD" w:rsidRDefault="00EF6027">
      <w:pPr>
        <w:pStyle w:val="TOC1"/>
        <w:rPr>
          <w:rFonts w:eastAsiaTheme="minorEastAsia" w:cs="Arial"/>
          <w:b w:val="0"/>
          <w:szCs w:val="22"/>
        </w:rPr>
      </w:pPr>
      <w:hyperlink w:anchor="_Toc494372770" w:history="1">
        <w:r w:rsidR="007946ED" w:rsidRPr="00392EDD">
          <w:rPr>
            <w:rStyle w:val="Hyperlink"/>
            <w:rFonts w:cs="Arial"/>
            <w:szCs w:val="22"/>
          </w:rPr>
          <w:t>13</w:t>
        </w:r>
        <w:r w:rsidR="007946ED" w:rsidRPr="00392EDD">
          <w:rPr>
            <w:rFonts w:eastAsiaTheme="minorEastAsia" w:cs="Arial"/>
            <w:b w:val="0"/>
            <w:szCs w:val="22"/>
          </w:rPr>
          <w:tab/>
        </w:r>
        <w:r w:rsidR="007946ED" w:rsidRPr="00392EDD">
          <w:rPr>
            <w:rStyle w:val="Hyperlink"/>
            <w:rFonts w:cs="Arial"/>
            <w:szCs w:val="22"/>
          </w:rPr>
          <w:t xml:space="preserve">Attachment 1 </w:t>
        </w:r>
        <w:r w:rsidR="007946ED" w:rsidRPr="00392EDD">
          <w:rPr>
            <w:rStyle w:val="Hyperlink"/>
            <w:rFonts w:cs="Arial"/>
            <w:szCs w:val="22"/>
            <w:shd w:val="clear" w:color="auto" w:fill="FFFFFF"/>
          </w:rPr>
          <w:t>—</w:t>
        </w:r>
        <w:r w:rsidR="007946ED" w:rsidRPr="00392EDD">
          <w:rPr>
            <w:rStyle w:val="Hyperlink"/>
            <w:rFonts w:cs="Arial"/>
            <w:szCs w:val="22"/>
          </w:rPr>
          <w:t xml:space="preserve"> Compilation of issue</w:t>
        </w:r>
        <w:r w:rsidR="00C903E9">
          <w:rPr>
            <w:rStyle w:val="Hyperlink"/>
            <w:rFonts w:cs="Arial"/>
            <w:szCs w:val="22"/>
          </w:rPr>
          <w:t>s for consideration in the LOI</w:t>
        </w:r>
        <w:r w:rsidR="007946ED" w:rsidRPr="00392EDD">
          <w:rPr>
            <w:rFonts w:cs="Arial"/>
            <w:webHidden/>
            <w:szCs w:val="22"/>
          </w:rPr>
          <w:tab/>
        </w:r>
        <w:r w:rsidR="007946ED" w:rsidRPr="00392EDD">
          <w:rPr>
            <w:rFonts w:cs="Arial"/>
            <w:webHidden/>
            <w:szCs w:val="22"/>
          </w:rPr>
          <w:fldChar w:fldCharType="begin"/>
        </w:r>
        <w:r w:rsidR="007946ED" w:rsidRPr="00392EDD">
          <w:rPr>
            <w:rFonts w:cs="Arial"/>
            <w:webHidden/>
            <w:szCs w:val="22"/>
          </w:rPr>
          <w:instrText xml:space="preserve"> PAGEREF _Toc494372770 \h </w:instrText>
        </w:r>
        <w:r w:rsidR="007946ED" w:rsidRPr="00392EDD">
          <w:rPr>
            <w:rFonts w:cs="Arial"/>
            <w:webHidden/>
            <w:szCs w:val="22"/>
          </w:rPr>
        </w:r>
        <w:r w:rsidR="007946ED" w:rsidRPr="00392EDD">
          <w:rPr>
            <w:rFonts w:cs="Arial"/>
            <w:webHidden/>
            <w:szCs w:val="22"/>
          </w:rPr>
          <w:fldChar w:fldCharType="separate"/>
        </w:r>
        <w:r>
          <w:rPr>
            <w:rFonts w:cs="Arial"/>
            <w:webHidden/>
            <w:szCs w:val="22"/>
          </w:rPr>
          <w:t>16</w:t>
        </w:r>
        <w:r w:rsidR="007946ED" w:rsidRPr="00392EDD">
          <w:rPr>
            <w:rFonts w:cs="Arial"/>
            <w:webHidden/>
            <w:szCs w:val="22"/>
          </w:rPr>
          <w:fldChar w:fldCharType="end"/>
        </w:r>
      </w:hyperlink>
    </w:p>
    <w:p w:rsidR="00B34946" w:rsidRDefault="00B63D24" w:rsidP="00B63D24">
      <w:r w:rsidRPr="00931141">
        <w:rPr>
          <w:sz w:val="22"/>
          <w:szCs w:val="22"/>
        </w:rPr>
        <w:fldChar w:fldCharType="end"/>
      </w:r>
    </w:p>
    <w:p w:rsidR="00251D6C" w:rsidRDefault="00251D6C" w:rsidP="00B63D24"/>
    <w:p w:rsidR="00B34946" w:rsidRDefault="00B34946">
      <w:pPr>
        <w:spacing w:before="0" w:after="0"/>
      </w:pPr>
      <w:r>
        <w:br w:type="page"/>
      </w:r>
    </w:p>
    <w:p w:rsidR="00B34946" w:rsidRPr="001E1304" w:rsidRDefault="00B34946" w:rsidP="00AA23B8">
      <w:pPr>
        <w:pStyle w:val="Heading1"/>
        <w:numPr>
          <w:ilvl w:val="0"/>
          <w:numId w:val="16"/>
        </w:numPr>
      </w:pPr>
      <w:bookmarkStart w:id="4" w:name="_Toc207761830"/>
      <w:bookmarkStart w:id="5" w:name="_Toc209578266"/>
      <w:bookmarkStart w:id="6" w:name="_Toc494372747"/>
      <w:r w:rsidRPr="001E1304">
        <w:lastRenderedPageBreak/>
        <w:t>Introduction</w:t>
      </w:r>
      <w:bookmarkEnd w:id="4"/>
      <w:bookmarkEnd w:id="5"/>
      <w:bookmarkEnd w:id="6"/>
      <w:r w:rsidRPr="001E1304">
        <w:t xml:space="preserve"> </w:t>
      </w:r>
    </w:p>
    <w:p w:rsidR="00B34946" w:rsidRDefault="00B34946" w:rsidP="00102CCA">
      <w:pPr>
        <w:pStyle w:val="SubmissionNormal"/>
        <w:tabs>
          <w:tab w:val="clear" w:pos="501"/>
          <w:tab w:val="num" w:pos="709"/>
        </w:tabs>
        <w:ind w:left="709" w:hanging="720"/>
      </w:pPr>
      <w:r w:rsidRPr="00C5786C">
        <w:t>Th</w:t>
      </w:r>
      <w:r w:rsidR="00AF6EA2">
        <w:t>is submission is made by the Australian Human Rights Commission. The Commission is an ‘A status’ national human rights institution established and operating in full compliance with the Paris Principles.</w:t>
      </w:r>
    </w:p>
    <w:p w:rsidR="007225F4" w:rsidRDefault="006E75CB" w:rsidP="00102CCA">
      <w:pPr>
        <w:pStyle w:val="SubmissionNormal"/>
        <w:tabs>
          <w:tab w:val="clear" w:pos="501"/>
          <w:tab w:val="num" w:pos="709"/>
        </w:tabs>
        <w:ind w:left="709" w:hanging="720"/>
      </w:pPr>
      <w:r>
        <w:t>The submission is based on work that has been undertaken by the Commission in accordance with our mandate and functions.</w:t>
      </w:r>
      <w:r w:rsidR="003C7B32">
        <w:rPr>
          <w:rStyle w:val="EndnoteReference"/>
        </w:rPr>
        <w:endnoteReference w:id="1"/>
      </w:r>
      <w:r>
        <w:t xml:space="preserve"> The material provided here has been publicly reported in Australia and has been brought to the attentio</w:t>
      </w:r>
      <w:r w:rsidR="0095250B">
        <w:t xml:space="preserve">n of the Australian </w:t>
      </w:r>
      <w:r w:rsidR="00E219BB">
        <w:t>G</w:t>
      </w:r>
      <w:r w:rsidR="0095250B">
        <w:t>overnment</w:t>
      </w:r>
      <w:r w:rsidR="00FD31B1">
        <w:t>.</w:t>
      </w:r>
      <w:r w:rsidR="00FD31B1">
        <w:rPr>
          <w:rStyle w:val="EndnoteReference"/>
        </w:rPr>
        <w:endnoteReference w:id="2"/>
      </w:r>
    </w:p>
    <w:p w:rsidR="006E75CB" w:rsidRDefault="006E75CB" w:rsidP="00102CCA">
      <w:pPr>
        <w:pStyle w:val="SubmissionNormal"/>
        <w:tabs>
          <w:tab w:val="clear" w:pos="501"/>
          <w:tab w:val="num" w:pos="709"/>
        </w:tabs>
        <w:ind w:left="709" w:hanging="720"/>
      </w:pPr>
      <w:r>
        <w:t xml:space="preserve">The Commission thanks the Committee for the opportunity to provide a written contribution prior to its adoption of the List of Issues </w:t>
      </w:r>
      <w:r w:rsidR="00A51CC8">
        <w:t>(LOI</w:t>
      </w:r>
      <w:r>
        <w:t xml:space="preserve">) on Australia. </w:t>
      </w:r>
    </w:p>
    <w:p w:rsidR="00B34946" w:rsidRDefault="00EC20AF" w:rsidP="00102CCA">
      <w:pPr>
        <w:pStyle w:val="SubmissionNormal"/>
        <w:tabs>
          <w:tab w:val="clear" w:pos="501"/>
          <w:tab w:val="num" w:pos="709"/>
        </w:tabs>
        <w:ind w:left="709" w:hanging="720"/>
      </w:pPr>
      <w:r>
        <w:t xml:space="preserve">The </w:t>
      </w:r>
      <w:r w:rsidR="00836BC5">
        <w:t>recommended issue</w:t>
      </w:r>
      <w:r w:rsidR="001A323B">
        <w:t>s for consideration in the LOI</w:t>
      </w:r>
      <w:r w:rsidR="00836BC5">
        <w:t xml:space="preserve"> are</w:t>
      </w:r>
      <w:r>
        <w:t xml:space="preserve"> contained in the body of the submission and compiled in </w:t>
      </w:r>
      <w:r w:rsidRPr="00AA23B8">
        <w:rPr>
          <w:b/>
        </w:rPr>
        <w:t>Attachment 1</w:t>
      </w:r>
      <w:r>
        <w:t xml:space="preserve"> of the submission. </w:t>
      </w:r>
    </w:p>
    <w:p w:rsidR="00B34946" w:rsidRPr="00DD425D" w:rsidRDefault="001D361B" w:rsidP="00AA23B8">
      <w:pPr>
        <w:pStyle w:val="Heading1"/>
        <w:numPr>
          <w:ilvl w:val="0"/>
          <w:numId w:val="16"/>
        </w:numPr>
      </w:pPr>
      <w:bookmarkStart w:id="7" w:name="_Toc494372748"/>
      <w:r>
        <w:t xml:space="preserve">General </w:t>
      </w:r>
      <w:r w:rsidR="00591DAF">
        <w:t>comments</w:t>
      </w:r>
      <w:bookmarkEnd w:id="7"/>
    </w:p>
    <w:p w:rsidR="00633516" w:rsidRDefault="00633516" w:rsidP="00102CCA">
      <w:pPr>
        <w:pStyle w:val="SubmissionNormal"/>
        <w:tabs>
          <w:tab w:val="clear" w:pos="501"/>
          <w:tab w:val="num" w:pos="851"/>
        </w:tabs>
        <w:ind w:left="709" w:hanging="720"/>
      </w:pPr>
      <w:r>
        <w:t xml:space="preserve">Australia’s record on gender equality is mixed. Despite very high attainment in education, Australia’s </w:t>
      </w:r>
      <w:r w:rsidR="002D14D0">
        <w:t xml:space="preserve">overall </w:t>
      </w:r>
      <w:r>
        <w:t xml:space="preserve">position on the Global Gender Gap Index is comparatively low at 46th. Economic participation and opportunity is one of the areas where Australia lags </w:t>
      </w:r>
      <w:r w:rsidR="00A8503D">
        <w:t>most significantly - it is 42nd</w:t>
      </w:r>
      <w:r>
        <w:t xml:space="preserve"> on the World Economic Forum’s global </w:t>
      </w:r>
      <w:r w:rsidR="001B542A">
        <w:t xml:space="preserve">gender gap </w:t>
      </w:r>
      <w:r>
        <w:t>index.</w:t>
      </w:r>
    </w:p>
    <w:p w:rsidR="005430FE" w:rsidRDefault="00FE279E" w:rsidP="00102CCA">
      <w:pPr>
        <w:pStyle w:val="SubmissionNormal"/>
        <w:tabs>
          <w:tab w:val="clear" w:pos="501"/>
          <w:tab w:val="num" w:pos="851"/>
        </w:tabs>
        <w:ind w:left="709" w:hanging="720"/>
      </w:pPr>
      <w:r>
        <w:t xml:space="preserve">This picture is reflected </w:t>
      </w:r>
      <w:r w:rsidR="005430FE" w:rsidRPr="005430FE">
        <w:t>in the experiences</w:t>
      </w:r>
      <w:r>
        <w:t xml:space="preserve"> of Australian women</w:t>
      </w:r>
      <w:r w:rsidR="005430FE" w:rsidRPr="005430FE">
        <w:t xml:space="preserve"> that the Sex Discrimination Commission</w:t>
      </w:r>
      <w:r w:rsidR="00734FB7">
        <w:t>er</w:t>
      </w:r>
      <w:r w:rsidR="005430FE" w:rsidRPr="005430FE">
        <w:t xml:space="preserve"> heard from </w:t>
      </w:r>
      <w:r>
        <w:t>during</w:t>
      </w:r>
      <w:r w:rsidR="005430FE" w:rsidRPr="005430FE">
        <w:t xml:space="preserve"> consultations condu</w:t>
      </w:r>
      <w:r w:rsidR="005430FE">
        <w:t>cted across the country in 2016.</w:t>
      </w:r>
      <w:r w:rsidR="00915420">
        <w:rPr>
          <w:rStyle w:val="EndnoteReference"/>
        </w:rPr>
        <w:endnoteReference w:id="3"/>
      </w:r>
      <w:r w:rsidR="005430FE" w:rsidRPr="005430FE">
        <w:t xml:space="preserve"> </w:t>
      </w:r>
      <w:r w:rsidR="00F602E0">
        <w:t>C</w:t>
      </w:r>
      <w:r w:rsidR="00A37F2B">
        <w:t xml:space="preserve">ommon themes raised throughout these conversations </w:t>
      </w:r>
      <w:r w:rsidR="00A61CDC">
        <w:t>included</w:t>
      </w:r>
      <w:r w:rsidR="00A37F2B">
        <w:t xml:space="preserve"> gender inequality in economic security</w:t>
      </w:r>
      <w:r w:rsidR="00AA23DB">
        <w:t>,</w:t>
      </w:r>
      <w:r w:rsidR="00A37F2B">
        <w:t xml:space="preserve"> </w:t>
      </w:r>
      <w:r w:rsidR="00B37675">
        <w:t xml:space="preserve">low </w:t>
      </w:r>
      <w:r w:rsidR="00C8171C">
        <w:t>representation of women</w:t>
      </w:r>
      <w:r w:rsidR="00646E8F">
        <w:t xml:space="preserve"> </w:t>
      </w:r>
      <w:r w:rsidR="00C8171C">
        <w:t xml:space="preserve">in </w:t>
      </w:r>
      <w:r w:rsidR="00A37F2B">
        <w:t>leadership</w:t>
      </w:r>
      <w:r w:rsidR="00B37675">
        <w:t>,</w:t>
      </w:r>
      <w:r w:rsidR="00A37F2B">
        <w:t xml:space="preserve"> </w:t>
      </w:r>
      <w:r w:rsidR="00B37675">
        <w:t>lack of</w:t>
      </w:r>
      <w:r w:rsidR="00646E8F">
        <w:t xml:space="preserve"> diversity in decision-making</w:t>
      </w:r>
      <w:r w:rsidR="00B53FF1">
        <w:t>,</w:t>
      </w:r>
      <w:r w:rsidR="00646E8F">
        <w:t xml:space="preserve"> </w:t>
      </w:r>
      <w:r w:rsidR="00A37F2B">
        <w:t>and violence against women.</w:t>
      </w:r>
    </w:p>
    <w:p w:rsidR="00137CA5" w:rsidRPr="00860D71" w:rsidRDefault="00137CA5" w:rsidP="00102CCA">
      <w:pPr>
        <w:pStyle w:val="SubmissionNormal"/>
        <w:tabs>
          <w:tab w:val="clear" w:pos="501"/>
          <w:tab w:val="num" w:pos="851"/>
        </w:tabs>
        <w:ind w:left="709" w:hanging="720"/>
        <w:rPr>
          <w:rFonts w:cs="Arial"/>
        </w:rPr>
      </w:pPr>
      <w:r w:rsidRPr="00860D71">
        <w:t>There</w:t>
      </w:r>
      <w:r w:rsidRPr="00860D71">
        <w:rPr>
          <w:rFonts w:cs="Arial"/>
        </w:rPr>
        <w:t xml:space="preserve"> are a range of gender equality gaps in Australia: </w:t>
      </w:r>
    </w:p>
    <w:p w:rsidR="00703123" w:rsidRPr="00860D71" w:rsidRDefault="00B7670B" w:rsidP="007B3F17">
      <w:pPr>
        <w:pStyle w:val="ListParagraph"/>
        <w:numPr>
          <w:ilvl w:val="1"/>
          <w:numId w:val="15"/>
        </w:numPr>
        <w:tabs>
          <w:tab w:val="clear" w:pos="1440"/>
          <w:tab w:val="num" w:pos="1276"/>
        </w:tabs>
        <w:spacing w:before="0" w:after="0"/>
        <w:ind w:left="1276"/>
        <w:rPr>
          <w:rFonts w:cs="Arial"/>
          <w:bCs/>
        </w:rPr>
      </w:pPr>
      <w:r w:rsidRPr="00860D71">
        <w:rPr>
          <w:rFonts w:cs="Arial"/>
          <w:bCs/>
        </w:rPr>
        <w:t xml:space="preserve">Women </w:t>
      </w:r>
      <w:r w:rsidR="00F270DE" w:rsidRPr="00860D71">
        <w:rPr>
          <w:rFonts w:cs="Arial"/>
          <w:bCs/>
        </w:rPr>
        <w:t xml:space="preserve">and girls </w:t>
      </w:r>
      <w:r w:rsidRPr="00860D71">
        <w:rPr>
          <w:rFonts w:cs="Arial"/>
          <w:bCs/>
        </w:rPr>
        <w:t>continue to be disproportionately affected by family and domestic violence</w:t>
      </w:r>
      <w:r w:rsidR="0005338E" w:rsidRPr="00860D71">
        <w:rPr>
          <w:rFonts w:cs="Arial"/>
          <w:bCs/>
        </w:rPr>
        <w:t>.</w:t>
      </w:r>
      <w:r w:rsidR="0005338E" w:rsidRPr="00860D71">
        <w:rPr>
          <w:rStyle w:val="EndnoteReference"/>
          <w:rFonts w:cs="Arial"/>
          <w:bCs/>
          <w:sz w:val="24"/>
        </w:rPr>
        <w:endnoteReference w:id="4"/>
      </w:r>
      <w:r w:rsidR="0005338E" w:rsidRPr="00860D71">
        <w:rPr>
          <w:rFonts w:cs="Arial"/>
          <w:bCs/>
        </w:rPr>
        <w:t xml:space="preserve"> </w:t>
      </w:r>
    </w:p>
    <w:p w:rsidR="00137CA5" w:rsidRPr="00706E72" w:rsidRDefault="00137CA5" w:rsidP="007B3F17">
      <w:pPr>
        <w:pStyle w:val="SubmissionNormal"/>
        <w:numPr>
          <w:ilvl w:val="1"/>
          <w:numId w:val="15"/>
        </w:numPr>
        <w:tabs>
          <w:tab w:val="clear" w:pos="1440"/>
          <w:tab w:val="num" w:pos="1276"/>
        </w:tabs>
        <w:ind w:left="1276"/>
        <w:rPr>
          <w:rFonts w:cs="Arial"/>
        </w:rPr>
      </w:pPr>
      <w:r w:rsidRPr="00860D71">
        <w:t>T</w:t>
      </w:r>
      <w:r w:rsidRPr="00860D71">
        <w:rPr>
          <w:rFonts w:cs="Arial"/>
        </w:rPr>
        <w:t xml:space="preserve">he national gender pay gap is currently at </w:t>
      </w:r>
      <w:r w:rsidR="003761B9" w:rsidRPr="00860D71">
        <w:rPr>
          <w:rFonts w:cs="Arial"/>
        </w:rPr>
        <w:t>15.3%</w:t>
      </w:r>
      <w:r w:rsidRPr="00860D71">
        <w:rPr>
          <w:rFonts w:cs="Arial"/>
        </w:rPr>
        <w:t xml:space="preserve"> (based </w:t>
      </w:r>
      <w:r w:rsidRPr="00706E72">
        <w:rPr>
          <w:rFonts w:cs="Arial"/>
        </w:rPr>
        <w:t xml:space="preserve">on </w:t>
      </w:r>
      <w:r w:rsidRPr="00706E72">
        <w:rPr>
          <w:rFonts w:cs="Arial"/>
          <w:lang w:val="en"/>
        </w:rPr>
        <w:t xml:space="preserve">full time, adult, </w:t>
      </w:r>
      <w:r w:rsidRPr="00706E72">
        <w:rPr>
          <w:rFonts w:cs="Arial"/>
        </w:rPr>
        <w:t>Average Weekly Ordinary Time Earnings)</w:t>
      </w:r>
      <w:r w:rsidRPr="00706E72">
        <w:rPr>
          <w:rStyle w:val="EndnoteReference"/>
          <w:rFonts w:cs="Arial"/>
        </w:rPr>
        <w:endnoteReference w:id="5"/>
      </w:r>
      <w:r w:rsidRPr="00706E72">
        <w:rPr>
          <w:rFonts w:cs="Arial"/>
        </w:rPr>
        <w:t xml:space="preserve"> </w:t>
      </w:r>
    </w:p>
    <w:p w:rsidR="006E0B70" w:rsidRPr="00706E72" w:rsidRDefault="004D21D6" w:rsidP="007B3F17">
      <w:pPr>
        <w:pStyle w:val="SubmissionNormal"/>
        <w:numPr>
          <w:ilvl w:val="1"/>
          <w:numId w:val="15"/>
        </w:numPr>
        <w:tabs>
          <w:tab w:val="clear" w:pos="1440"/>
          <w:tab w:val="num" w:pos="1276"/>
        </w:tabs>
        <w:ind w:left="1276"/>
      </w:pPr>
      <w:r w:rsidRPr="00706E72">
        <w:t>Austra</w:t>
      </w:r>
      <w:r w:rsidR="00DF312E">
        <w:t>lian women continue to be under</w:t>
      </w:r>
      <w:r w:rsidRPr="00706E72">
        <w:t xml:space="preserve">represented in the workforce, with </w:t>
      </w:r>
      <w:r w:rsidR="00C6121D" w:rsidRPr="00706E72">
        <w:t>78.3% of</w:t>
      </w:r>
      <w:r w:rsidRPr="00706E72">
        <w:t xml:space="preserve"> men aged </w:t>
      </w:r>
      <w:r w:rsidR="00DF76DA">
        <w:t>20</w:t>
      </w:r>
      <w:r w:rsidR="00360069">
        <w:t xml:space="preserve">–74 </w:t>
      </w:r>
      <w:r w:rsidRPr="00706E72">
        <w:t xml:space="preserve">participating in work, </w:t>
      </w:r>
      <w:proofErr w:type="gramStart"/>
      <w:r w:rsidRPr="00706E72">
        <w:t>compared</w:t>
      </w:r>
      <w:proofErr w:type="gramEnd"/>
      <w:r w:rsidRPr="00706E72">
        <w:t xml:space="preserve"> with</w:t>
      </w:r>
      <w:r w:rsidR="006E0B70" w:rsidRPr="00706E72">
        <w:t xml:space="preserve"> 65.1% </w:t>
      </w:r>
      <w:r w:rsidRPr="00706E72">
        <w:t>of</w:t>
      </w:r>
      <w:r w:rsidR="006E0B70" w:rsidRPr="00706E72">
        <w:t xml:space="preserve"> women.</w:t>
      </w:r>
      <w:r w:rsidR="006E0B70" w:rsidRPr="00706E72">
        <w:rPr>
          <w:rStyle w:val="EndnoteReference"/>
          <w:rFonts w:eastAsia="MS Mincho"/>
        </w:rPr>
        <w:endnoteReference w:id="6"/>
      </w:r>
      <w:r w:rsidR="006E0B70" w:rsidRPr="00706E72">
        <w:t> </w:t>
      </w:r>
    </w:p>
    <w:p w:rsidR="006E0B70" w:rsidRPr="00706E72" w:rsidRDefault="006E0B70" w:rsidP="007B3F17">
      <w:pPr>
        <w:pStyle w:val="SubmissionNormal"/>
        <w:numPr>
          <w:ilvl w:val="1"/>
          <w:numId w:val="15"/>
        </w:numPr>
        <w:tabs>
          <w:tab w:val="clear" w:pos="1440"/>
          <w:tab w:val="num" w:pos="1276"/>
        </w:tabs>
        <w:ind w:left="1276"/>
      </w:pPr>
      <w:r w:rsidRPr="00706E72">
        <w:t xml:space="preserve">Women continue to spend more time on unpaid domestic and care work than men (in the 2016 census, </w:t>
      </w:r>
      <w:r w:rsidRPr="00706E72">
        <w:rPr>
          <w:rFonts w:cs="Arial"/>
        </w:rPr>
        <w:t>11.7% of men reported doing 15 or more hours of unpaid domestic work per week, compared to 32.6% women</w:t>
      </w:r>
      <w:r w:rsidR="0016309C" w:rsidRPr="00706E72">
        <w:rPr>
          <w:rFonts w:cs="Arial"/>
        </w:rPr>
        <w:t>)</w:t>
      </w:r>
      <w:r w:rsidR="000A20D7" w:rsidRPr="00706E72">
        <w:rPr>
          <w:rFonts w:cs="Arial"/>
        </w:rPr>
        <w:t>.</w:t>
      </w:r>
      <w:r w:rsidR="0016309C" w:rsidRPr="00706E72">
        <w:rPr>
          <w:rStyle w:val="EndnoteReference"/>
          <w:rFonts w:cs="Arial"/>
        </w:rPr>
        <w:endnoteReference w:id="7"/>
      </w:r>
    </w:p>
    <w:p w:rsidR="006E0B70" w:rsidRPr="00706E72" w:rsidRDefault="004F3EA8" w:rsidP="007B3F17">
      <w:pPr>
        <w:pStyle w:val="SubmissionNormal"/>
        <w:numPr>
          <w:ilvl w:val="1"/>
          <w:numId w:val="15"/>
        </w:numPr>
        <w:tabs>
          <w:tab w:val="clear" w:pos="1440"/>
          <w:tab w:val="num" w:pos="1276"/>
        </w:tabs>
        <w:ind w:left="1276"/>
      </w:pPr>
      <w:r w:rsidRPr="00706E72">
        <w:t>W</w:t>
      </w:r>
      <w:r w:rsidR="006E0B70" w:rsidRPr="00706E72">
        <w:t>omen</w:t>
      </w:r>
      <w:r w:rsidRPr="00706E72">
        <w:t xml:space="preserve"> retire with </w:t>
      </w:r>
      <w:r w:rsidR="00307D75" w:rsidRPr="00706E72">
        <w:t xml:space="preserve">significantly </w:t>
      </w:r>
      <w:r w:rsidRPr="00706E72">
        <w:t xml:space="preserve">less </w:t>
      </w:r>
      <w:r w:rsidR="00307D75" w:rsidRPr="00706E72">
        <w:t>retirement</w:t>
      </w:r>
      <w:r w:rsidRPr="00706E72">
        <w:t xml:space="preserve"> savings than men</w:t>
      </w:r>
      <w:r w:rsidR="006E0B70" w:rsidRPr="00706E72">
        <w:t>.</w:t>
      </w:r>
      <w:r w:rsidR="000A20D7" w:rsidRPr="00706E72">
        <w:rPr>
          <w:rStyle w:val="EndnoteReference"/>
        </w:rPr>
        <w:endnoteReference w:id="8"/>
      </w:r>
    </w:p>
    <w:p w:rsidR="00137CA5" w:rsidRPr="00706E72" w:rsidRDefault="00137CA5" w:rsidP="007B3F17">
      <w:pPr>
        <w:pStyle w:val="SubmissionNormal"/>
        <w:numPr>
          <w:ilvl w:val="1"/>
          <w:numId w:val="15"/>
        </w:numPr>
        <w:tabs>
          <w:tab w:val="clear" w:pos="1440"/>
          <w:tab w:val="num" w:pos="1276"/>
        </w:tabs>
        <w:ind w:left="1276"/>
        <w:rPr>
          <w:rFonts w:cs="Arial"/>
        </w:rPr>
      </w:pPr>
      <w:r w:rsidRPr="00706E72">
        <w:lastRenderedPageBreak/>
        <w:t xml:space="preserve">When employed, women are more likely to work in part-time or casual roles than men. </w:t>
      </w:r>
      <w:r w:rsidR="00A76DEA" w:rsidRPr="00706E72">
        <w:t>W</w:t>
      </w:r>
      <w:r w:rsidRPr="00706E72">
        <w:t xml:space="preserve">omen comprise </w:t>
      </w:r>
      <w:r w:rsidR="00C6145C" w:rsidRPr="00706E72">
        <w:t>40.7%</w:t>
      </w:r>
      <w:r w:rsidRPr="00706E72">
        <w:t xml:space="preserve"> of full-time employees</w:t>
      </w:r>
      <w:r w:rsidR="00C6145C" w:rsidRPr="00706E72">
        <w:t xml:space="preserve">, </w:t>
      </w:r>
      <w:r w:rsidR="00481A4C">
        <w:t xml:space="preserve">while </w:t>
      </w:r>
      <w:r w:rsidR="00A76DEA" w:rsidRPr="00706E72">
        <w:t>men comprise</w:t>
      </w:r>
      <w:r w:rsidR="00C6145C" w:rsidRPr="00706E72">
        <w:t xml:space="preserve"> 69.1%</w:t>
      </w:r>
      <w:r w:rsidRPr="00706E72">
        <w:t>.</w:t>
      </w:r>
      <w:r w:rsidRPr="00706E72">
        <w:rPr>
          <w:rStyle w:val="EndnoteReference"/>
          <w:sz w:val="24"/>
        </w:rPr>
        <w:endnoteReference w:id="9"/>
      </w:r>
      <w:r w:rsidRPr="00706E72">
        <w:t xml:space="preserve"> </w:t>
      </w:r>
    </w:p>
    <w:p w:rsidR="00137CA5" w:rsidRPr="00706E72" w:rsidRDefault="0028764E" w:rsidP="007B3F17">
      <w:pPr>
        <w:pStyle w:val="SubmissionNormal"/>
        <w:numPr>
          <w:ilvl w:val="1"/>
          <w:numId w:val="15"/>
        </w:numPr>
        <w:tabs>
          <w:tab w:val="clear" w:pos="1440"/>
          <w:tab w:val="num" w:pos="1276"/>
        </w:tabs>
        <w:ind w:left="1276"/>
        <w:rPr>
          <w:rFonts w:cs="Arial"/>
        </w:rPr>
      </w:pPr>
      <w:r w:rsidRPr="00706E72">
        <w:t xml:space="preserve">Women continue to be under-represented </w:t>
      </w:r>
      <w:r w:rsidR="006A1B05" w:rsidRPr="00706E72">
        <w:t>in</w:t>
      </w:r>
      <w:r w:rsidRPr="00706E72">
        <w:t xml:space="preserve"> leadership and board positions.</w:t>
      </w:r>
      <w:r w:rsidR="00C2267F" w:rsidRPr="00706E72">
        <w:rPr>
          <w:rStyle w:val="EndnoteReference"/>
        </w:rPr>
        <w:endnoteReference w:id="10"/>
      </w:r>
      <w:r w:rsidRPr="00706E72">
        <w:t xml:space="preserve"> </w:t>
      </w:r>
    </w:p>
    <w:p w:rsidR="002052F6" w:rsidRPr="00860D71" w:rsidRDefault="009A4D3F" w:rsidP="0075227F">
      <w:pPr>
        <w:pStyle w:val="Heading1"/>
        <w:numPr>
          <w:ilvl w:val="0"/>
          <w:numId w:val="16"/>
        </w:numPr>
      </w:pPr>
      <w:bookmarkStart w:id="8" w:name="_Toc494372749"/>
      <w:r w:rsidRPr="00860D71">
        <w:t>Violence against women</w:t>
      </w:r>
      <w:r w:rsidR="0075227F" w:rsidRPr="00860D71">
        <w:t xml:space="preserve"> </w:t>
      </w:r>
      <w:r w:rsidR="0023211B" w:rsidRPr="00860D71">
        <w:t xml:space="preserve">and girls </w:t>
      </w:r>
      <w:r w:rsidR="001F42C1" w:rsidRPr="00860D71">
        <w:t xml:space="preserve">and their health and wellbeing </w:t>
      </w:r>
      <w:r w:rsidR="0075227F" w:rsidRPr="00860D71">
        <w:t>(</w:t>
      </w:r>
      <w:r w:rsidR="00EF6D01" w:rsidRPr="00860D71">
        <w:t>concluding observations paras 28</w:t>
      </w:r>
      <w:r w:rsidR="00CD10CF" w:rsidRPr="00860D71">
        <w:t>–</w:t>
      </w:r>
      <w:r w:rsidR="00EF6D01" w:rsidRPr="00860D71">
        <w:t xml:space="preserve">29 and </w:t>
      </w:r>
      <w:r w:rsidR="0075227F" w:rsidRPr="00860D71">
        <w:t>CEDAW Articles</w:t>
      </w:r>
      <w:r w:rsidR="007C0650" w:rsidRPr="00860D71">
        <w:t xml:space="preserve"> </w:t>
      </w:r>
      <w:r w:rsidR="00C8018C" w:rsidRPr="00860D71">
        <w:t>1</w:t>
      </w:r>
      <w:r w:rsidR="000175ED" w:rsidRPr="00860D71">
        <w:t>–</w:t>
      </w:r>
      <w:r w:rsidR="00C8018C" w:rsidRPr="00860D71">
        <w:t>4</w:t>
      </w:r>
      <w:r w:rsidR="007702C9" w:rsidRPr="00860D71">
        <w:t>, 12</w:t>
      </w:r>
      <w:r w:rsidR="00B52F64" w:rsidRPr="00860D71">
        <w:t xml:space="preserve"> </w:t>
      </w:r>
      <w:r w:rsidR="00FD0477" w:rsidRPr="00860D71">
        <w:t>and 16</w:t>
      </w:r>
      <w:r w:rsidR="00095119" w:rsidRPr="00860D71">
        <w:t>)</w:t>
      </w:r>
      <w:bookmarkEnd w:id="8"/>
    </w:p>
    <w:p w:rsidR="00DC193F" w:rsidRPr="00860D71" w:rsidRDefault="00DC193F" w:rsidP="00AA23B8">
      <w:pPr>
        <w:pStyle w:val="Heading2"/>
        <w:numPr>
          <w:ilvl w:val="1"/>
          <w:numId w:val="16"/>
        </w:numPr>
        <w:rPr>
          <w:color w:val="auto"/>
        </w:rPr>
      </w:pPr>
      <w:bookmarkStart w:id="9" w:name="_Toc494372750"/>
      <w:bookmarkStart w:id="10" w:name="_Toc491243299"/>
      <w:bookmarkStart w:id="11" w:name="_Toc492904759"/>
      <w:r w:rsidRPr="00860D71">
        <w:rPr>
          <w:color w:val="auto"/>
        </w:rPr>
        <w:t>Family and domestic violence</w:t>
      </w:r>
      <w:bookmarkEnd w:id="9"/>
      <w:r w:rsidR="0075227F" w:rsidRPr="00860D71">
        <w:rPr>
          <w:color w:val="auto"/>
        </w:rPr>
        <w:t xml:space="preserve"> </w:t>
      </w:r>
    </w:p>
    <w:p w:rsidR="00C07289" w:rsidRPr="00860D71" w:rsidRDefault="003753CE" w:rsidP="00361509">
      <w:pPr>
        <w:pStyle w:val="SubmissionNormal"/>
        <w:tabs>
          <w:tab w:val="clear" w:pos="501"/>
          <w:tab w:val="num" w:pos="851"/>
        </w:tabs>
        <w:ind w:left="709" w:hanging="720"/>
      </w:pPr>
      <w:r w:rsidRPr="00860D71">
        <w:t>Family and domestic violence (FDV)</w:t>
      </w:r>
      <w:r w:rsidR="00C07289" w:rsidRPr="00860D71">
        <w:t xml:space="preserve"> in Australia remains endemic and continues to negatively </w:t>
      </w:r>
      <w:r w:rsidR="004F7C6D" w:rsidRPr="00860D71">
        <w:t>af</w:t>
      </w:r>
      <w:r w:rsidR="00B82997" w:rsidRPr="00860D71">
        <w:t>fect</w:t>
      </w:r>
      <w:r w:rsidR="00C07289" w:rsidRPr="00860D71">
        <w:t xml:space="preserve"> the realisation of </w:t>
      </w:r>
      <w:r w:rsidR="009D7EC6" w:rsidRPr="00860D71">
        <w:t>gender equality</w:t>
      </w:r>
      <w:r w:rsidR="00C07289" w:rsidRPr="00860D71">
        <w:t>.</w:t>
      </w:r>
      <w:r w:rsidR="009D7EC6" w:rsidRPr="00860D71">
        <w:t xml:space="preserve"> </w:t>
      </w:r>
      <w:r w:rsidR="00C07289" w:rsidRPr="00860D71">
        <w:t xml:space="preserve"> </w:t>
      </w:r>
    </w:p>
    <w:p w:rsidR="00C07289" w:rsidRPr="00860D71" w:rsidRDefault="00C07289" w:rsidP="00361509">
      <w:pPr>
        <w:pStyle w:val="SubmissionNormal"/>
        <w:tabs>
          <w:tab w:val="clear" w:pos="501"/>
          <w:tab w:val="num" w:pos="851"/>
        </w:tabs>
        <w:ind w:left="709" w:hanging="720"/>
      </w:pPr>
      <w:r w:rsidRPr="00860D71">
        <w:t xml:space="preserve">The Commission commends efforts made to address violence against women </w:t>
      </w:r>
      <w:r w:rsidR="00C64497" w:rsidRPr="00860D71">
        <w:t xml:space="preserve">and girls </w:t>
      </w:r>
      <w:r w:rsidRPr="00860D71">
        <w:t xml:space="preserve">under the </w:t>
      </w:r>
      <w:r w:rsidRPr="00860D71">
        <w:rPr>
          <w:i/>
        </w:rPr>
        <w:t>National Plan to Reduce Violence against Women and their Child</w:t>
      </w:r>
      <w:r w:rsidR="00E0352F" w:rsidRPr="00860D71">
        <w:rPr>
          <w:i/>
        </w:rPr>
        <w:t>ren 2010</w:t>
      </w:r>
      <w:r w:rsidR="00682CE4" w:rsidRPr="00860D71">
        <w:rPr>
          <w:i/>
        </w:rPr>
        <w:t>–</w:t>
      </w:r>
      <w:r w:rsidR="00E0352F" w:rsidRPr="00860D71">
        <w:rPr>
          <w:i/>
        </w:rPr>
        <w:t>22</w:t>
      </w:r>
      <w:r w:rsidR="00E0352F" w:rsidRPr="00860D71">
        <w:t xml:space="preserve"> (the National Plan),</w:t>
      </w:r>
      <w:r w:rsidRPr="00860D71">
        <w:rPr>
          <w:rStyle w:val="EndnoteReference"/>
        </w:rPr>
        <w:endnoteReference w:id="11"/>
      </w:r>
      <w:r w:rsidRPr="00860D71">
        <w:rPr>
          <w:rStyle w:val="EndnoteReference"/>
        </w:rPr>
        <w:t xml:space="preserve"> </w:t>
      </w:r>
      <w:r w:rsidR="00E0352F" w:rsidRPr="00860D71">
        <w:t xml:space="preserve">and </w:t>
      </w:r>
      <w:r w:rsidRPr="00860D71">
        <w:t>additional funding committed in 2015 to both prevention and response measures and services.</w:t>
      </w:r>
      <w:r w:rsidRPr="00860D71">
        <w:rPr>
          <w:rStyle w:val="EndnoteReference"/>
        </w:rPr>
        <w:endnoteReference w:id="12"/>
      </w:r>
    </w:p>
    <w:p w:rsidR="00C07289" w:rsidRDefault="00C07289" w:rsidP="00361509">
      <w:pPr>
        <w:pStyle w:val="SubmissionNormal"/>
        <w:tabs>
          <w:tab w:val="clear" w:pos="501"/>
          <w:tab w:val="num" w:pos="851"/>
        </w:tabs>
        <w:ind w:left="709" w:hanging="720"/>
      </w:pPr>
      <w:r w:rsidRPr="00860D71">
        <w:t xml:space="preserve">The Commission is concerned about the lack of Australia-wide data on </w:t>
      </w:r>
      <w:r w:rsidR="008125D1" w:rsidRPr="00860D71">
        <w:t>FDV related</w:t>
      </w:r>
      <w:r w:rsidRPr="00860D71">
        <w:t xml:space="preserve"> deaths. The Commission has highlighted the importance of the </w:t>
      </w:r>
      <w:r w:rsidR="0098321C" w:rsidRPr="00860D71">
        <w:t>FDV</w:t>
      </w:r>
      <w:r w:rsidRPr="00860D71">
        <w:t xml:space="preserve"> death review process and </w:t>
      </w:r>
      <w:r w:rsidR="00E356E2" w:rsidRPr="00860D71">
        <w:t>welcome</w:t>
      </w:r>
      <w:r w:rsidR="00682CE4" w:rsidRPr="00860D71">
        <w:t>s</w:t>
      </w:r>
      <w:r w:rsidR="00E356E2" w:rsidRPr="00860D71">
        <w:t xml:space="preserve"> the Government’s funding to examine </w:t>
      </w:r>
      <w:r w:rsidRPr="00860D71">
        <w:t xml:space="preserve">measures to ensure national coherence and collection of data </w:t>
      </w:r>
      <w:r>
        <w:t xml:space="preserve">on </w:t>
      </w:r>
      <w:r w:rsidR="00F3166A">
        <w:t>FDV</w:t>
      </w:r>
      <w:r>
        <w:t xml:space="preserve"> deaths.</w:t>
      </w:r>
      <w:r w:rsidRPr="00C07289">
        <w:rPr>
          <w:rStyle w:val="EndnoteReference"/>
        </w:rPr>
        <w:endnoteReference w:id="13"/>
      </w:r>
    </w:p>
    <w:p w:rsidR="00F43B93" w:rsidRPr="00706E72" w:rsidRDefault="00B23F55" w:rsidP="00361509">
      <w:pPr>
        <w:pStyle w:val="SubmissionNormal"/>
        <w:tabs>
          <w:tab w:val="clear" w:pos="501"/>
          <w:tab w:val="num" w:pos="851"/>
        </w:tabs>
        <w:ind w:left="709" w:hanging="720"/>
        <w:rPr>
          <w:b/>
        </w:rPr>
      </w:pPr>
      <w:r>
        <w:t>The intersection of gender</w:t>
      </w:r>
      <w:r w:rsidR="00C07289">
        <w:t xml:space="preserve"> with other forms of inequality </w:t>
      </w:r>
      <w:r>
        <w:t>result</w:t>
      </w:r>
      <w:r w:rsidR="00D543E7">
        <w:t>s</w:t>
      </w:r>
      <w:r>
        <w:t xml:space="preserve"> in w</w:t>
      </w:r>
      <w:r w:rsidR="00C07289" w:rsidRPr="00E23DBD">
        <w:t>omen</w:t>
      </w:r>
      <w:r w:rsidR="00A11B61" w:rsidRPr="008A08B3">
        <w:rPr>
          <w:color w:val="FF0000"/>
        </w:rPr>
        <w:t xml:space="preserve"> </w:t>
      </w:r>
      <w:r w:rsidR="00C07289" w:rsidRPr="00E23DBD">
        <w:t xml:space="preserve">with </w:t>
      </w:r>
      <w:r w:rsidR="00C07289">
        <w:t>disability</w:t>
      </w:r>
      <w:r w:rsidR="00C07289" w:rsidRPr="00E23DBD">
        <w:t xml:space="preserve">, Aboriginal and Torres Strait Islander women, </w:t>
      </w:r>
      <w:r w:rsidR="00C07289">
        <w:t>lesbian, bisexual, trans and intersex</w:t>
      </w:r>
      <w:r w:rsidR="00C07289" w:rsidRPr="00E23DBD">
        <w:t xml:space="preserve"> women, and women from culturally and linguistic</w:t>
      </w:r>
      <w:r>
        <w:t>ally diverse backgrounds</w:t>
      </w:r>
      <w:r w:rsidR="00C07289">
        <w:t xml:space="preserve"> </w:t>
      </w:r>
      <w:r>
        <w:t>experiencing</w:t>
      </w:r>
      <w:r w:rsidR="00C07289" w:rsidRPr="00FF6BDC">
        <w:t xml:space="preserve"> higher rates of </w:t>
      </w:r>
      <w:r w:rsidR="00EA4259">
        <w:t>FDV</w:t>
      </w:r>
      <w:r w:rsidR="00C07289" w:rsidRPr="00FF6BDC">
        <w:t xml:space="preserve"> and additional barriers to seeking help and support</w:t>
      </w:r>
      <w:r w:rsidR="00C07289" w:rsidRPr="00E23DBD">
        <w:t>.</w:t>
      </w:r>
      <w:r w:rsidR="00C07289" w:rsidRPr="00C07289">
        <w:rPr>
          <w:rStyle w:val="EndnoteReference"/>
        </w:rPr>
        <w:endnoteReference w:id="14"/>
      </w:r>
      <w:r w:rsidR="00C07289" w:rsidRPr="00E23DBD">
        <w:t xml:space="preserve"> </w:t>
      </w:r>
    </w:p>
    <w:p w:rsidR="00DC193F" w:rsidRPr="00860D71" w:rsidRDefault="00FA1AE0" w:rsidP="00DC193F">
      <w:pPr>
        <w:rPr>
          <w:b/>
        </w:rPr>
      </w:pPr>
      <w:r w:rsidRPr="00860D71">
        <w:rPr>
          <w:b/>
        </w:rPr>
        <w:t xml:space="preserve">Issues for </w:t>
      </w:r>
      <w:r w:rsidR="00FC41A4">
        <w:rPr>
          <w:b/>
        </w:rPr>
        <w:t>consideration in the LOI</w:t>
      </w:r>
      <w:r w:rsidRPr="00860D71">
        <w:rPr>
          <w:b/>
        </w:rPr>
        <w:t>:</w:t>
      </w:r>
      <w:r w:rsidR="00E743F6" w:rsidRPr="00860D71">
        <w:rPr>
          <w:b/>
        </w:rPr>
        <w:t xml:space="preserve"> </w:t>
      </w:r>
    </w:p>
    <w:p w:rsidR="00FA1AE0" w:rsidRPr="00860D71" w:rsidRDefault="004E6B77" w:rsidP="007A5D1A">
      <w:pPr>
        <w:pStyle w:val="SubmissionNormal"/>
        <w:numPr>
          <w:ilvl w:val="0"/>
          <w:numId w:val="17"/>
        </w:numPr>
        <w:ind w:left="426"/>
        <w:rPr>
          <w:b/>
        </w:rPr>
      </w:pPr>
      <w:r w:rsidRPr="00860D71">
        <w:rPr>
          <w:b/>
        </w:rPr>
        <w:t xml:space="preserve">Information on </w:t>
      </w:r>
      <w:r w:rsidR="00C07289" w:rsidRPr="00860D71">
        <w:rPr>
          <w:b/>
        </w:rPr>
        <w:t xml:space="preserve">steps taken by the Australian Government to </w:t>
      </w:r>
      <w:r w:rsidR="00F959B1" w:rsidRPr="00860D71">
        <w:rPr>
          <w:b/>
        </w:rPr>
        <w:t xml:space="preserve">strengthen </w:t>
      </w:r>
      <w:r w:rsidR="00A11D6E" w:rsidRPr="00860D71">
        <w:rPr>
          <w:b/>
        </w:rPr>
        <w:t xml:space="preserve">national </w:t>
      </w:r>
      <w:r w:rsidR="0020504C" w:rsidRPr="00860D71">
        <w:rPr>
          <w:b/>
        </w:rPr>
        <w:t>FDV</w:t>
      </w:r>
      <w:r w:rsidR="00F959B1" w:rsidRPr="00860D71">
        <w:rPr>
          <w:b/>
        </w:rPr>
        <w:t xml:space="preserve"> data collection and reporting mechanisms. </w:t>
      </w:r>
    </w:p>
    <w:p w:rsidR="00A11D6E" w:rsidRPr="00860D71" w:rsidRDefault="00F77E2D" w:rsidP="007A5D1A">
      <w:pPr>
        <w:pStyle w:val="SubmissionNormal"/>
        <w:numPr>
          <w:ilvl w:val="0"/>
          <w:numId w:val="17"/>
        </w:numPr>
        <w:ind w:left="426"/>
        <w:rPr>
          <w:b/>
        </w:rPr>
      </w:pPr>
      <w:r w:rsidRPr="00860D71">
        <w:rPr>
          <w:b/>
        </w:rPr>
        <w:t xml:space="preserve">Information </w:t>
      </w:r>
      <w:r w:rsidR="00701EB2" w:rsidRPr="00860D71">
        <w:rPr>
          <w:b/>
        </w:rPr>
        <w:t xml:space="preserve">on </w:t>
      </w:r>
      <w:r w:rsidR="00843F4B" w:rsidRPr="00860D71">
        <w:rPr>
          <w:b/>
        </w:rPr>
        <w:t xml:space="preserve">specific research undertaken to understand </w:t>
      </w:r>
      <w:r w:rsidR="00885F5E" w:rsidRPr="00860D71">
        <w:rPr>
          <w:b/>
        </w:rPr>
        <w:t xml:space="preserve">the nature and prevalence of </w:t>
      </w:r>
      <w:r w:rsidR="009E6EEE" w:rsidRPr="00860D71">
        <w:rPr>
          <w:b/>
        </w:rPr>
        <w:t>FDV</w:t>
      </w:r>
      <w:r w:rsidR="00885F5E" w:rsidRPr="00860D71">
        <w:rPr>
          <w:b/>
        </w:rPr>
        <w:t xml:space="preserve">, sexual assault and sexual harassment for women </w:t>
      </w:r>
      <w:r w:rsidR="0095700B" w:rsidRPr="00860D71">
        <w:rPr>
          <w:b/>
        </w:rPr>
        <w:t xml:space="preserve">and girls </w:t>
      </w:r>
      <w:r w:rsidR="00885F5E" w:rsidRPr="00860D71">
        <w:rPr>
          <w:b/>
        </w:rPr>
        <w:t>experiencing intersectional discrimination</w:t>
      </w:r>
      <w:r w:rsidR="00706E72" w:rsidRPr="00860D71">
        <w:rPr>
          <w:b/>
        </w:rPr>
        <w:t xml:space="preserve">, </w:t>
      </w:r>
      <w:r w:rsidR="007B551A" w:rsidRPr="00860D71">
        <w:rPr>
          <w:b/>
        </w:rPr>
        <w:t>and specific actions to explicitly address those intersectional causes.</w:t>
      </w:r>
      <w:r w:rsidR="00885F5E" w:rsidRPr="00860D71">
        <w:rPr>
          <w:b/>
        </w:rPr>
        <w:t xml:space="preserve">   </w:t>
      </w:r>
    </w:p>
    <w:p w:rsidR="0075227F" w:rsidRPr="00FB7C84" w:rsidRDefault="00DC193F" w:rsidP="0075227F">
      <w:pPr>
        <w:pStyle w:val="Heading2"/>
        <w:numPr>
          <w:ilvl w:val="1"/>
          <w:numId w:val="16"/>
        </w:numPr>
      </w:pPr>
      <w:bookmarkStart w:id="12" w:name="_Toc494372751"/>
      <w:r>
        <w:t>Violence against Aborigi</w:t>
      </w:r>
      <w:r w:rsidR="00F53166">
        <w:t>nal and Torres Strait Islander w</w:t>
      </w:r>
      <w:r>
        <w:t>omen</w:t>
      </w:r>
      <w:r w:rsidR="0075227F">
        <w:t xml:space="preserve"> (</w:t>
      </w:r>
      <w:r w:rsidR="000F366C">
        <w:t>concluding observations paras 40</w:t>
      </w:r>
      <w:r w:rsidR="007301EE">
        <w:t>–</w:t>
      </w:r>
      <w:r w:rsidR="000F366C">
        <w:t>41</w:t>
      </w:r>
      <w:r w:rsidR="003067C7">
        <w:t xml:space="preserve"> and </w:t>
      </w:r>
      <w:r w:rsidR="0075227F">
        <w:t>CEDAW Articles</w:t>
      </w:r>
      <w:r w:rsidR="000E131C">
        <w:t xml:space="preserve"> 1 and 16)</w:t>
      </w:r>
      <w:bookmarkEnd w:id="12"/>
      <w:r w:rsidR="00BB3892">
        <w:t xml:space="preserve"> </w:t>
      </w:r>
    </w:p>
    <w:p w:rsidR="00D97BE1" w:rsidRPr="000F7E80" w:rsidRDefault="00D97BE1" w:rsidP="00361509">
      <w:pPr>
        <w:pStyle w:val="SubmissionNormal"/>
        <w:tabs>
          <w:tab w:val="clear" w:pos="501"/>
          <w:tab w:val="num" w:pos="851"/>
        </w:tabs>
        <w:ind w:left="709" w:hanging="720"/>
      </w:pPr>
      <w:r w:rsidRPr="009E5CE5">
        <w:t>Aboriginal and Torres Strait Islander women</w:t>
      </w:r>
      <w:r>
        <w:t xml:space="preserve"> are at </w:t>
      </w:r>
      <w:r w:rsidR="00C35EB0">
        <w:t xml:space="preserve">higher </w:t>
      </w:r>
      <w:r>
        <w:t>risk of violence</w:t>
      </w:r>
      <w:r w:rsidR="00655B69">
        <w:t>, compared to the general population</w:t>
      </w:r>
      <w:r>
        <w:t>.</w:t>
      </w:r>
      <w:r w:rsidRPr="00B51BC2">
        <w:rPr>
          <w:rStyle w:val="EndnoteReference"/>
        </w:rPr>
        <w:endnoteReference w:id="15"/>
      </w:r>
      <w:r>
        <w:t xml:space="preserve"> They </w:t>
      </w:r>
      <w:r w:rsidRPr="009E5CE5">
        <w:t>are hospitalised for family violence</w:t>
      </w:r>
      <w:r>
        <w:t>-</w:t>
      </w:r>
      <w:r w:rsidRPr="009E5CE5">
        <w:t>related assault at 3</w:t>
      </w:r>
      <w:r>
        <w:t>0</w:t>
      </w:r>
      <w:r w:rsidRPr="009E5CE5">
        <w:t xml:space="preserve"> times the rate of non-Indigenous </w:t>
      </w:r>
      <w:r w:rsidRPr="009E5CE5">
        <w:rPr>
          <w:lang w:val="en-GB" w:eastAsia="en-GB"/>
        </w:rPr>
        <w:t>women.</w:t>
      </w:r>
      <w:r w:rsidRPr="00B51BC2">
        <w:rPr>
          <w:rStyle w:val="EndnoteReference"/>
          <w:rFonts w:cs="Arial"/>
        </w:rPr>
        <w:endnoteReference w:id="16"/>
      </w:r>
      <w:r w:rsidRPr="009E5CE5">
        <w:rPr>
          <w:lang w:val="en-GB" w:eastAsia="en-GB"/>
        </w:rPr>
        <w:t xml:space="preserve"> </w:t>
      </w:r>
    </w:p>
    <w:p w:rsidR="003B7E8D" w:rsidRDefault="00D97BE1" w:rsidP="00361509">
      <w:pPr>
        <w:pStyle w:val="SubmissionNormal"/>
        <w:tabs>
          <w:tab w:val="clear" w:pos="501"/>
          <w:tab w:val="num" w:pos="851"/>
        </w:tabs>
        <w:ind w:left="709" w:hanging="720"/>
      </w:pPr>
      <w:r w:rsidRPr="00254671">
        <w:lastRenderedPageBreak/>
        <w:t xml:space="preserve">The </w:t>
      </w:r>
      <w:r>
        <w:t>Commission notes that</w:t>
      </w:r>
      <w:r w:rsidR="001275E0">
        <w:t xml:space="preserve"> the National Plan</w:t>
      </w:r>
      <w:r w:rsidRPr="001275E0">
        <w:rPr>
          <w:i/>
        </w:rPr>
        <w:t xml:space="preserve"> </w:t>
      </w:r>
      <w:r>
        <w:t xml:space="preserve">builds on </w:t>
      </w:r>
      <w:r w:rsidR="00E743F6">
        <w:t>the Council of Australian Government’s (COAG)</w:t>
      </w:r>
      <w:r>
        <w:t xml:space="preserve"> commitment under the Close the Gap framework.</w:t>
      </w:r>
      <w:r>
        <w:rPr>
          <w:rStyle w:val="EndnoteReference"/>
        </w:rPr>
        <w:endnoteReference w:id="17"/>
      </w:r>
      <w:r>
        <w:t xml:space="preserve">  </w:t>
      </w:r>
    </w:p>
    <w:p w:rsidR="00D97BE1" w:rsidRDefault="00F01C2E" w:rsidP="00361509">
      <w:pPr>
        <w:pStyle w:val="SubmissionNormal"/>
        <w:tabs>
          <w:tab w:val="clear" w:pos="501"/>
          <w:tab w:val="num" w:pos="851"/>
        </w:tabs>
        <w:ind w:left="709" w:hanging="720"/>
      </w:pPr>
      <w:r>
        <w:t>A</w:t>
      </w:r>
      <w:r w:rsidR="00D97BE1">
        <w:t xml:space="preserve">ction </w:t>
      </w:r>
      <w:r w:rsidR="00D97BE1" w:rsidRPr="00254671">
        <w:t xml:space="preserve">on </w:t>
      </w:r>
      <w:r w:rsidR="000417F6">
        <w:t>FDV</w:t>
      </w:r>
      <w:r w:rsidR="00D97BE1" w:rsidRPr="00254671">
        <w:t xml:space="preserve"> against Aboriginal and Torres Strait Islander women </w:t>
      </w:r>
      <w:r w:rsidR="00D97BE1">
        <w:t>should</w:t>
      </w:r>
      <w:r w:rsidR="00D97BE1" w:rsidRPr="00254671">
        <w:t xml:space="preserve"> be developed in close consultation with Aboriginal and Torres Strait Islander women and other relevant stakeholders.</w:t>
      </w:r>
    </w:p>
    <w:p w:rsidR="00D97BE1" w:rsidRPr="00D97BE1" w:rsidRDefault="00D97BE1" w:rsidP="00D97BE1">
      <w:pPr>
        <w:pStyle w:val="SubmissionNormal"/>
        <w:numPr>
          <w:ilvl w:val="0"/>
          <w:numId w:val="0"/>
        </w:numPr>
        <w:rPr>
          <w:b/>
        </w:rPr>
      </w:pPr>
      <w:r w:rsidRPr="00D97BE1">
        <w:rPr>
          <w:b/>
        </w:rPr>
        <w:t>Issue</w:t>
      </w:r>
      <w:r w:rsidR="00FC41A4">
        <w:rPr>
          <w:b/>
        </w:rPr>
        <w:t>s for consideration in the LOI</w:t>
      </w:r>
      <w:r w:rsidRPr="00D97BE1">
        <w:rPr>
          <w:b/>
        </w:rPr>
        <w:t>:</w:t>
      </w:r>
    </w:p>
    <w:p w:rsidR="00D97BE1" w:rsidRPr="002725C2" w:rsidRDefault="00D97BE1" w:rsidP="00A3732F">
      <w:pPr>
        <w:pStyle w:val="SubmissionNormal"/>
        <w:numPr>
          <w:ilvl w:val="0"/>
          <w:numId w:val="21"/>
        </w:numPr>
        <w:ind w:left="426"/>
      </w:pPr>
      <w:r>
        <w:rPr>
          <w:b/>
        </w:rPr>
        <w:t>Information on steps taken by the Australian Government to</w:t>
      </w:r>
      <w:r w:rsidRPr="007D0DF6">
        <w:rPr>
          <w:b/>
        </w:rPr>
        <w:t xml:space="preserve"> </w:t>
      </w:r>
      <w:r w:rsidR="00796497">
        <w:rPr>
          <w:b/>
        </w:rPr>
        <w:t xml:space="preserve">reduce </w:t>
      </w:r>
      <w:r w:rsidRPr="007D0DF6">
        <w:rPr>
          <w:b/>
        </w:rPr>
        <w:t>violence against Aboriginal and Torres Strait Islander wom</w:t>
      </w:r>
      <w:r w:rsidR="00AA2A4F">
        <w:rPr>
          <w:b/>
        </w:rPr>
        <w:t>en and children</w:t>
      </w:r>
      <w:r w:rsidR="00A3732F">
        <w:rPr>
          <w:b/>
        </w:rPr>
        <w:t xml:space="preserve">, including </w:t>
      </w:r>
      <w:r w:rsidR="00A3732F" w:rsidRPr="00321E37">
        <w:rPr>
          <w:b/>
        </w:rPr>
        <w:t>prevention</w:t>
      </w:r>
      <w:r w:rsidR="00A3732F">
        <w:rPr>
          <w:b/>
        </w:rPr>
        <w:t xml:space="preserve"> and </w:t>
      </w:r>
      <w:r w:rsidR="00A3732F" w:rsidRPr="00321E37">
        <w:rPr>
          <w:b/>
        </w:rPr>
        <w:t>early intervention initiatives</w:t>
      </w:r>
      <w:r w:rsidR="00DC7789">
        <w:rPr>
          <w:b/>
        </w:rPr>
        <w:t xml:space="preserve"> as an urgent priority issue</w:t>
      </w:r>
      <w:r w:rsidR="00A3732F">
        <w:rPr>
          <w:b/>
        </w:rPr>
        <w:t>.</w:t>
      </w:r>
    </w:p>
    <w:p w:rsidR="00DC193F" w:rsidRPr="00FB7C84" w:rsidRDefault="00DC193F" w:rsidP="00DC193F">
      <w:pPr>
        <w:pStyle w:val="Heading2"/>
        <w:numPr>
          <w:ilvl w:val="1"/>
          <w:numId w:val="16"/>
        </w:numPr>
      </w:pPr>
      <w:bookmarkStart w:id="13" w:name="_Toc494372752"/>
      <w:r>
        <w:t xml:space="preserve">Violence against women and girls with disability </w:t>
      </w:r>
      <w:r w:rsidR="00613820">
        <w:t>(</w:t>
      </w:r>
      <w:r w:rsidR="0084656F">
        <w:t xml:space="preserve">concluding </w:t>
      </w:r>
      <w:r w:rsidR="00016637">
        <w:t>observations</w:t>
      </w:r>
      <w:r w:rsidR="00235302">
        <w:t xml:space="preserve"> </w:t>
      </w:r>
      <w:r w:rsidR="0084656F">
        <w:t>para</w:t>
      </w:r>
      <w:r w:rsidR="00235302">
        <w:t>s</w:t>
      </w:r>
      <w:r w:rsidR="0084656F">
        <w:t xml:space="preserve"> </w:t>
      </w:r>
      <w:r w:rsidR="00235302">
        <w:t>42</w:t>
      </w:r>
      <w:r w:rsidR="002B1227">
        <w:t>–</w:t>
      </w:r>
      <w:r w:rsidR="0084656F">
        <w:t xml:space="preserve">43 and </w:t>
      </w:r>
      <w:r w:rsidR="00613820">
        <w:t>CEDAW Articles</w:t>
      </w:r>
      <w:r w:rsidR="008C7BFA">
        <w:t xml:space="preserve"> 1</w:t>
      </w:r>
      <w:r w:rsidR="00E32F4E">
        <w:t xml:space="preserve"> </w:t>
      </w:r>
      <w:r w:rsidR="008C7BFA">
        <w:t>and</w:t>
      </w:r>
      <w:r w:rsidR="00613820">
        <w:t xml:space="preserve"> </w:t>
      </w:r>
      <w:r w:rsidR="004641C8">
        <w:t>16)</w:t>
      </w:r>
      <w:bookmarkEnd w:id="13"/>
      <w:r w:rsidR="00BB3892">
        <w:t xml:space="preserve"> </w:t>
      </w:r>
    </w:p>
    <w:p w:rsidR="00A3167B" w:rsidRDefault="00A3167B" w:rsidP="002C7C1C">
      <w:pPr>
        <w:pStyle w:val="SubmissionNormal"/>
        <w:tabs>
          <w:tab w:val="clear" w:pos="501"/>
          <w:tab w:val="num" w:pos="709"/>
        </w:tabs>
        <w:ind w:left="709" w:hanging="720"/>
      </w:pPr>
      <w:r>
        <w:t xml:space="preserve">Women </w:t>
      </w:r>
      <w:r w:rsidR="009F5901">
        <w:t xml:space="preserve">and girls </w:t>
      </w:r>
      <w:r>
        <w:t>with disability experience intersectional inequality and violence at higher rates than the general population.</w:t>
      </w:r>
      <w:r>
        <w:rPr>
          <w:rStyle w:val="EndnoteReference"/>
        </w:rPr>
        <w:endnoteReference w:id="18"/>
      </w:r>
      <w:r>
        <w:t xml:space="preserve"> </w:t>
      </w:r>
    </w:p>
    <w:p w:rsidR="00367083" w:rsidRPr="00C21640" w:rsidRDefault="00A3167B" w:rsidP="002C7C1C">
      <w:pPr>
        <w:pStyle w:val="SubmissionNormal"/>
        <w:tabs>
          <w:tab w:val="clear" w:pos="501"/>
          <w:tab w:val="num" w:pos="709"/>
        </w:tabs>
        <w:ind w:left="709" w:hanging="720"/>
      </w:pPr>
      <w:r>
        <w:t xml:space="preserve">The Commission welcomes the </w:t>
      </w:r>
      <w:r w:rsidR="00555DE2">
        <w:t>COAG</w:t>
      </w:r>
      <w:r w:rsidR="009E2321">
        <w:t xml:space="preserve"> Advisory Panel Report, </w:t>
      </w:r>
      <w:r w:rsidR="009E2321" w:rsidRPr="009E2321">
        <w:rPr>
          <w:i/>
        </w:rPr>
        <w:t>Reducing Violence Against Women and their Children</w:t>
      </w:r>
      <w:r w:rsidR="009E2321">
        <w:t xml:space="preserve"> (2016 COAG Report)</w:t>
      </w:r>
      <w:r w:rsidR="009E2321">
        <w:rPr>
          <w:rStyle w:val="EndnoteReference"/>
        </w:rPr>
        <w:endnoteReference w:id="19"/>
      </w:r>
      <w:r w:rsidR="009E2321">
        <w:t xml:space="preserve"> and the </w:t>
      </w:r>
      <w:r w:rsidRPr="00FF7E22">
        <w:rPr>
          <w:i/>
        </w:rPr>
        <w:t>Third Action Plan (2016-19)</w:t>
      </w:r>
      <w:r w:rsidR="00470E52">
        <w:rPr>
          <w:i/>
        </w:rPr>
        <w:t xml:space="preserve"> </w:t>
      </w:r>
      <w:r w:rsidR="00470E52">
        <w:t>(Third Action Plan)</w:t>
      </w:r>
      <w:r w:rsidRPr="00FF7E22">
        <w:rPr>
          <w:i/>
        </w:rPr>
        <w:t xml:space="preserve"> </w:t>
      </w:r>
      <w:r>
        <w:t xml:space="preserve">under the </w:t>
      </w:r>
      <w:r w:rsidR="007A483D">
        <w:t>Nationa</w:t>
      </w:r>
      <w:r w:rsidR="00555DE2">
        <w:t>l Plan</w:t>
      </w:r>
      <w:r w:rsidR="007A483D">
        <w:t xml:space="preserve"> </w:t>
      </w:r>
      <w:r>
        <w:t>to “</w:t>
      </w:r>
      <w:r w:rsidRPr="00FF7E22">
        <w:rPr>
          <w:i/>
        </w:rPr>
        <w:t>improve support to women with disability who experience or are at risk of violence by working with them, the disability sector, specialist family and domestic violence services and mainstream services</w:t>
      </w:r>
      <w:r w:rsidR="00470E52">
        <w:t>”</w:t>
      </w:r>
      <w:r>
        <w:t>.</w:t>
      </w:r>
      <w:r>
        <w:rPr>
          <w:rStyle w:val="EndnoteReference"/>
        </w:rPr>
        <w:endnoteReference w:id="20"/>
      </w:r>
      <w:r>
        <w:t xml:space="preserve"> </w:t>
      </w:r>
      <w:r w:rsidR="009A3DF5">
        <w:t>However, the</w:t>
      </w:r>
      <w:r w:rsidR="009A3DF5" w:rsidRPr="00FF7E22">
        <w:rPr>
          <w:rFonts w:cs="Arial"/>
        </w:rPr>
        <w:t xml:space="preserve"> Commission is concerned that </w:t>
      </w:r>
      <w:r w:rsidR="009A3DF5">
        <w:rPr>
          <w:rFonts w:cs="Arial"/>
        </w:rPr>
        <w:t xml:space="preserve">the Third Action Plan </w:t>
      </w:r>
      <w:r w:rsidR="009A3DF5" w:rsidRPr="00FF7E22">
        <w:rPr>
          <w:rFonts w:cs="Arial"/>
        </w:rPr>
        <w:t xml:space="preserve">fails to address other forms of violence perpetrated against women and girls with </w:t>
      </w:r>
      <w:r w:rsidR="009A3DF5">
        <w:rPr>
          <w:rFonts w:cs="Arial"/>
        </w:rPr>
        <w:t>disability.</w:t>
      </w:r>
      <w:r w:rsidR="009A3DF5">
        <w:rPr>
          <w:rStyle w:val="EndnoteReference"/>
          <w:rFonts w:cs="Arial"/>
        </w:rPr>
        <w:endnoteReference w:id="21"/>
      </w:r>
      <w:r w:rsidR="009A3DF5">
        <w:rPr>
          <w:rFonts w:cs="Arial"/>
        </w:rPr>
        <w:t xml:space="preserve"> </w:t>
      </w:r>
    </w:p>
    <w:p w:rsidR="00C21640" w:rsidRPr="006A521F" w:rsidRDefault="00C21640" w:rsidP="002C7C1C">
      <w:pPr>
        <w:pStyle w:val="SubmissionNormal"/>
        <w:tabs>
          <w:tab w:val="clear" w:pos="501"/>
          <w:tab w:val="num" w:pos="709"/>
        </w:tabs>
        <w:ind w:left="709" w:hanging="720"/>
      </w:pPr>
      <w:r>
        <w:t>T</w:t>
      </w:r>
      <w:r w:rsidRPr="00FF7E22">
        <w:rPr>
          <w:rFonts w:cs="Arial"/>
          <w:lang w:val="en"/>
        </w:rPr>
        <w:t xml:space="preserve">he </w:t>
      </w:r>
      <w:r w:rsidRPr="00FF7E22">
        <w:rPr>
          <w:rFonts w:cs="Arial"/>
        </w:rPr>
        <w:t xml:space="preserve">Commission </w:t>
      </w:r>
      <w:r>
        <w:rPr>
          <w:rFonts w:cs="Arial"/>
        </w:rPr>
        <w:t>is</w:t>
      </w:r>
      <w:r w:rsidRPr="00FF7E22">
        <w:rPr>
          <w:rFonts w:cs="Arial"/>
        </w:rPr>
        <w:t xml:space="preserve"> </w:t>
      </w:r>
      <w:r>
        <w:rPr>
          <w:rFonts w:cs="Arial"/>
        </w:rPr>
        <w:t xml:space="preserve">also </w:t>
      </w:r>
      <w:r w:rsidRPr="00FF7E22">
        <w:rPr>
          <w:rFonts w:cs="Arial"/>
        </w:rPr>
        <w:t xml:space="preserve">concerned </w:t>
      </w:r>
      <w:r>
        <w:rPr>
          <w:rFonts w:cs="Arial"/>
        </w:rPr>
        <w:t xml:space="preserve">about </w:t>
      </w:r>
      <w:r w:rsidRPr="00FF7E22">
        <w:rPr>
          <w:rFonts w:cs="Arial"/>
        </w:rPr>
        <w:t>the under-resourcing of accommodation and support services</w:t>
      </w:r>
      <w:r>
        <w:rPr>
          <w:rFonts w:cs="Arial"/>
        </w:rPr>
        <w:t xml:space="preserve"> for women and girls with disability experiencing violence.</w:t>
      </w:r>
      <w:r>
        <w:rPr>
          <w:rStyle w:val="EndnoteReference"/>
          <w:rFonts w:cs="Arial"/>
        </w:rPr>
        <w:endnoteReference w:id="22"/>
      </w:r>
    </w:p>
    <w:p w:rsidR="006A521F" w:rsidRDefault="006A521F" w:rsidP="002C7C1C">
      <w:pPr>
        <w:pStyle w:val="SubmissionNormal"/>
        <w:tabs>
          <w:tab w:val="clear" w:pos="501"/>
          <w:tab w:val="num" w:pos="709"/>
        </w:tabs>
        <w:ind w:left="709" w:hanging="720"/>
      </w:pPr>
      <w:r w:rsidRPr="00A007A3">
        <w:t xml:space="preserve">The </w:t>
      </w:r>
      <w:r w:rsidRPr="00375A9B">
        <w:rPr>
          <w:rFonts w:cs="Arial"/>
        </w:rPr>
        <w:t>Commission</w:t>
      </w:r>
      <w:r w:rsidRPr="00A007A3">
        <w:t xml:space="preserve"> notes that a 2015 Senate inquiry recommended that the National Plan </w:t>
      </w:r>
      <w:r w:rsidR="00E92D92">
        <w:t xml:space="preserve">should </w:t>
      </w:r>
      <w:r w:rsidRPr="00A007A3">
        <w:t>be updated to include institutional and di</w:t>
      </w:r>
      <w:r>
        <w:t>sability accommodation settings</w:t>
      </w:r>
      <w:r w:rsidR="0066547D">
        <w:t>.</w:t>
      </w:r>
      <w:r>
        <w:rPr>
          <w:rStyle w:val="EndnoteReference"/>
        </w:rPr>
        <w:endnoteReference w:id="23"/>
      </w:r>
      <w:r>
        <w:t xml:space="preserve"> </w:t>
      </w:r>
      <w:r w:rsidR="0066547D">
        <w:t xml:space="preserve">This </w:t>
      </w:r>
      <w:r>
        <w:t>was not accepted by</w:t>
      </w:r>
      <w:r w:rsidRPr="00A007A3">
        <w:t xml:space="preserve"> the Government</w:t>
      </w:r>
      <w:r>
        <w:t>.</w:t>
      </w:r>
      <w:r>
        <w:rPr>
          <w:rStyle w:val="EndnoteReference"/>
        </w:rPr>
        <w:endnoteReference w:id="24"/>
      </w:r>
      <w:r w:rsidR="00E6729B">
        <w:t xml:space="preserve"> </w:t>
      </w:r>
    </w:p>
    <w:p w:rsidR="00A3167B" w:rsidRDefault="00C774DA" w:rsidP="002C7C1C">
      <w:pPr>
        <w:pStyle w:val="SubmissionNormal"/>
        <w:tabs>
          <w:tab w:val="clear" w:pos="501"/>
          <w:tab w:val="num" w:pos="709"/>
        </w:tabs>
        <w:ind w:left="709" w:hanging="720"/>
      </w:pPr>
      <w:r>
        <w:t>T</w:t>
      </w:r>
      <w:r w:rsidR="00367083">
        <w:t>he Commission refers to the Stop the Violence Project</w:t>
      </w:r>
      <w:r w:rsidR="00797020">
        <w:t>,</w:t>
      </w:r>
      <w:r w:rsidR="00367083">
        <w:rPr>
          <w:rStyle w:val="EndnoteReference"/>
        </w:rPr>
        <w:endnoteReference w:id="25"/>
      </w:r>
      <w:r w:rsidR="00367083">
        <w:t xml:space="preserve"> </w:t>
      </w:r>
      <w:r w:rsidR="005F3207">
        <w:t xml:space="preserve">which </w:t>
      </w:r>
      <w:r w:rsidR="00367083">
        <w:t>provides an evidence base to support future reform in service provision to better respond to the needs of women and girls with disability experiencing violence.</w:t>
      </w:r>
    </w:p>
    <w:p w:rsidR="00A3167B" w:rsidRDefault="003257B1" w:rsidP="002C7C1C">
      <w:pPr>
        <w:pStyle w:val="SubmissionNormal"/>
        <w:tabs>
          <w:tab w:val="clear" w:pos="501"/>
          <w:tab w:val="num" w:pos="709"/>
        </w:tabs>
        <w:ind w:left="709" w:hanging="720"/>
      </w:pPr>
      <w:r>
        <w:rPr>
          <w:rFonts w:cs="Arial"/>
        </w:rPr>
        <w:t>T</w:t>
      </w:r>
      <w:r w:rsidR="00A3167B" w:rsidRPr="008476A2">
        <w:t xml:space="preserve">he Commission </w:t>
      </w:r>
      <w:r w:rsidR="004263F8">
        <w:t xml:space="preserve">also </w:t>
      </w:r>
      <w:r w:rsidR="00A3167B" w:rsidRPr="008476A2">
        <w:t xml:space="preserve">remains concerned that sterilisation of </w:t>
      </w:r>
      <w:r w:rsidR="00A3167B">
        <w:t>women and girls</w:t>
      </w:r>
      <w:r w:rsidR="00A3167B" w:rsidRPr="008476A2">
        <w:t xml:space="preserve"> with </w:t>
      </w:r>
      <w:r w:rsidR="00A3167B">
        <w:t>disability, without consent,</w:t>
      </w:r>
      <w:r w:rsidR="00A3167B" w:rsidRPr="008476A2">
        <w:t xml:space="preserve"> continues to </w:t>
      </w:r>
      <w:r w:rsidR="00A3167B">
        <w:t>occur in Australia.</w:t>
      </w:r>
      <w:r w:rsidR="00A3167B">
        <w:rPr>
          <w:rStyle w:val="EndnoteReference"/>
        </w:rPr>
        <w:endnoteReference w:id="26"/>
      </w:r>
      <w:r w:rsidR="00A3167B">
        <w:t xml:space="preserve"> </w:t>
      </w:r>
    </w:p>
    <w:p w:rsidR="00A3167B" w:rsidRDefault="00A3167B" w:rsidP="00A3167B">
      <w:pPr>
        <w:pStyle w:val="SubmissionNormal"/>
        <w:numPr>
          <w:ilvl w:val="0"/>
          <w:numId w:val="0"/>
        </w:numPr>
        <w:rPr>
          <w:b/>
        </w:rPr>
      </w:pPr>
      <w:r w:rsidRPr="00A3167B">
        <w:rPr>
          <w:b/>
        </w:rPr>
        <w:t>Issue</w:t>
      </w:r>
      <w:r w:rsidR="00FC41A4">
        <w:rPr>
          <w:b/>
        </w:rPr>
        <w:t>s for consideration in the LOI</w:t>
      </w:r>
      <w:r w:rsidRPr="00A3167B">
        <w:rPr>
          <w:b/>
        </w:rPr>
        <w:t>:</w:t>
      </w:r>
    </w:p>
    <w:p w:rsidR="000364CF" w:rsidRDefault="000364CF" w:rsidP="007A5D1A">
      <w:pPr>
        <w:pStyle w:val="SubmissionNormal"/>
        <w:numPr>
          <w:ilvl w:val="0"/>
          <w:numId w:val="17"/>
        </w:numPr>
        <w:ind w:left="426"/>
        <w:rPr>
          <w:rFonts w:eastAsia="Calibri" w:cs="Arial"/>
          <w:b/>
          <w:lang w:val="en-NZ" w:eastAsia="en-US"/>
        </w:rPr>
      </w:pPr>
      <w:r>
        <w:rPr>
          <w:rFonts w:eastAsia="Calibri" w:cs="Arial"/>
          <w:b/>
          <w:lang w:val="en-NZ" w:eastAsia="en-US"/>
        </w:rPr>
        <w:t>Information on efforts to</w:t>
      </w:r>
      <w:r w:rsidRPr="000364CF">
        <w:rPr>
          <w:rFonts w:eastAsia="Calibri" w:cs="Arial"/>
          <w:b/>
          <w:lang w:val="en-NZ" w:eastAsia="en-US"/>
        </w:rPr>
        <w:t xml:space="preserve"> ensure that subsequent Action Plans to the National Plan continue to </w:t>
      </w:r>
      <w:r w:rsidR="00985DC5">
        <w:rPr>
          <w:rFonts w:eastAsia="Calibri" w:cs="Arial"/>
          <w:b/>
          <w:lang w:val="en-NZ" w:eastAsia="en-US"/>
        </w:rPr>
        <w:t>support</w:t>
      </w:r>
      <w:r w:rsidRPr="000364CF">
        <w:rPr>
          <w:rFonts w:eastAsia="Calibri" w:cs="Arial"/>
          <w:b/>
          <w:lang w:val="en-NZ" w:eastAsia="en-US"/>
        </w:rPr>
        <w:t xml:space="preserve"> prevent</w:t>
      </w:r>
      <w:r w:rsidR="00985DC5">
        <w:rPr>
          <w:rFonts w:eastAsia="Calibri" w:cs="Arial"/>
          <w:b/>
          <w:lang w:val="en-NZ" w:eastAsia="en-US"/>
        </w:rPr>
        <w:t>ion and early intervention initiatives, and</w:t>
      </w:r>
      <w:r w:rsidR="00C752EC">
        <w:rPr>
          <w:rFonts w:eastAsia="Calibri" w:cs="Arial"/>
          <w:b/>
          <w:lang w:val="en-NZ" w:eastAsia="en-US"/>
        </w:rPr>
        <w:t xml:space="preserve"> improve the provision of support and services for people experienci</w:t>
      </w:r>
      <w:r w:rsidR="00D85255">
        <w:rPr>
          <w:rFonts w:eastAsia="Calibri" w:cs="Arial"/>
          <w:b/>
          <w:lang w:val="en-NZ" w:eastAsia="en-US"/>
        </w:rPr>
        <w:t>ng gendered disability violence,</w:t>
      </w:r>
      <w:r w:rsidR="00194615">
        <w:rPr>
          <w:rFonts w:eastAsia="Calibri" w:cs="Arial"/>
          <w:b/>
          <w:lang w:val="en-NZ" w:eastAsia="en-US"/>
        </w:rPr>
        <w:t xml:space="preserve"> including</w:t>
      </w:r>
      <w:r w:rsidR="00C752EC">
        <w:rPr>
          <w:rFonts w:eastAsia="Calibri" w:cs="Arial"/>
          <w:b/>
          <w:lang w:val="en-NZ" w:eastAsia="en-US"/>
        </w:rPr>
        <w:t xml:space="preserve"> </w:t>
      </w:r>
      <w:r w:rsidRPr="000364CF">
        <w:rPr>
          <w:rFonts w:eastAsia="Calibri" w:cs="Arial"/>
          <w:b/>
          <w:lang w:val="en-NZ" w:eastAsia="en-US"/>
        </w:rPr>
        <w:t xml:space="preserve">implementation of </w:t>
      </w:r>
      <w:r w:rsidRPr="000364CF">
        <w:rPr>
          <w:rFonts w:eastAsia="Calibri" w:cs="Arial"/>
          <w:b/>
          <w:lang w:val="en-NZ" w:eastAsia="en-US"/>
        </w:rPr>
        <w:lastRenderedPageBreak/>
        <w:t>relevant recommendations fro</w:t>
      </w:r>
      <w:r>
        <w:rPr>
          <w:rFonts w:eastAsia="Calibri" w:cs="Arial"/>
          <w:b/>
          <w:lang w:val="en-NZ" w:eastAsia="en-US"/>
        </w:rPr>
        <w:t xml:space="preserve">m the Stop the Violence Project, </w:t>
      </w:r>
      <w:r w:rsidR="00CE4727">
        <w:rPr>
          <w:rFonts w:eastAsia="Calibri" w:cs="Arial"/>
          <w:b/>
          <w:lang w:val="en-NZ" w:eastAsia="en-US"/>
        </w:rPr>
        <w:t xml:space="preserve">the 2015 Senate inquiry and the 2016 COAG Report. </w:t>
      </w:r>
    </w:p>
    <w:p w:rsidR="0031203B" w:rsidRPr="00D2175F" w:rsidRDefault="0031203B" w:rsidP="007A5D1A">
      <w:pPr>
        <w:pStyle w:val="SubmissionNormal"/>
        <w:numPr>
          <w:ilvl w:val="0"/>
          <w:numId w:val="17"/>
        </w:numPr>
        <w:ind w:left="426"/>
        <w:rPr>
          <w:rFonts w:eastAsia="Calibri" w:cs="Arial"/>
          <w:b/>
          <w:lang w:val="en-NZ" w:eastAsia="en-US"/>
        </w:rPr>
      </w:pPr>
      <w:r>
        <w:rPr>
          <w:rFonts w:eastAsia="Calibri" w:cs="Arial"/>
          <w:b/>
          <w:lang w:val="en-NZ" w:eastAsia="en-US"/>
        </w:rPr>
        <w:t xml:space="preserve">Information on progress towards a national response to violence against women in institutional and disability accommodation settings. </w:t>
      </w:r>
    </w:p>
    <w:p w:rsidR="00A3167B" w:rsidRPr="00A3167B" w:rsidRDefault="00A3167B" w:rsidP="007A5D1A">
      <w:pPr>
        <w:pStyle w:val="SubmissionNormal"/>
        <w:numPr>
          <w:ilvl w:val="0"/>
          <w:numId w:val="17"/>
        </w:numPr>
        <w:ind w:left="426"/>
      </w:pPr>
      <w:r>
        <w:rPr>
          <w:b/>
        </w:rPr>
        <w:t xml:space="preserve">Information on </w:t>
      </w:r>
      <w:r w:rsidRPr="00921027">
        <w:rPr>
          <w:rFonts w:eastAsia="Calibri" w:cs="Arial"/>
          <w:b/>
          <w:lang w:val="en-NZ" w:eastAsia="en-US"/>
        </w:rPr>
        <w:t xml:space="preserve">legal protections to </w:t>
      </w:r>
      <w:r>
        <w:rPr>
          <w:rFonts w:eastAsia="Calibri" w:cs="Arial"/>
          <w:b/>
          <w:lang w:val="en-NZ" w:eastAsia="en-US"/>
        </w:rPr>
        <w:t>prevent</w:t>
      </w:r>
      <w:r w:rsidRPr="00921027">
        <w:rPr>
          <w:rFonts w:eastAsia="Calibri" w:cs="Arial"/>
          <w:b/>
          <w:lang w:val="en-NZ" w:eastAsia="en-US"/>
        </w:rPr>
        <w:t xml:space="preserve"> sterilisation of </w:t>
      </w:r>
      <w:r>
        <w:rPr>
          <w:rFonts w:eastAsia="Calibri" w:cs="Arial"/>
          <w:b/>
          <w:lang w:val="en-NZ" w:eastAsia="en-US"/>
        </w:rPr>
        <w:t>women and girls</w:t>
      </w:r>
      <w:r w:rsidRPr="00921027">
        <w:rPr>
          <w:rFonts w:eastAsia="Calibri" w:cs="Arial"/>
          <w:b/>
          <w:lang w:val="en-NZ" w:eastAsia="en-US"/>
        </w:rPr>
        <w:t xml:space="preserve"> with </w:t>
      </w:r>
      <w:r>
        <w:rPr>
          <w:rFonts w:eastAsia="Calibri" w:cs="Arial"/>
          <w:b/>
          <w:lang w:val="en-NZ" w:eastAsia="en-US"/>
        </w:rPr>
        <w:t>disability</w:t>
      </w:r>
      <w:r w:rsidRPr="00921027">
        <w:rPr>
          <w:rFonts w:eastAsia="Calibri" w:cs="Arial"/>
          <w:b/>
          <w:lang w:val="en-NZ" w:eastAsia="en-US"/>
        </w:rPr>
        <w:t xml:space="preserve"> without consent.</w:t>
      </w:r>
    </w:p>
    <w:p w:rsidR="00DC193F" w:rsidRPr="006F4590" w:rsidRDefault="00A3167B" w:rsidP="007A5D1A">
      <w:pPr>
        <w:pStyle w:val="SubmissionNormal"/>
        <w:numPr>
          <w:ilvl w:val="0"/>
          <w:numId w:val="17"/>
        </w:numPr>
        <w:ind w:left="426"/>
        <w:rPr>
          <w:b/>
        </w:rPr>
      </w:pPr>
      <w:r>
        <w:rPr>
          <w:b/>
        </w:rPr>
        <w:t xml:space="preserve">Information on </w:t>
      </w:r>
      <w:r w:rsidR="00E40CB1">
        <w:rPr>
          <w:b/>
        </w:rPr>
        <w:t xml:space="preserve">the </w:t>
      </w:r>
      <w:r>
        <w:rPr>
          <w:b/>
        </w:rPr>
        <w:t>provision of adequate resources for</w:t>
      </w:r>
      <w:r w:rsidRPr="00C81C05">
        <w:rPr>
          <w:rFonts w:eastAsia="Calibri" w:cs="Arial"/>
          <w:b/>
          <w:lang w:val="en-NZ" w:eastAsia="en-US"/>
        </w:rPr>
        <w:t xml:space="preserve"> </w:t>
      </w:r>
      <w:r w:rsidRPr="00C81C05">
        <w:rPr>
          <w:rFonts w:cs="Arial"/>
          <w:b/>
        </w:rPr>
        <w:t xml:space="preserve">accommodation and support services for </w:t>
      </w:r>
      <w:r w:rsidRPr="00C81C05">
        <w:rPr>
          <w:rFonts w:eastAsia="Calibri" w:cs="Arial"/>
          <w:b/>
          <w:lang w:val="en-NZ" w:eastAsia="en-US"/>
        </w:rPr>
        <w:t xml:space="preserve">women and girls with </w:t>
      </w:r>
      <w:r>
        <w:rPr>
          <w:rFonts w:eastAsia="Calibri" w:cs="Arial"/>
          <w:b/>
          <w:lang w:val="en-NZ" w:eastAsia="en-US"/>
        </w:rPr>
        <w:t>disability</w:t>
      </w:r>
      <w:r w:rsidR="00CF2B99">
        <w:rPr>
          <w:rFonts w:eastAsia="Calibri" w:cs="Arial"/>
          <w:b/>
          <w:lang w:val="en-NZ" w:eastAsia="en-US"/>
        </w:rPr>
        <w:t xml:space="preserve"> experiencing violence</w:t>
      </w:r>
      <w:r w:rsidRPr="00C81C05">
        <w:rPr>
          <w:rFonts w:eastAsia="Calibri" w:cs="Arial"/>
          <w:b/>
          <w:lang w:val="en-NZ" w:eastAsia="en-US"/>
        </w:rPr>
        <w:t>.</w:t>
      </w:r>
    </w:p>
    <w:p w:rsidR="009E6C7D" w:rsidRPr="0034606B" w:rsidRDefault="009E6C7D" w:rsidP="00AA23B8">
      <w:pPr>
        <w:pStyle w:val="Heading2"/>
        <w:numPr>
          <w:ilvl w:val="1"/>
          <w:numId w:val="16"/>
        </w:numPr>
      </w:pPr>
      <w:bookmarkStart w:id="14" w:name="_Toc494372753"/>
      <w:r>
        <w:t>S</w:t>
      </w:r>
      <w:r w:rsidRPr="0034606B">
        <w:t xml:space="preserve">exual </w:t>
      </w:r>
      <w:r w:rsidR="000778E7" w:rsidRPr="0034606B">
        <w:t xml:space="preserve">harassment </w:t>
      </w:r>
      <w:r w:rsidRPr="0034606B">
        <w:t xml:space="preserve">and sexual </w:t>
      </w:r>
      <w:r w:rsidR="000778E7" w:rsidRPr="0034606B">
        <w:t xml:space="preserve">assault </w:t>
      </w:r>
      <w:r>
        <w:t>in the workplace and in university settings</w:t>
      </w:r>
      <w:bookmarkEnd w:id="14"/>
      <w:r>
        <w:t xml:space="preserve"> </w:t>
      </w:r>
      <w:bookmarkEnd w:id="10"/>
      <w:bookmarkEnd w:id="11"/>
    </w:p>
    <w:p w:rsidR="009E6C7D" w:rsidRDefault="009E6C7D" w:rsidP="00351538">
      <w:pPr>
        <w:pStyle w:val="SubmissionNormal"/>
        <w:tabs>
          <w:tab w:val="clear" w:pos="501"/>
          <w:tab w:val="num" w:pos="851"/>
          <w:tab w:val="num" w:pos="993"/>
        </w:tabs>
        <w:ind w:left="709" w:hanging="709"/>
      </w:pPr>
      <w:r>
        <w:t>In</w:t>
      </w:r>
      <w:r w:rsidRPr="00FF6BDC">
        <w:t xml:space="preserve"> </w:t>
      </w:r>
      <w:r>
        <w:t xml:space="preserve">2012, the Commission’s </w:t>
      </w:r>
      <w:r w:rsidRPr="00FF6BDC">
        <w:t>national</w:t>
      </w:r>
      <w:r>
        <w:t xml:space="preserve"> telephone survey on workplace sexual harassment </w:t>
      </w:r>
      <w:r w:rsidRPr="00FF6BDC">
        <w:t>found that 21%</w:t>
      </w:r>
      <w:r>
        <w:t xml:space="preserve"> of</w:t>
      </w:r>
      <w:r w:rsidRPr="00FF6BDC">
        <w:t xml:space="preserve"> people in Australia had been sexually harassed since the age of 15, with the majority (68%) experiencing this harassment in the workplace.</w:t>
      </w:r>
      <w:r w:rsidRPr="008C4D4C">
        <w:rPr>
          <w:rStyle w:val="EndnoteReference"/>
          <w:rFonts w:cs="Arial"/>
        </w:rPr>
        <w:endnoteReference w:id="27"/>
      </w:r>
      <w:r w:rsidRPr="008C4D4C">
        <w:rPr>
          <w:rStyle w:val="EndnoteReference"/>
          <w:rFonts w:cs="Arial"/>
        </w:rPr>
        <w:t xml:space="preserve"> </w:t>
      </w:r>
      <w:r w:rsidRPr="00FF6BDC">
        <w:t>The survey also found that s</w:t>
      </w:r>
      <w:r w:rsidRPr="008908FD">
        <w:t>exual harassment affects more women than men</w:t>
      </w:r>
      <w:r w:rsidRPr="00FF6BDC">
        <w:t>. One-third of women (33%) had been sexually harassed since the age of 15, compared to 9%</w:t>
      </w:r>
      <w:r>
        <w:t xml:space="preserve"> of</w:t>
      </w:r>
      <w:r w:rsidRPr="00FF6BDC">
        <w:t xml:space="preserve"> men.</w:t>
      </w:r>
      <w:r w:rsidRPr="008C4D4C">
        <w:rPr>
          <w:rStyle w:val="EndnoteReference"/>
          <w:rFonts w:cs="Arial"/>
        </w:rPr>
        <w:endnoteReference w:id="28"/>
      </w:r>
    </w:p>
    <w:p w:rsidR="009E6C7D" w:rsidRDefault="009E6C7D" w:rsidP="00351538">
      <w:pPr>
        <w:pStyle w:val="SubmissionNormal"/>
        <w:tabs>
          <w:tab w:val="clear" w:pos="501"/>
          <w:tab w:val="num" w:pos="851"/>
          <w:tab w:val="num" w:pos="993"/>
        </w:tabs>
        <w:ind w:left="709" w:hanging="709"/>
      </w:pPr>
      <w:r>
        <w:t xml:space="preserve">The Commission commends the Government for funding the Commission’s 2017 survey, currently underway.  </w:t>
      </w:r>
    </w:p>
    <w:p w:rsidR="00DB079B" w:rsidRPr="00AB273B" w:rsidRDefault="009E6C7D" w:rsidP="00351538">
      <w:pPr>
        <w:pStyle w:val="SubmissionNormal"/>
        <w:tabs>
          <w:tab w:val="clear" w:pos="501"/>
          <w:tab w:val="num" w:pos="851"/>
          <w:tab w:val="num" w:pos="993"/>
        </w:tabs>
        <w:ind w:left="709" w:hanging="709"/>
      </w:pPr>
      <w:r>
        <w:t>The</w:t>
      </w:r>
      <w:r w:rsidRPr="00007B8C">
        <w:t xml:space="preserve"> Commission </w:t>
      </w:r>
      <w:r>
        <w:t>conducted</w:t>
      </w:r>
      <w:r w:rsidRPr="00007B8C">
        <w:t xml:space="preserve"> a </w:t>
      </w:r>
      <w:r w:rsidRPr="008908FD">
        <w:t>national survey on sexual assault and sexual harassment in Australian universities and rel</w:t>
      </w:r>
      <w:r w:rsidR="005F42E4">
        <w:t xml:space="preserve">eased </w:t>
      </w:r>
      <w:r w:rsidR="00724440">
        <w:t>the findings</w:t>
      </w:r>
      <w:r w:rsidR="005F42E4">
        <w:t xml:space="preserve"> in 2017 (Change t</w:t>
      </w:r>
      <w:r w:rsidRPr="008908FD">
        <w:t xml:space="preserve">he Course report). The Commission found that </w:t>
      </w:r>
      <w:r>
        <w:t>51%</w:t>
      </w:r>
      <w:r w:rsidRPr="0034606B">
        <w:t xml:space="preserve"> of all university students were sexually harassed on at least one occasion in 2016, and 6.9% of students were sexually assaulted on at least one occasion in 2015 or 2016.</w:t>
      </w:r>
      <w:r w:rsidRPr="008C4D4C">
        <w:rPr>
          <w:rStyle w:val="EndnoteReference"/>
          <w:rFonts w:cs="Arial"/>
        </w:rPr>
        <w:endnoteReference w:id="29"/>
      </w:r>
      <w:r w:rsidRPr="008C4D4C">
        <w:rPr>
          <w:rStyle w:val="EndnoteReference"/>
          <w:rFonts w:cs="Arial"/>
        </w:rPr>
        <w:t xml:space="preserve"> </w:t>
      </w:r>
    </w:p>
    <w:p w:rsidR="00153724" w:rsidRDefault="00153724" w:rsidP="00153724">
      <w:pPr>
        <w:pStyle w:val="SubmissionNormal"/>
        <w:numPr>
          <w:ilvl w:val="0"/>
          <w:numId w:val="0"/>
        </w:numPr>
        <w:rPr>
          <w:b/>
        </w:rPr>
      </w:pPr>
      <w:r w:rsidRPr="00153724">
        <w:rPr>
          <w:b/>
        </w:rPr>
        <w:t>Issue</w:t>
      </w:r>
      <w:r w:rsidR="00FC41A4">
        <w:rPr>
          <w:b/>
        </w:rPr>
        <w:t>s for consideration in the LOI</w:t>
      </w:r>
      <w:r w:rsidRPr="00153724">
        <w:rPr>
          <w:b/>
        </w:rPr>
        <w:t>:</w:t>
      </w:r>
    </w:p>
    <w:p w:rsidR="008D7F4B" w:rsidRPr="009639E2" w:rsidRDefault="008D7F4B" w:rsidP="008D7F4B">
      <w:pPr>
        <w:pStyle w:val="SubmissionNormal"/>
        <w:numPr>
          <w:ilvl w:val="0"/>
          <w:numId w:val="18"/>
        </w:numPr>
        <w:ind w:left="426"/>
        <w:rPr>
          <w:b/>
        </w:rPr>
      </w:pPr>
      <w:r w:rsidRPr="009639E2">
        <w:rPr>
          <w:b/>
        </w:rPr>
        <w:t xml:space="preserve">Information on </w:t>
      </w:r>
      <w:r>
        <w:rPr>
          <w:b/>
        </w:rPr>
        <w:t>efforts</w:t>
      </w:r>
      <w:r w:rsidRPr="009639E2">
        <w:rPr>
          <w:b/>
        </w:rPr>
        <w:t xml:space="preserve"> to ensure there are adequate protections in place to address sexual harassment in the workplace, with consideration of the identified strategies in the Commission’s 2012 </w:t>
      </w:r>
      <w:r>
        <w:rPr>
          <w:b/>
        </w:rPr>
        <w:t xml:space="preserve">survey </w:t>
      </w:r>
      <w:r w:rsidRPr="009639E2">
        <w:rPr>
          <w:b/>
        </w:rPr>
        <w:t>report and the forthcoming outcomes of the 2017 survey.</w:t>
      </w:r>
    </w:p>
    <w:p w:rsidR="009E6C7D" w:rsidRDefault="00153724" w:rsidP="007A5D1A">
      <w:pPr>
        <w:pStyle w:val="SubmissionNormal"/>
        <w:numPr>
          <w:ilvl w:val="0"/>
          <w:numId w:val="18"/>
        </w:numPr>
        <w:ind w:left="426"/>
        <w:rPr>
          <w:b/>
        </w:rPr>
      </w:pPr>
      <w:r>
        <w:rPr>
          <w:b/>
        </w:rPr>
        <w:t xml:space="preserve">Information on the Australian Government’s engagement with universities on the implementation of </w:t>
      </w:r>
      <w:r w:rsidR="009E6C7D" w:rsidRPr="00153724">
        <w:rPr>
          <w:b/>
        </w:rPr>
        <w:t xml:space="preserve">the Change </w:t>
      </w:r>
      <w:r w:rsidR="004A0477">
        <w:rPr>
          <w:b/>
        </w:rPr>
        <w:t>t</w:t>
      </w:r>
      <w:r w:rsidR="009E6C7D" w:rsidRPr="00153724">
        <w:rPr>
          <w:b/>
        </w:rPr>
        <w:t xml:space="preserve">he Course report recommendations to reduce the prevalence of sexual assault and sexual harassment in </w:t>
      </w:r>
      <w:r w:rsidR="009E6C7D" w:rsidRPr="000D41AD">
        <w:rPr>
          <w:b/>
        </w:rPr>
        <w:t>Australian universities.</w:t>
      </w:r>
    </w:p>
    <w:p w:rsidR="000175ED" w:rsidRPr="00F777E4" w:rsidRDefault="000175ED" w:rsidP="000175ED">
      <w:pPr>
        <w:pStyle w:val="Heading2"/>
        <w:numPr>
          <w:ilvl w:val="1"/>
          <w:numId w:val="16"/>
        </w:numPr>
        <w:rPr>
          <w:color w:val="auto"/>
        </w:rPr>
      </w:pPr>
      <w:bookmarkStart w:id="15" w:name="_Toc494372754"/>
      <w:r w:rsidRPr="00F777E4">
        <w:rPr>
          <w:color w:val="auto"/>
        </w:rPr>
        <w:t>Health and wellbeing of women and girls</w:t>
      </w:r>
      <w:bookmarkEnd w:id="15"/>
    </w:p>
    <w:p w:rsidR="00F777E4" w:rsidRPr="00860D71" w:rsidRDefault="00F777E4" w:rsidP="00F777E4">
      <w:pPr>
        <w:pStyle w:val="SubmissionNormal"/>
        <w:tabs>
          <w:tab w:val="clear" w:pos="501"/>
          <w:tab w:val="num" w:pos="851"/>
          <w:tab w:val="num" w:pos="993"/>
        </w:tabs>
        <w:ind w:left="709" w:hanging="709"/>
        <w:rPr>
          <w:rFonts w:ascii="Calibri" w:eastAsiaTheme="minorHAnsi" w:hAnsi="Calibri"/>
          <w:sz w:val="22"/>
          <w:szCs w:val="22"/>
        </w:rPr>
      </w:pPr>
      <w:r w:rsidRPr="00860D71">
        <w:t xml:space="preserve">The rate of suicide in women and girls is increasing, and reached a 10-year high in 2015 at a rate of 6.1 deaths per 100,000 people. Differences between males and females are most apparent in the youngest age group, with a </w:t>
      </w:r>
      <w:r w:rsidRPr="00860D71">
        <w:lastRenderedPageBreak/>
        <w:t>higher proportion of female deaths occurring among those 15 to 19 years of age.</w:t>
      </w:r>
      <w:r w:rsidR="004F2851" w:rsidRPr="00860D71">
        <w:rPr>
          <w:rStyle w:val="EndnoteReference"/>
        </w:rPr>
        <w:endnoteReference w:id="30"/>
      </w:r>
    </w:p>
    <w:p w:rsidR="00F777E4" w:rsidRPr="00860D71" w:rsidRDefault="0065050F" w:rsidP="00F777E4">
      <w:pPr>
        <w:pStyle w:val="SubmissionNormal"/>
        <w:tabs>
          <w:tab w:val="clear" w:pos="501"/>
          <w:tab w:val="num" w:pos="851"/>
          <w:tab w:val="num" w:pos="993"/>
        </w:tabs>
        <w:ind w:left="709" w:hanging="709"/>
      </w:pPr>
      <w:r w:rsidRPr="00860D71">
        <w:t>Y</w:t>
      </w:r>
      <w:r w:rsidR="00F777E4" w:rsidRPr="00860D71">
        <w:t>oung mothers are an at-risk group who frequently experience negative consequences such as poverty and long term welfare dependency,</w:t>
      </w:r>
      <w:r w:rsidR="00194B77" w:rsidRPr="00860D71">
        <w:rPr>
          <w:rStyle w:val="EndnoteReference"/>
        </w:rPr>
        <w:endnoteReference w:id="31"/>
      </w:r>
      <w:r w:rsidR="00F777E4" w:rsidRPr="00860D71">
        <w:t xml:space="preserve"> poor emotional health and wellbeing,</w:t>
      </w:r>
      <w:r w:rsidR="00C239F9" w:rsidRPr="00860D71">
        <w:rPr>
          <w:rStyle w:val="EndnoteReference"/>
        </w:rPr>
        <w:endnoteReference w:id="32"/>
      </w:r>
      <w:r w:rsidR="00F777E4" w:rsidRPr="00860D71">
        <w:t xml:space="preserve"> and inability to complete study or gain secure employment.</w:t>
      </w:r>
      <w:r w:rsidR="005468C8" w:rsidRPr="00860D71">
        <w:rPr>
          <w:rStyle w:val="EndnoteReference"/>
        </w:rPr>
        <w:endnoteReference w:id="33"/>
      </w:r>
      <w:r w:rsidRPr="00860D71">
        <w:t xml:space="preserve"> The </w:t>
      </w:r>
      <w:r w:rsidR="007514A6" w:rsidRPr="00860D71">
        <w:t xml:space="preserve">National Children’s </w:t>
      </w:r>
      <w:r w:rsidRPr="00860D71">
        <w:t>Commission</w:t>
      </w:r>
      <w:r w:rsidR="007514A6" w:rsidRPr="00860D71">
        <w:t xml:space="preserve">er is currently examining this issue. </w:t>
      </w:r>
      <w:r w:rsidRPr="00860D71">
        <w:t xml:space="preserve"> </w:t>
      </w:r>
    </w:p>
    <w:p w:rsidR="00F777E4" w:rsidRPr="00860D71" w:rsidRDefault="00F777E4" w:rsidP="00F777E4">
      <w:pPr>
        <w:pStyle w:val="SubmissionNormal"/>
        <w:numPr>
          <w:ilvl w:val="0"/>
          <w:numId w:val="0"/>
        </w:numPr>
        <w:ind w:left="501" w:hanging="360"/>
        <w:rPr>
          <w:b/>
        </w:rPr>
      </w:pPr>
      <w:r w:rsidRPr="00860D71">
        <w:rPr>
          <w:b/>
        </w:rPr>
        <w:t>Issue</w:t>
      </w:r>
      <w:r w:rsidR="00FC41A4">
        <w:rPr>
          <w:b/>
        </w:rPr>
        <w:t>s for consideration in the LOI</w:t>
      </w:r>
      <w:r w:rsidRPr="00860D71">
        <w:rPr>
          <w:b/>
        </w:rPr>
        <w:t>:</w:t>
      </w:r>
    </w:p>
    <w:p w:rsidR="00BE51CE" w:rsidRPr="00860D71" w:rsidRDefault="00BE51CE" w:rsidP="00BE51CE">
      <w:pPr>
        <w:pStyle w:val="SubmissionNormal"/>
        <w:numPr>
          <w:ilvl w:val="0"/>
          <w:numId w:val="18"/>
        </w:numPr>
        <w:ind w:left="426"/>
        <w:rPr>
          <w:b/>
        </w:rPr>
      </w:pPr>
      <w:r w:rsidRPr="00860D71">
        <w:rPr>
          <w:b/>
        </w:rPr>
        <w:t>Information on national efforts to understand and address the increasing rate of suicide in women and girls.</w:t>
      </w:r>
    </w:p>
    <w:p w:rsidR="00F777E4" w:rsidRPr="00860D71" w:rsidRDefault="00F777E4" w:rsidP="00F777E4">
      <w:pPr>
        <w:pStyle w:val="SubmissionNormal"/>
        <w:numPr>
          <w:ilvl w:val="0"/>
          <w:numId w:val="18"/>
        </w:numPr>
        <w:ind w:left="426"/>
        <w:rPr>
          <w:b/>
        </w:rPr>
      </w:pPr>
      <w:r w:rsidRPr="00860D71">
        <w:rPr>
          <w:b/>
        </w:rPr>
        <w:t>Information on national action to support, and improve outcomes for, young mothers and their children.</w:t>
      </w:r>
    </w:p>
    <w:p w:rsidR="003772A5" w:rsidRPr="00860D71" w:rsidRDefault="003772A5" w:rsidP="003772A5">
      <w:pPr>
        <w:pStyle w:val="Heading1"/>
        <w:numPr>
          <w:ilvl w:val="0"/>
          <w:numId w:val="16"/>
        </w:numPr>
      </w:pPr>
      <w:bookmarkStart w:id="16" w:name="_Toc494206281"/>
      <w:bookmarkStart w:id="17" w:name="_Toc494372755"/>
      <w:r w:rsidRPr="00860D71">
        <w:t>Medical interventions involving intersex women and girls</w:t>
      </w:r>
      <w:bookmarkEnd w:id="16"/>
      <w:r w:rsidRPr="00860D71">
        <w:t xml:space="preserve"> (CEDAW Articles 2, 5)</w:t>
      </w:r>
      <w:bookmarkEnd w:id="17"/>
    </w:p>
    <w:p w:rsidR="003772A5" w:rsidRPr="00860D71" w:rsidRDefault="003772A5" w:rsidP="003772A5">
      <w:pPr>
        <w:pStyle w:val="SubmissionNormal"/>
        <w:tabs>
          <w:tab w:val="clear" w:pos="501"/>
          <w:tab w:val="num" w:pos="709"/>
        </w:tabs>
        <w:ind w:left="709" w:hanging="720"/>
      </w:pPr>
      <w:r w:rsidRPr="00860D71">
        <w:t>The Commission is concerned that women born with intersex variations remain subject to medically unnecessary medical interventions in circumstances where they are unable to provide full and informed consent.</w:t>
      </w:r>
      <w:r w:rsidRPr="00860D71">
        <w:rPr>
          <w:rStyle w:val="EndnoteReference"/>
          <w:rFonts w:cs="Arial"/>
        </w:rPr>
        <w:endnoteReference w:id="34"/>
      </w:r>
      <w:r w:rsidRPr="00860D71">
        <w:rPr>
          <w:rStyle w:val="EndnoteReference"/>
          <w:rFonts w:cs="Arial"/>
        </w:rPr>
        <w:t xml:space="preserve"> </w:t>
      </w:r>
      <w:r w:rsidRPr="00860D71">
        <w:t>The Commission notes that the Senate Community Affairs Committee conducted an inquiry into the involuntary or coerced sterilisation of intersex people in Australia in 2013.</w:t>
      </w:r>
      <w:r w:rsidRPr="00860D71">
        <w:rPr>
          <w:rStyle w:val="EndnoteReference"/>
          <w:rFonts w:cs="Arial"/>
        </w:rPr>
        <w:endnoteReference w:id="35"/>
      </w:r>
      <w:r w:rsidRPr="00860D71">
        <w:t xml:space="preserve"> The Commission remains concerned that many of the recommendations have not been implemented; particularly at the state and territory level.</w:t>
      </w:r>
    </w:p>
    <w:p w:rsidR="003772A5" w:rsidRPr="00860D71" w:rsidRDefault="003772A5" w:rsidP="003772A5">
      <w:pPr>
        <w:pStyle w:val="SubmissionNormal"/>
        <w:numPr>
          <w:ilvl w:val="0"/>
          <w:numId w:val="0"/>
        </w:numPr>
        <w:rPr>
          <w:b/>
        </w:rPr>
      </w:pPr>
      <w:r w:rsidRPr="00860D71">
        <w:rPr>
          <w:b/>
        </w:rPr>
        <w:t>Issue</w:t>
      </w:r>
      <w:r w:rsidR="00FC41A4">
        <w:rPr>
          <w:b/>
        </w:rPr>
        <w:t>s for consideration in the LOI</w:t>
      </w:r>
      <w:r w:rsidRPr="00860D71">
        <w:rPr>
          <w:b/>
        </w:rPr>
        <w:t>:</w:t>
      </w:r>
    </w:p>
    <w:p w:rsidR="003772A5" w:rsidRPr="00860D71" w:rsidRDefault="003772A5" w:rsidP="003772A5">
      <w:pPr>
        <w:pStyle w:val="SubmissionNormal"/>
        <w:numPr>
          <w:ilvl w:val="0"/>
          <w:numId w:val="18"/>
        </w:numPr>
        <w:ind w:left="426"/>
        <w:rPr>
          <w:b/>
        </w:rPr>
      </w:pPr>
      <w:r w:rsidRPr="00860D71">
        <w:rPr>
          <w:b/>
        </w:rPr>
        <w:t>Information on legal and policy protections to prevent medically unnecessary and/or harmful medical interventions on women and girls born with intersex variations.</w:t>
      </w:r>
    </w:p>
    <w:p w:rsidR="00257C65" w:rsidRPr="000D41AD" w:rsidRDefault="00B8559B" w:rsidP="008F61B7">
      <w:pPr>
        <w:pStyle w:val="Heading1"/>
        <w:numPr>
          <w:ilvl w:val="0"/>
          <w:numId w:val="16"/>
        </w:numPr>
      </w:pPr>
      <w:bookmarkStart w:id="18" w:name="_Toc494372756"/>
      <w:r w:rsidRPr="000D41AD">
        <w:t>Discrimination faced by Muslim women</w:t>
      </w:r>
      <w:r w:rsidR="00F14472" w:rsidRPr="000D41AD">
        <w:t xml:space="preserve"> (CEDAW Article</w:t>
      </w:r>
      <w:r w:rsidR="003A41A9" w:rsidRPr="000D41AD">
        <w:t>s</w:t>
      </w:r>
      <w:r w:rsidR="002D660E" w:rsidRPr="000D41AD">
        <w:t xml:space="preserve"> </w:t>
      </w:r>
      <w:r w:rsidR="003A41A9" w:rsidRPr="000D41AD">
        <w:t>1-3</w:t>
      </w:r>
      <w:r w:rsidR="002D660E" w:rsidRPr="000D41AD">
        <w:t>)</w:t>
      </w:r>
      <w:bookmarkEnd w:id="18"/>
    </w:p>
    <w:p w:rsidR="00D60760" w:rsidRPr="000D41AD" w:rsidRDefault="0013128B" w:rsidP="00351538">
      <w:pPr>
        <w:pStyle w:val="SubmissionNormal"/>
        <w:tabs>
          <w:tab w:val="clear" w:pos="501"/>
          <w:tab w:val="num" w:pos="709"/>
        </w:tabs>
        <w:ind w:left="709" w:hanging="720"/>
      </w:pPr>
      <w:r w:rsidRPr="000D41AD">
        <w:t>Australian research has continued to fi</w:t>
      </w:r>
      <w:r w:rsidR="00D60760" w:rsidRPr="000D41AD">
        <w:t>nd that Muslim women are frequent targets of bigotry and discrimination because of their visibility with the Islamic headscarf. They are particularly vulnerable when unaccompanied, with children or pregnant at the time of the incident.</w:t>
      </w:r>
      <w:r w:rsidR="00D60760" w:rsidRPr="000D41AD">
        <w:rPr>
          <w:rStyle w:val="EndnoteReference"/>
        </w:rPr>
        <w:endnoteReference w:id="36"/>
      </w:r>
    </w:p>
    <w:p w:rsidR="007B2BF6" w:rsidRPr="000D41AD" w:rsidRDefault="0066547D" w:rsidP="00351538">
      <w:pPr>
        <w:pStyle w:val="SubmissionNormal"/>
        <w:tabs>
          <w:tab w:val="clear" w:pos="501"/>
          <w:tab w:val="num" w:pos="709"/>
        </w:tabs>
        <w:ind w:left="709" w:hanging="720"/>
      </w:pPr>
      <w:r w:rsidRPr="000D41AD">
        <w:t>An earlier report by the Commission in</w:t>
      </w:r>
      <w:r w:rsidR="00FB4344" w:rsidRPr="000D41AD">
        <w:t xml:space="preserve"> </w:t>
      </w:r>
      <w:r w:rsidR="00793AFE" w:rsidRPr="000D41AD">
        <w:t>200</w:t>
      </w:r>
      <w:r w:rsidR="00B8559B" w:rsidRPr="000D41AD">
        <w:t xml:space="preserve">3, </w:t>
      </w:r>
      <w:r w:rsidR="00307224">
        <w:rPr>
          <w:i/>
        </w:rPr>
        <w:t xml:space="preserve">Isma </w:t>
      </w:r>
      <w:r w:rsidR="00307224" w:rsidRPr="009E5191">
        <w:rPr>
          <w:rFonts w:ascii="Helvetica" w:hAnsi="Helvetica"/>
          <w:color w:val="333333"/>
          <w:sz w:val="22"/>
          <w:szCs w:val="22"/>
          <w:shd w:val="clear" w:color="auto" w:fill="FFFFFF"/>
        </w:rPr>
        <w:t>—</w:t>
      </w:r>
      <w:r w:rsidR="00B8559B" w:rsidRPr="000D41AD">
        <w:rPr>
          <w:i/>
        </w:rPr>
        <w:t xml:space="preserve"> Listen: National consultations on eliminating prejudice against Arab and Muslim Australians</w:t>
      </w:r>
      <w:r w:rsidR="00B8559B" w:rsidRPr="000D41AD">
        <w:t xml:space="preserve">, </w:t>
      </w:r>
      <w:r w:rsidRPr="000D41AD">
        <w:t>also</w:t>
      </w:r>
      <w:r w:rsidR="0069114F" w:rsidRPr="000D41AD">
        <w:t xml:space="preserve"> found that p</w:t>
      </w:r>
      <w:r w:rsidR="00793AFE" w:rsidRPr="000D41AD">
        <w:t>eople readily identifiable as Muslim because of their dress or appearance were particular targets of racist violence and abuse. Muslim women who wear the hijab, niqab or chado</w:t>
      </w:r>
      <w:r w:rsidR="00E41A6C" w:rsidRPr="000D41AD">
        <w:t>r have been especially at risk.</w:t>
      </w:r>
      <w:r w:rsidR="004B0D1D" w:rsidRPr="000D41AD">
        <w:rPr>
          <w:rStyle w:val="EndnoteReference"/>
        </w:rPr>
        <w:endnoteReference w:id="37"/>
      </w:r>
      <w:r w:rsidR="00CA48BE" w:rsidRPr="000D41AD">
        <w:t xml:space="preserve"> </w:t>
      </w:r>
      <w:r w:rsidR="007B2BF6" w:rsidRPr="000D41AD">
        <w:t>Women identified as Muslim by their dress were especially afraid of being abused or attacked in public. Many restricted their movements in public, spending much more time inside their homes.</w:t>
      </w:r>
      <w:r w:rsidR="00012355" w:rsidRPr="000D41AD">
        <w:rPr>
          <w:rStyle w:val="EndnoteReference"/>
        </w:rPr>
        <w:endnoteReference w:id="38"/>
      </w:r>
    </w:p>
    <w:p w:rsidR="00FC37A7" w:rsidRPr="000D41AD" w:rsidRDefault="00FC37A7" w:rsidP="00FC37A7">
      <w:pPr>
        <w:pStyle w:val="SubmissionNormal"/>
        <w:numPr>
          <w:ilvl w:val="0"/>
          <w:numId w:val="0"/>
        </w:numPr>
        <w:rPr>
          <w:b/>
        </w:rPr>
      </w:pPr>
      <w:r w:rsidRPr="000D41AD">
        <w:rPr>
          <w:b/>
        </w:rPr>
        <w:lastRenderedPageBreak/>
        <w:t>Issue</w:t>
      </w:r>
      <w:r w:rsidR="00FC41A4">
        <w:rPr>
          <w:b/>
        </w:rPr>
        <w:t>s for consideration in the LOI</w:t>
      </w:r>
      <w:r w:rsidRPr="000D41AD">
        <w:rPr>
          <w:b/>
        </w:rPr>
        <w:t>:</w:t>
      </w:r>
    </w:p>
    <w:p w:rsidR="00FC37A7" w:rsidRPr="000D41AD" w:rsidRDefault="00FC37A7" w:rsidP="00FC37A7">
      <w:pPr>
        <w:pStyle w:val="SubmissionNormal"/>
        <w:numPr>
          <w:ilvl w:val="0"/>
          <w:numId w:val="18"/>
        </w:numPr>
        <w:ind w:left="426"/>
        <w:rPr>
          <w:b/>
        </w:rPr>
      </w:pPr>
      <w:r w:rsidRPr="000D41AD">
        <w:rPr>
          <w:b/>
        </w:rPr>
        <w:t>Information on</w:t>
      </w:r>
      <w:r w:rsidR="00A278A1" w:rsidRPr="000D41AD">
        <w:rPr>
          <w:b/>
        </w:rPr>
        <w:t xml:space="preserve"> steps taken to safeguard </w:t>
      </w:r>
      <w:r w:rsidR="002E5844" w:rsidRPr="000D41AD">
        <w:rPr>
          <w:b/>
        </w:rPr>
        <w:t>the rights of Muslim women and to eliminate the particular discrimination</w:t>
      </w:r>
      <w:r w:rsidR="009E64ED" w:rsidRPr="000D41AD">
        <w:rPr>
          <w:b/>
        </w:rPr>
        <w:t xml:space="preserve"> that they</w:t>
      </w:r>
      <w:r w:rsidR="002E5844" w:rsidRPr="000D41AD">
        <w:rPr>
          <w:b/>
        </w:rPr>
        <w:t xml:space="preserve"> face.  </w:t>
      </w:r>
    </w:p>
    <w:p w:rsidR="00A93C35" w:rsidRDefault="00A93C35" w:rsidP="008F61B7">
      <w:pPr>
        <w:pStyle w:val="Heading1"/>
        <w:numPr>
          <w:ilvl w:val="0"/>
          <w:numId w:val="16"/>
        </w:numPr>
      </w:pPr>
      <w:bookmarkStart w:id="19" w:name="_Toc494372757"/>
      <w:r w:rsidRPr="000D41AD">
        <w:t xml:space="preserve">Women in rural, regional and remote </w:t>
      </w:r>
      <w:r w:rsidRPr="001F7E6E">
        <w:t>areas</w:t>
      </w:r>
      <w:r w:rsidR="00373E89">
        <w:t xml:space="preserve"> (CEDAW Article 14</w:t>
      </w:r>
      <w:r w:rsidR="00F9789A">
        <w:t>)</w:t>
      </w:r>
      <w:bookmarkEnd w:id="19"/>
    </w:p>
    <w:p w:rsidR="00880D01" w:rsidRDefault="00004207" w:rsidP="00210E97">
      <w:pPr>
        <w:pStyle w:val="SubmissionNormal"/>
        <w:tabs>
          <w:tab w:val="clear" w:pos="501"/>
          <w:tab w:val="num" w:pos="851"/>
        </w:tabs>
        <w:ind w:left="709" w:hanging="720"/>
      </w:pPr>
      <w:r>
        <w:t xml:space="preserve">In 2016 the </w:t>
      </w:r>
      <w:r w:rsidRPr="005430FE">
        <w:t>Sex Discrimination Commission</w:t>
      </w:r>
      <w:r>
        <w:t>er</w:t>
      </w:r>
      <w:r w:rsidRPr="005430FE">
        <w:t xml:space="preserve"> heard from Australian women in consultations condu</w:t>
      </w:r>
      <w:r>
        <w:t>cted across the country.</w:t>
      </w:r>
      <w:r>
        <w:rPr>
          <w:rStyle w:val="EndnoteReference"/>
        </w:rPr>
        <w:endnoteReference w:id="39"/>
      </w:r>
      <w:r>
        <w:t xml:space="preserve"> </w:t>
      </w:r>
      <w:r w:rsidR="00C12929">
        <w:t xml:space="preserve">The </w:t>
      </w:r>
      <w:r w:rsidR="00880D01" w:rsidRPr="00880D01">
        <w:t>experiences of women living in rural, regional and remote Australia highlight</w:t>
      </w:r>
      <w:r>
        <w:t>ed</w:t>
      </w:r>
      <w:r w:rsidR="00880D01" w:rsidRPr="00880D01">
        <w:t xml:space="preserve"> that negative and discriminatory gender</w:t>
      </w:r>
      <w:r w:rsidR="00166367" w:rsidRPr="00EF2323">
        <w:rPr>
          <w:sz w:val="22"/>
          <w:szCs w:val="22"/>
        </w:rPr>
        <w:t>–</w:t>
      </w:r>
      <w:r w:rsidR="00880D01" w:rsidRPr="00880D01">
        <w:t>based stereotypes and attitudes are amplified for women living in these communities.</w:t>
      </w:r>
      <w:r>
        <w:rPr>
          <w:rStyle w:val="EndnoteReference"/>
        </w:rPr>
        <w:endnoteReference w:id="40"/>
      </w:r>
      <w:r w:rsidR="00880D01" w:rsidRPr="00880D01">
        <w:t xml:space="preserve"> </w:t>
      </w:r>
      <w:r w:rsidR="0073643A">
        <w:t xml:space="preserve">There was also </w:t>
      </w:r>
      <w:r w:rsidR="005E0A01">
        <w:t xml:space="preserve">a clear </w:t>
      </w:r>
      <w:r w:rsidR="00880D01" w:rsidRPr="00880D01">
        <w:t xml:space="preserve">gender gap in </w:t>
      </w:r>
      <w:r w:rsidR="00880D01" w:rsidRPr="00BD060E">
        <w:rPr>
          <w:rFonts w:cs="Arial"/>
          <w:color w:val="000000"/>
          <w:lang w:val="en-GB"/>
        </w:rPr>
        <w:t>leadership</w:t>
      </w:r>
      <w:r w:rsidR="00880D01" w:rsidRPr="00880D01">
        <w:t xml:space="preserve">, economic security and education; and </w:t>
      </w:r>
      <w:r w:rsidR="00C558CC">
        <w:t xml:space="preserve">higher rates of </w:t>
      </w:r>
      <w:r w:rsidR="00880D01" w:rsidRPr="00880D01">
        <w:t>violence</w:t>
      </w:r>
      <w:r w:rsidR="008C36C5">
        <w:t>, sexual harassment</w:t>
      </w:r>
      <w:r w:rsidR="00880D01" w:rsidRPr="00880D01">
        <w:t xml:space="preserve"> and sexism towards women</w:t>
      </w:r>
      <w:r w:rsidR="00EB654F">
        <w:t xml:space="preserve"> in rural, regional and remote areas</w:t>
      </w:r>
      <w:r w:rsidR="00880D01" w:rsidRPr="00880D01">
        <w:t>.</w:t>
      </w:r>
      <w:r w:rsidR="009C27FA">
        <w:rPr>
          <w:rStyle w:val="EndnoteReference"/>
        </w:rPr>
        <w:endnoteReference w:id="41"/>
      </w:r>
    </w:p>
    <w:p w:rsidR="00053B90" w:rsidRPr="00053B90" w:rsidRDefault="00053B90" w:rsidP="00071A95">
      <w:pPr>
        <w:pStyle w:val="SubmissionNormal"/>
        <w:numPr>
          <w:ilvl w:val="0"/>
          <w:numId w:val="0"/>
        </w:numPr>
        <w:rPr>
          <w:b/>
        </w:rPr>
      </w:pPr>
      <w:r w:rsidRPr="00053B90">
        <w:rPr>
          <w:b/>
        </w:rPr>
        <w:t>Issues fo</w:t>
      </w:r>
      <w:r w:rsidR="00FC41A4">
        <w:rPr>
          <w:b/>
        </w:rPr>
        <w:t>r consideration in the LOI</w:t>
      </w:r>
      <w:r w:rsidRPr="00053B90">
        <w:rPr>
          <w:b/>
        </w:rPr>
        <w:t>:</w:t>
      </w:r>
    </w:p>
    <w:p w:rsidR="00053B90" w:rsidRPr="00880D01" w:rsidRDefault="00053B90" w:rsidP="00071A95">
      <w:pPr>
        <w:pStyle w:val="SubmissionNormal"/>
        <w:numPr>
          <w:ilvl w:val="0"/>
          <w:numId w:val="18"/>
        </w:numPr>
        <w:ind w:left="426"/>
      </w:pPr>
      <w:r>
        <w:rPr>
          <w:b/>
        </w:rPr>
        <w:t>Information on initiatives to address the particular discrimination faced by women in rural, regional and remote areas, specifically in the are</w:t>
      </w:r>
      <w:r w:rsidR="0013204B">
        <w:rPr>
          <w:b/>
        </w:rPr>
        <w:t>as of violence against women and</w:t>
      </w:r>
      <w:r>
        <w:rPr>
          <w:b/>
        </w:rPr>
        <w:t xml:space="preserve"> sexual harassment</w:t>
      </w:r>
      <w:r w:rsidR="0013204B">
        <w:rPr>
          <w:b/>
        </w:rPr>
        <w:t>,</w:t>
      </w:r>
      <w:r>
        <w:rPr>
          <w:b/>
        </w:rPr>
        <w:t xml:space="preserve"> and strategies to address economic insecurity. </w:t>
      </w:r>
    </w:p>
    <w:p w:rsidR="008F61B7" w:rsidRPr="0063182D" w:rsidRDefault="008F61B7" w:rsidP="008F61B7">
      <w:pPr>
        <w:pStyle w:val="Heading1"/>
        <w:numPr>
          <w:ilvl w:val="0"/>
          <w:numId w:val="16"/>
        </w:numPr>
        <w:rPr>
          <w:b w:val="0"/>
          <w:color w:val="FF0000"/>
        </w:rPr>
      </w:pPr>
      <w:bookmarkStart w:id="20" w:name="_Toc494372758"/>
      <w:r>
        <w:t>Older women and homelessness (CEDAW Article</w:t>
      </w:r>
      <w:r w:rsidR="00F14472">
        <w:t>s</w:t>
      </w:r>
      <w:r>
        <w:t xml:space="preserve"> </w:t>
      </w:r>
      <w:r w:rsidR="00DC104C" w:rsidRPr="00DC104C">
        <w:t>1</w:t>
      </w:r>
      <w:r w:rsidR="00E85C83">
        <w:t xml:space="preserve"> and 11</w:t>
      </w:r>
      <w:r>
        <w:t>)</w:t>
      </w:r>
      <w:bookmarkEnd w:id="20"/>
    </w:p>
    <w:p w:rsidR="0029298A" w:rsidRPr="001A5B5D" w:rsidRDefault="00764D51" w:rsidP="00293D11">
      <w:pPr>
        <w:pStyle w:val="SubmissionNormal"/>
        <w:tabs>
          <w:tab w:val="clear" w:pos="501"/>
          <w:tab w:val="num" w:pos="851"/>
        </w:tabs>
        <w:ind w:left="709" w:hanging="720"/>
        <w:rPr>
          <w:rFonts w:cs="Arial"/>
          <w:i/>
          <w:color w:val="000000"/>
          <w:lang w:val="en-GB"/>
        </w:rPr>
      </w:pPr>
      <w:r w:rsidRPr="00764D51">
        <w:rPr>
          <w:rFonts w:cs="Arial"/>
          <w:color w:val="000000"/>
          <w:lang w:val="en-GB"/>
        </w:rPr>
        <w:t>The Commission’s</w:t>
      </w:r>
      <w:r w:rsidR="00A06245" w:rsidRPr="00764D51">
        <w:rPr>
          <w:rFonts w:cs="Arial"/>
          <w:color w:val="000000"/>
          <w:lang w:val="en-GB"/>
        </w:rPr>
        <w:t xml:space="preserve"> </w:t>
      </w:r>
      <w:r w:rsidR="00A06245" w:rsidRPr="00764D51">
        <w:rPr>
          <w:rFonts w:cs="Arial"/>
          <w:i/>
          <w:color w:val="000000"/>
          <w:lang w:val="en-GB"/>
        </w:rPr>
        <w:t xml:space="preserve">Willing to Work National Inquiry into Employment Discrimination against Older Australians and Australians with Disability </w:t>
      </w:r>
      <w:r w:rsidRPr="00764D51">
        <w:rPr>
          <w:rFonts w:cs="Arial"/>
          <w:color w:val="000000"/>
          <w:lang w:val="en-GB"/>
        </w:rPr>
        <w:t xml:space="preserve">(Willing to </w:t>
      </w:r>
      <w:r w:rsidRPr="00764D51">
        <w:t>Work</w:t>
      </w:r>
      <w:r w:rsidRPr="00764D51">
        <w:rPr>
          <w:rFonts w:cs="Arial"/>
          <w:color w:val="000000"/>
          <w:lang w:val="en-GB"/>
        </w:rPr>
        <w:t xml:space="preserve"> Report)</w:t>
      </w:r>
      <w:r w:rsidR="00A06245" w:rsidRPr="00EE0256">
        <w:rPr>
          <w:rStyle w:val="EndnoteReference"/>
          <w:rFonts w:cs="Arial"/>
          <w:color w:val="000000"/>
          <w:lang w:val="en-GB"/>
        </w:rPr>
        <w:endnoteReference w:id="42"/>
      </w:r>
      <w:r w:rsidR="00A06245" w:rsidRPr="00764D51">
        <w:rPr>
          <w:rFonts w:cs="Arial"/>
        </w:rPr>
        <w:t xml:space="preserve"> </w:t>
      </w:r>
      <w:r w:rsidRPr="00764D51">
        <w:rPr>
          <w:rFonts w:cs="Arial"/>
        </w:rPr>
        <w:t>found that</w:t>
      </w:r>
      <w:r w:rsidR="00FE20F0">
        <w:rPr>
          <w:rFonts w:cs="Arial"/>
        </w:rPr>
        <w:t>,</w:t>
      </w:r>
      <w:r w:rsidRPr="00764D51">
        <w:rPr>
          <w:rFonts w:cs="Arial"/>
        </w:rPr>
        <w:t xml:space="preserve"> </w:t>
      </w:r>
      <w:r>
        <w:rPr>
          <w:rFonts w:cs="Arial"/>
        </w:rPr>
        <w:t>w</w:t>
      </w:r>
      <w:r w:rsidRPr="00764D51">
        <w:rPr>
          <w:rFonts w:cs="Arial"/>
        </w:rPr>
        <w:t xml:space="preserve">hile labour force participation for older people has </w:t>
      </w:r>
      <w:r w:rsidRPr="00293D11">
        <w:t>been</w:t>
      </w:r>
      <w:r w:rsidRPr="00764D51">
        <w:rPr>
          <w:rFonts w:cs="Arial"/>
        </w:rPr>
        <w:t xml:space="preserve"> growing in recent years, particularly for older women, labour force participation continues to decline with age.</w:t>
      </w:r>
      <w:r>
        <w:rPr>
          <w:rStyle w:val="EndnoteReference"/>
          <w:rFonts w:cs="Arial"/>
        </w:rPr>
        <w:endnoteReference w:id="43"/>
      </w:r>
      <w:r w:rsidRPr="00764D51">
        <w:rPr>
          <w:rFonts w:cs="Arial"/>
        </w:rPr>
        <w:t xml:space="preserve"> </w:t>
      </w:r>
    </w:p>
    <w:p w:rsidR="00A06245" w:rsidRPr="001A5B5D" w:rsidRDefault="00A13991" w:rsidP="00293D11">
      <w:pPr>
        <w:pStyle w:val="SubmissionNormal"/>
        <w:tabs>
          <w:tab w:val="clear" w:pos="501"/>
          <w:tab w:val="num" w:pos="851"/>
        </w:tabs>
        <w:ind w:left="709" w:hanging="720"/>
        <w:rPr>
          <w:rFonts w:cs="Arial"/>
        </w:rPr>
      </w:pPr>
      <w:r>
        <w:t>To date, t</w:t>
      </w:r>
      <w:r w:rsidR="00A06245" w:rsidRPr="00EE0256">
        <w:t xml:space="preserve">here has been no formal Government </w:t>
      </w:r>
      <w:r w:rsidR="00A06245" w:rsidRPr="00EE0256">
        <w:rPr>
          <w:rFonts w:cs="Arial"/>
          <w:color w:val="000000"/>
          <w:lang w:val="en-GB"/>
        </w:rPr>
        <w:t>response</w:t>
      </w:r>
      <w:r w:rsidR="00A06245" w:rsidRPr="00EE0256">
        <w:t xml:space="preserve"> to the </w:t>
      </w:r>
      <w:proofErr w:type="gramStart"/>
      <w:r w:rsidR="00A06245" w:rsidRPr="00EE0256">
        <w:rPr>
          <w:rFonts w:cs="Arial"/>
          <w:color w:val="000000"/>
          <w:lang w:val="en-GB"/>
        </w:rPr>
        <w:t>Willing</w:t>
      </w:r>
      <w:proofErr w:type="gramEnd"/>
      <w:r w:rsidR="00A06245" w:rsidRPr="00EE0256">
        <w:rPr>
          <w:rFonts w:cs="Arial"/>
          <w:color w:val="000000"/>
          <w:lang w:val="en-GB"/>
        </w:rPr>
        <w:t xml:space="preserve"> to Work</w:t>
      </w:r>
      <w:r w:rsidR="00A06245" w:rsidRPr="00EE0256">
        <w:rPr>
          <w:rFonts w:cs="Arial"/>
          <w:i/>
          <w:color w:val="000000"/>
          <w:lang w:val="en-GB"/>
        </w:rPr>
        <w:t xml:space="preserve"> </w:t>
      </w:r>
      <w:r w:rsidR="00A06245" w:rsidRPr="00EE0256">
        <w:rPr>
          <w:rFonts w:cs="Arial"/>
          <w:color w:val="000000"/>
          <w:lang w:val="en-GB"/>
        </w:rPr>
        <w:t xml:space="preserve">Report </w:t>
      </w:r>
      <w:r w:rsidR="00A06245" w:rsidRPr="00EE0256">
        <w:t xml:space="preserve">and no Government-led action plan to implement its recommendations. </w:t>
      </w:r>
    </w:p>
    <w:p w:rsidR="001A5B5D" w:rsidRDefault="001A5B5D" w:rsidP="00293D11">
      <w:pPr>
        <w:pStyle w:val="SubmissionNormal"/>
        <w:tabs>
          <w:tab w:val="clear" w:pos="501"/>
          <w:tab w:val="num" w:pos="851"/>
        </w:tabs>
        <w:ind w:left="709" w:hanging="720"/>
      </w:pPr>
      <w:r>
        <w:t xml:space="preserve">The Commission notes that </w:t>
      </w:r>
      <w:r w:rsidR="00BB4D29">
        <w:t>o</w:t>
      </w:r>
      <w:r w:rsidR="0044457B" w:rsidRPr="0044457B">
        <w:t>lder, single women are increasingly vulnerable to housing stress, insecurity and homelessness</w:t>
      </w:r>
      <w:r w:rsidR="00013E75">
        <w:t>.</w:t>
      </w:r>
      <w:r w:rsidR="00013E75">
        <w:rPr>
          <w:rStyle w:val="EndnoteReference"/>
        </w:rPr>
        <w:endnoteReference w:id="44"/>
      </w:r>
      <w:r w:rsidR="003751EF">
        <w:t xml:space="preserve"> The Age Discrimination Commissioner </w:t>
      </w:r>
      <w:r w:rsidR="00C20EA0">
        <w:t xml:space="preserve">has identified the issue of homelessness among older women as </w:t>
      </w:r>
      <w:r w:rsidR="00882E3D">
        <w:t>a key priority</w:t>
      </w:r>
      <w:r w:rsidR="00C20EA0">
        <w:t xml:space="preserve">, </w:t>
      </w:r>
      <w:r w:rsidR="00787774">
        <w:t>acknowledging</w:t>
      </w:r>
      <w:r w:rsidR="00C20EA0">
        <w:t xml:space="preserve"> that </w:t>
      </w:r>
      <w:r w:rsidR="00085F62">
        <w:t>this</w:t>
      </w:r>
      <w:r w:rsidR="00BE673E">
        <w:t xml:space="preserve"> is a </w:t>
      </w:r>
      <w:r w:rsidR="00787774">
        <w:t>growing issue and one that extends across al</w:t>
      </w:r>
      <w:r w:rsidR="00BE673E">
        <w:t>l socio-economic status groups.</w:t>
      </w:r>
      <w:r w:rsidR="001A7AE3">
        <w:rPr>
          <w:rStyle w:val="EndnoteReference"/>
        </w:rPr>
        <w:endnoteReference w:id="45"/>
      </w:r>
    </w:p>
    <w:p w:rsidR="00574C8E" w:rsidRDefault="00574C8E" w:rsidP="00293D11">
      <w:pPr>
        <w:pStyle w:val="SubmissionNormal"/>
        <w:tabs>
          <w:tab w:val="clear" w:pos="501"/>
          <w:tab w:val="num" w:pos="851"/>
        </w:tabs>
        <w:ind w:left="709" w:hanging="720"/>
      </w:pPr>
      <w:r>
        <w:t xml:space="preserve">The Commission </w:t>
      </w:r>
      <w:r w:rsidR="00F34DAB">
        <w:t xml:space="preserve">is also concerned about </w:t>
      </w:r>
      <w:r>
        <w:t xml:space="preserve">elder abuse, </w:t>
      </w:r>
      <w:r w:rsidR="000E00F7">
        <w:t>which can</w:t>
      </w:r>
      <w:r>
        <w:t xml:space="preserve"> include p</w:t>
      </w:r>
      <w:r w:rsidRPr="00574C8E">
        <w:rPr>
          <w:rFonts w:cs="Arial"/>
          <w:bCs/>
        </w:rPr>
        <w:t>sychological/emotional abuse; physical abuse; sexual abuse; financial abuse;</w:t>
      </w:r>
      <w:r w:rsidRPr="00574C8E">
        <w:rPr>
          <w:rFonts w:cs="Arial"/>
        </w:rPr>
        <w:t xml:space="preserve"> and n</w:t>
      </w:r>
      <w:r w:rsidRPr="00574C8E">
        <w:rPr>
          <w:rFonts w:cs="Arial"/>
          <w:bCs/>
        </w:rPr>
        <w:t>eglect</w:t>
      </w:r>
      <w:r w:rsidRPr="00574C8E">
        <w:rPr>
          <w:rFonts w:cs="Arial"/>
        </w:rPr>
        <w:t>.</w:t>
      </w:r>
      <w:r w:rsidRPr="00760785">
        <w:rPr>
          <w:rStyle w:val="EndnoteReference"/>
          <w:rFonts w:cs="Arial"/>
        </w:rPr>
        <w:endnoteReference w:id="46"/>
      </w:r>
      <w:r>
        <w:t xml:space="preserve"> Women, along with a number of other vulnerable groups, have heightened vulnerability to elder abuse.</w:t>
      </w:r>
      <w:r>
        <w:rPr>
          <w:rStyle w:val="EndnoteReference"/>
        </w:rPr>
        <w:endnoteReference w:id="47"/>
      </w:r>
    </w:p>
    <w:p w:rsidR="00574C8E" w:rsidRDefault="00574C8E" w:rsidP="00293D11">
      <w:pPr>
        <w:pStyle w:val="SubmissionNormal"/>
        <w:tabs>
          <w:tab w:val="clear" w:pos="501"/>
          <w:tab w:val="num" w:pos="851"/>
        </w:tabs>
        <w:ind w:left="709" w:hanging="720"/>
      </w:pPr>
      <w:r>
        <w:t xml:space="preserve">The Commission welcomes the </w:t>
      </w:r>
      <w:r w:rsidR="00797823">
        <w:t>Australian Law Reform Commission’s</w:t>
      </w:r>
      <w:r>
        <w:t xml:space="preserve"> </w:t>
      </w:r>
      <w:r w:rsidR="002E256B">
        <w:t xml:space="preserve">(ALRC) </w:t>
      </w:r>
      <w:r>
        <w:t xml:space="preserve">report </w:t>
      </w:r>
      <w:r w:rsidRPr="00A40385">
        <w:rPr>
          <w:i/>
        </w:rPr>
        <w:t>Elder Abuse—A National Legal Response</w:t>
      </w:r>
      <w:r w:rsidRPr="00733D0E">
        <w:rPr>
          <w:rStyle w:val="EndnoteReference"/>
          <w:sz w:val="24"/>
        </w:rPr>
        <w:endnoteReference w:id="48"/>
      </w:r>
      <w:r>
        <w:t xml:space="preserve"> and other</w:t>
      </w:r>
      <w:r w:rsidRPr="00915B25">
        <w:t xml:space="preserve"> </w:t>
      </w:r>
      <w:r>
        <w:t xml:space="preserve">relevant </w:t>
      </w:r>
      <w:r w:rsidRPr="00293D11">
        <w:rPr>
          <w:rFonts w:cs="Arial"/>
          <w:bCs/>
        </w:rPr>
        <w:t>independent</w:t>
      </w:r>
      <w:r>
        <w:t xml:space="preserve"> and go</w:t>
      </w:r>
      <w:r w:rsidR="00E665FB">
        <w:t>vernment-funded studies,</w:t>
      </w:r>
      <w:r>
        <w:rPr>
          <w:rStyle w:val="EndnoteReference"/>
        </w:rPr>
        <w:endnoteReference w:id="49"/>
      </w:r>
      <w:r w:rsidR="00E665FB">
        <w:t xml:space="preserve"> as well as the </w:t>
      </w:r>
      <w:r>
        <w:t xml:space="preserve">Government’s </w:t>
      </w:r>
      <w:r>
        <w:lastRenderedPageBreak/>
        <w:t>commitment to developing a national plan to better protect the rights of older Australians</w:t>
      </w:r>
      <w:r w:rsidR="00E665FB">
        <w:t>.</w:t>
      </w:r>
      <w:r>
        <w:rPr>
          <w:rStyle w:val="EndnoteReference"/>
        </w:rPr>
        <w:endnoteReference w:id="50"/>
      </w:r>
      <w:r>
        <w:t xml:space="preserve"> </w:t>
      </w:r>
    </w:p>
    <w:p w:rsidR="00A06245" w:rsidRDefault="00A06245" w:rsidP="0013119F">
      <w:pPr>
        <w:pStyle w:val="SubmissionNormal"/>
        <w:numPr>
          <w:ilvl w:val="0"/>
          <w:numId w:val="0"/>
        </w:numPr>
        <w:rPr>
          <w:b/>
        </w:rPr>
      </w:pPr>
      <w:r w:rsidRPr="00A06245">
        <w:rPr>
          <w:b/>
        </w:rPr>
        <w:t xml:space="preserve">Issues for </w:t>
      </w:r>
      <w:r w:rsidR="00FC41A4">
        <w:rPr>
          <w:b/>
        </w:rPr>
        <w:t>consideration in the LOI</w:t>
      </w:r>
      <w:r w:rsidRPr="00A06245">
        <w:rPr>
          <w:b/>
        </w:rPr>
        <w:t>:</w:t>
      </w:r>
    </w:p>
    <w:p w:rsidR="00A06245" w:rsidRPr="001930AC" w:rsidRDefault="0013119F" w:rsidP="00183DEC">
      <w:pPr>
        <w:pStyle w:val="SubmissionNormal"/>
        <w:numPr>
          <w:ilvl w:val="0"/>
          <w:numId w:val="18"/>
        </w:numPr>
        <w:ind w:left="426"/>
      </w:pPr>
      <w:r>
        <w:rPr>
          <w:b/>
        </w:rPr>
        <w:t xml:space="preserve">Information on the Australian Government’s </w:t>
      </w:r>
      <w:r w:rsidR="0058155C">
        <w:rPr>
          <w:b/>
        </w:rPr>
        <w:t>response to</w:t>
      </w:r>
      <w:r>
        <w:rPr>
          <w:b/>
        </w:rPr>
        <w:t xml:space="preserve"> </w:t>
      </w:r>
      <w:r w:rsidR="00A06245" w:rsidRPr="00EE0256">
        <w:rPr>
          <w:b/>
        </w:rPr>
        <w:t xml:space="preserve">the recommendations in the </w:t>
      </w:r>
      <w:proofErr w:type="gramStart"/>
      <w:r w:rsidR="00A06245" w:rsidRPr="00EE0256">
        <w:rPr>
          <w:rFonts w:cs="Arial"/>
          <w:b/>
          <w:color w:val="000000"/>
          <w:lang w:val="en-GB"/>
        </w:rPr>
        <w:t>Willing</w:t>
      </w:r>
      <w:proofErr w:type="gramEnd"/>
      <w:r w:rsidR="00A06245" w:rsidRPr="00EE0256">
        <w:rPr>
          <w:rFonts w:cs="Arial"/>
          <w:b/>
          <w:color w:val="000000"/>
          <w:lang w:val="en-GB"/>
        </w:rPr>
        <w:t xml:space="preserve"> to Work</w:t>
      </w:r>
      <w:r w:rsidR="00A06245" w:rsidRPr="00EE0256">
        <w:rPr>
          <w:rFonts w:cs="Arial"/>
          <w:b/>
          <w:i/>
          <w:color w:val="000000"/>
          <w:lang w:val="en-GB"/>
        </w:rPr>
        <w:t xml:space="preserve"> </w:t>
      </w:r>
      <w:r w:rsidR="00A06245" w:rsidRPr="00EE0256">
        <w:rPr>
          <w:rFonts w:cs="Arial"/>
          <w:b/>
          <w:color w:val="000000"/>
          <w:lang w:val="en-GB"/>
        </w:rPr>
        <w:t>Report</w:t>
      </w:r>
      <w:r w:rsidR="006079D8">
        <w:rPr>
          <w:rFonts w:cs="Arial"/>
          <w:b/>
          <w:color w:val="000000"/>
          <w:lang w:val="en-GB"/>
        </w:rPr>
        <w:t>.</w:t>
      </w:r>
    </w:p>
    <w:p w:rsidR="00453190" w:rsidRDefault="007469F1" w:rsidP="00183DEC">
      <w:pPr>
        <w:pStyle w:val="SubmissionNormal"/>
        <w:numPr>
          <w:ilvl w:val="0"/>
          <w:numId w:val="18"/>
        </w:numPr>
        <w:ind w:left="426"/>
        <w:rPr>
          <w:b/>
        </w:rPr>
      </w:pPr>
      <w:r w:rsidRPr="00436A48">
        <w:rPr>
          <w:b/>
        </w:rPr>
        <w:t xml:space="preserve">Information on </w:t>
      </w:r>
      <w:r w:rsidR="00BC63A5">
        <w:rPr>
          <w:b/>
        </w:rPr>
        <w:t xml:space="preserve">strategies to </w:t>
      </w:r>
      <w:r w:rsidR="009F3A7F">
        <w:rPr>
          <w:b/>
        </w:rPr>
        <w:t>address women’s economic insecurity in retirement</w:t>
      </w:r>
      <w:r w:rsidR="00274ABD">
        <w:rPr>
          <w:b/>
        </w:rPr>
        <w:t>.</w:t>
      </w:r>
      <w:r w:rsidR="009F3A7F">
        <w:rPr>
          <w:b/>
        </w:rPr>
        <w:t xml:space="preserve"> </w:t>
      </w:r>
    </w:p>
    <w:p w:rsidR="00184F46" w:rsidRPr="00436A48" w:rsidRDefault="00184F46" w:rsidP="00184F46">
      <w:pPr>
        <w:pStyle w:val="SubmissionNormal"/>
        <w:numPr>
          <w:ilvl w:val="0"/>
          <w:numId w:val="18"/>
        </w:numPr>
        <w:ind w:left="426"/>
        <w:rPr>
          <w:b/>
        </w:rPr>
      </w:pPr>
      <w:r>
        <w:rPr>
          <w:b/>
        </w:rPr>
        <w:t xml:space="preserve">Information on </w:t>
      </w:r>
      <w:r w:rsidRPr="002C64C1">
        <w:rPr>
          <w:b/>
        </w:rPr>
        <w:t xml:space="preserve">the </w:t>
      </w:r>
      <w:r>
        <w:rPr>
          <w:b/>
        </w:rPr>
        <w:t xml:space="preserve">Australian </w:t>
      </w:r>
      <w:r w:rsidRPr="002C64C1">
        <w:rPr>
          <w:b/>
        </w:rPr>
        <w:t>Government</w:t>
      </w:r>
      <w:r>
        <w:rPr>
          <w:b/>
        </w:rPr>
        <w:t>’s</w:t>
      </w:r>
      <w:r w:rsidRPr="002C64C1">
        <w:rPr>
          <w:b/>
        </w:rPr>
        <w:t xml:space="preserve"> implement</w:t>
      </w:r>
      <w:r>
        <w:rPr>
          <w:b/>
        </w:rPr>
        <w:t>ation of</w:t>
      </w:r>
      <w:r w:rsidRPr="002C64C1">
        <w:rPr>
          <w:b/>
        </w:rPr>
        <w:t xml:space="preserve"> recommendations from the ALRC’s report</w:t>
      </w:r>
      <w:r w:rsidR="00CA3751">
        <w:rPr>
          <w:b/>
        </w:rPr>
        <w:t xml:space="preserve"> on</w:t>
      </w:r>
      <w:r w:rsidRPr="002C64C1">
        <w:rPr>
          <w:b/>
        </w:rPr>
        <w:t xml:space="preserve"> </w:t>
      </w:r>
      <w:r w:rsidRPr="00CA3751">
        <w:rPr>
          <w:b/>
        </w:rPr>
        <w:t>Elder Abuse</w:t>
      </w:r>
      <w:r w:rsidR="00D277FA">
        <w:rPr>
          <w:b/>
        </w:rPr>
        <w:t>;</w:t>
      </w:r>
      <w:r w:rsidR="00CA3751">
        <w:rPr>
          <w:b/>
        </w:rPr>
        <w:t xml:space="preserve"> </w:t>
      </w:r>
      <w:r w:rsidR="00C2718E">
        <w:rPr>
          <w:b/>
        </w:rPr>
        <w:t>including</w:t>
      </w:r>
      <w:r w:rsidRPr="002C64C1">
        <w:rPr>
          <w:b/>
        </w:rPr>
        <w:t xml:space="preserve"> the development of a </w:t>
      </w:r>
      <w:r>
        <w:rPr>
          <w:b/>
        </w:rPr>
        <w:t>n</w:t>
      </w:r>
      <w:r w:rsidRPr="002C64C1">
        <w:rPr>
          <w:b/>
        </w:rPr>
        <w:t xml:space="preserve">ational </w:t>
      </w:r>
      <w:r>
        <w:rPr>
          <w:b/>
        </w:rPr>
        <w:t>p</w:t>
      </w:r>
      <w:r w:rsidRPr="002C64C1">
        <w:rPr>
          <w:b/>
        </w:rPr>
        <w:t>lan to tackle elder abuse</w:t>
      </w:r>
      <w:r w:rsidRPr="00733D0E">
        <w:rPr>
          <w:b/>
        </w:rPr>
        <w:t>.</w:t>
      </w:r>
    </w:p>
    <w:p w:rsidR="00B34946" w:rsidRPr="001E1304" w:rsidRDefault="00782E44" w:rsidP="00DC193F">
      <w:pPr>
        <w:pStyle w:val="Heading1"/>
        <w:numPr>
          <w:ilvl w:val="0"/>
          <w:numId w:val="16"/>
        </w:numPr>
      </w:pPr>
      <w:bookmarkStart w:id="21" w:name="_Toc494372759"/>
      <w:r>
        <w:t>Human trafficking and modern slavery (</w:t>
      </w:r>
      <w:r w:rsidR="00641422">
        <w:t>concluding observations paras 30</w:t>
      </w:r>
      <w:r w:rsidR="00C811BE" w:rsidRPr="00EF2323">
        <w:rPr>
          <w:sz w:val="22"/>
          <w:szCs w:val="22"/>
        </w:rPr>
        <w:t>–</w:t>
      </w:r>
      <w:r w:rsidR="00641422">
        <w:t xml:space="preserve">31 and </w:t>
      </w:r>
      <w:r>
        <w:t>CEDAW Article 6)</w:t>
      </w:r>
      <w:bookmarkEnd w:id="21"/>
      <w:r w:rsidR="003A3A45" w:rsidRPr="003A3A45">
        <w:rPr>
          <w:color w:val="FF0000"/>
        </w:rPr>
        <w:t xml:space="preserve"> </w:t>
      </w:r>
    </w:p>
    <w:p w:rsidR="008C4D4C" w:rsidRPr="00D87B87" w:rsidRDefault="008C4D4C" w:rsidP="00293D11">
      <w:pPr>
        <w:pStyle w:val="SubmissionNormal"/>
        <w:tabs>
          <w:tab w:val="clear" w:pos="501"/>
          <w:tab w:val="num" w:pos="851"/>
        </w:tabs>
        <w:ind w:left="709" w:hanging="720"/>
        <w:rPr>
          <w:rFonts w:cs="Arial"/>
        </w:rPr>
      </w:pPr>
      <w:r w:rsidRPr="00AC613D">
        <w:t xml:space="preserve">The Commission commends </w:t>
      </w:r>
      <w:r>
        <w:t>the Government’s development of</w:t>
      </w:r>
      <w:r w:rsidRPr="00AC613D">
        <w:t xml:space="preserve"> a </w:t>
      </w:r>
      <w:r w:rsidRPr="00BE1212">
        <w:rPr>
          <w:i/>
        </w:rPr>
        <w:t>National Action Plan to Combat Human Trafficking and Slavery 2015–2019</w:t>
      </w:r>
      <w:r w:rsidRPr="00AC613D">
        <w:rPr>
          <w:sz w:val="20"/>
          <w:vertAlign w:val="superscript"/>
        </w:rPr>
        <w:endnoteReference w:id="51"/>
      </w:r>
      <w:r w:rsidRPr="00D87B87">
        <w:rPr>
          <w:b/>
        </w:rPr>
        <w:t xml:space="preserve"> </w:t>
      </w:r>
      <w:r w:rsidRPr="00D47BD3">
        <w:t>and</w:t>
      </w:r>
      <w:r>
        <w:t xml:space="preserve"> supporting</w:t>
      </w:r>
      <w:r w:rsidRPr="00D47BD3">
        <w:t xml:space="preserve"> in</w:t>
      </w:r>
      <w:r>
        <w:t>itiatives.</w:t>
      </w:r>
      <w:r>
        <w:rPr>
          <w:rStyle w:val="EndnoteReference"/>
        </w:rPr>
        <w:endnoteReference w:id="52"/>
      </w:r>
      <w:r>
        <w:rPr>
          <w:rFonts w:cs="Arial"/>
          <w:color w:val="000000"/>
        </w:rPr>
        <w:t xml:space="preserve"> </w:t>
      </w:r>
      <w:r w:rsidRPr="00205AED">
        <w:t xml:space="preserve">The Commission </w:t>
      </w:r>
      <w:r>
        <w:t>notes that full implementation of the National Action Plan</w:t>
      </w:r>
      <w:r w:rsidR="00B57847">
        <w:t xml:space="preserve"> requires adequate funding</w:t>
      </w:r>
      <w:r>
        <w:t>.</w:t>
      </w:r>
    </w:p>
    <w:p w:rsidR="008C4D4C" w:rsidRPr="008C4D4C" w:rsidRDefault="008C4D4C" w:rsidP="00293D11">
      <w:pPr>
        <w:pStyle w:val="SubmissionNormal"/>
        <w:tabs>
          <w:tab w:val="clear" w:pos="501"/>
          <w:tab w:val="num" w:pos="851"/>
        </w:tabs>
        <w:ind w:left="709" w:hanging="720"/>
      </w:pPr>
      <w:r w:rsidRPr="008C4D4C">
        <w:t>The Commission welcomes the Interdepartmental Committee o</w:t>
      </w:r>
      <w:r w:rsidR="0008321A">
        <w:t>n Human Trafficking and Slavery,</w:t>
      </w:r>
      <w:r w:rsidRPr="008C4D4C">
        <w:rPr>
          <w:rStyle w:val="EndnoteReference"/>
          <w:rFonts w:cs="Arial"/>
        </w:rPr>
        <w:endnoteReference w:id="53"/>
      </w:r>
      <w:r w:rsidR="007D2A9D">
        <w:t xml:space="preserve"> </w:t>
      </w:r>
      <w:r w:rsidR="0008321A">
        <w:t>and</w:t>
      </w:r>
      <w:r w:rsidR="007D2A9D">
        <w:t xml:space="preserve"> </w:t>
      </w:r>
      <w:r>
        <w:t>commends</w:t>
      </w:r>
      <w:r w:rsidRPr="00AC613D">
        <w:t xml:space="preserve"> legislative amendments that strengthen Australia’s response to human trafficking, including by recognising various slavery-like practices as offences</w:t>
      </w:r>
      <w:r w:rsidRPr="008C4D4C">
        <w:rPr>
          <w:rStyle w:val="EndnoteReference"/>
          <w:rFonts w:cs="Arial"/>
        </w:rPr>
        <w:endnoteReference w:id="54"/>
      </w:r>
      <w:r w:rsidRPr="00AC613D">
        <w:t xml:space="preserve"> and extending witness protections </w:t>
      </w:r>
      <w:r w:rsidRPr="00860D71">
        <w:t>to victims of trafficking.</w:t>
      </w:r>
      <w:r w:rsidRPr="00860D71">
        <w:rPr>
          <w:rStyle w:val="EndnoteReference"/>
          <w:rFonts w:cs="Arial"/>
        </w:rPr>
        <w:endnoteReference w:id="55"/>
      </w:r>
      <w:r w:rsidRPr="00860D71">
        <w:rPr>
          <w:rStyle w:val="EndnoteReference"/>
          <w:rFonts w:cs="Arial"/>
        </w:rPr>
        <w:t xml:space="preserve"> </w:t>
      </w:r>
      <w:r w:rsidR="003503D2" w:rsidRPr="00860D71">
        <w:t xml:space="preserve">The Commission welcomes the </w:t>
      </w:r>
      <w:r w:rsidR="003503D2" w:rsidRPr="00860D71">
        <w:rPr>
          <w:lang w:val="en-GB"/>
        </w:rPr>
        <w:t xml:space="preserve">Interim report of the Joint Standing Committee on Foreign Affairs, Defence and Trade's inquiry into establishing a Modern Slavery Act in Australia, as well as the </w:t>
      </w:r>
      <w:r w:rsidR="003503D2" w:rsidRPr="00860D71">
        <w:t>Government’s proposal to ‘</w:t>
      </w:r>
      <w:r w:rsidR="003503D2" w:rsidRPr="00860D71">
        <w:rPr>
          <w:lang w:val="en-GB"/>
        </w:rPr>
        <w:t>introduce legislation that will make it a requirement for large businesses to report annually on their actions to address modern slavery’</w:t>
      </w:r>
      <w:r w:rsidR="003503D2" w:rsidRPr="00860D71">
        <w:t>.</w:t>
      </w:r>
      <w:r w:rsidR="00DB59D7" w:rsidRPr="00860D71">
        <w:rPr>
          <w:rStyle w:val="EndnoteReference"/>
        </w:rPr>
        <w:endnoteReference w:id="56"/>
      </w:r>
    </w:p>
    <w:p w:rsidR="008C4D4C" w:rsidRPr="00403EB4" w:rsidRDefault="008C4D4C" w:rsidP="00293D11">
      <w:pPr>
        <w:pStyle w:val="SubmissionNormal"/>
        <w:tabs>
          <w:tab w:val="clear" w:pos="501"/>
          <w:tab w:val="num" w:pos="851"/>
        </w:tabs>
        <w:ind w:left="709" w:hanging="720"/>
      </w:pPr>
      <w:r w:rsidRPr="008C4D4C">
        <w:t>The Special Rapporteur on trafficking in persons recommended the Australian Government establish a federal, comprehensive compensation scheme for survivors of trafficking.</w:t>
      </w:r>
      <w:r w:rsidRPr="008C4D4C">
        <w:rPr>
          <w:rStyle w:val="EndnoteReference"/>
          <w:rFonts w:cs="Arial"/>
        </w:rPr>
        <w:endnoteReference w:id="57"/>
      </w:r>
      <w:r w:rsidRPr="008C4D4C">
        <w:t xml:space="preserve"> The Commission </w:t>
      </w:r>
      <w:r w:rsidR="00B31BC7">
        <w:t>supports this recommendation</w:t>
      </w:r>
      <w:r w:rsidRPr="008C4D4C">
        <w:t>.</w:t>
      </w:r>
      <w:r w:rsidRPr="008C4D4C">
        <w:rPr>
          <w:rStyle w:val="EndnoteReference"/>
          <w:rFonts w:cs="Arial"/>
        </w:rPr>
        <w:endnoteReference w:id="58"/>
      </w:r>
    </w:p>
    <w:p w:rsidR="00255F8C" w:rsidRPr="001D5B34" w:rsidRDefault="008C4D4C" w:rsidP="001D5B34">
      <w:pPr>
        <w:pStyle w:val="SubmissionNormal"/>
        <w:tabs>
          <w:tab w:val="clear" w:pos="501"/>
          <w:tab w:val="num" w:pos="851"/>
        </w:tabs>
        <w:ind w:left="709" w:hanging="720"/>
      </w:pPr>
      <w:r w:rsidRPr="00E118D3">
        <w:t xml:space="preserve">The Commission </w:t>
      </w:r>
      <w:r>
        <w:t>notes</w:t>
      </w:r>
      <w:r w:rsidRPr="00E118D3">
        <w:t xml:space="preserve"> that unregulated</w:t>
      </w:r>
      <w:r>
        <w:t xml:space="preserve"> international</w:t>
      </w:r>
      <w:r w:rsidRPr="00E118D3">
        <w:t xml:space="preserve"> surrogacy arrangements raise concerns about the potential for the tr</w:t>
      </w:r>
      <w:r>
        <w:t>afficking of women and children.</w:t>
      </w:r>
      <w:r w:rsidRPr="00907EC9">
        <w:rPr>
          <w:rStyle w:val="EndnoteReference"/>
          <w:rFonts w:cs="Arial"/>
        </w:rPr>
        <w:endnoteReference w:id="59"/>
      </w:r>
      <w:r w:rsidRPr="00141EAD">
        <w:t xml:space="preserve"> </w:t>
      </w:r>
      <w:r w:rsidRPr="00E118D3">
        <w:t xml:space="preserve">The Commission </w:t>
      </w:r>
      <w:r>
        <w:t>acknowledges</w:t>
      </w:r>
      <w:r w:rsidRPr="00E118D3">
        <w:t xml:space="preserve"> the recent </w:t>
      </w:r>
      <w:r>
        <w:t xml:space="preserve">parliamentary </w:t>
      </w:r>
      <w:r w:rsidRPr="00E118D3">
        <w:t>inquiry and report into the regulatory and legislative aspects of international and domestic surrogacy arrangements</w:t>
      </w:r>
      <w:r>
        <w:t>,</w:t>
      </w:r>
      <w:r w:rsidRPr="00E118D3">
        <w:t xml:space="preserve"> </w:t>
      </w:r>
      <w:r w:rsidRPr="008C4D4C">
        <w:t>Surrogacy Matters</w:t>
      </w:r>
      <w:r w:rsidRPr="00E118D3">
        <w:t>.</w:t>
      </w:r>
      <w:r w:rsidRPr="008C4D4C">
        <w:rPr>
          <w:rStyle w:val="EndnoteReference"/>
          <w:rFonts w:cs="Arial"/>
        </w:rPr>
        <w:endnoteReference w:id="60"/>
      </w:r>
    </w:p>
    <w:p w:rsidR="001D794E" w:rsidRDefault="001D794E" w:rsidP="00860D71">
      <w:pPr>
        <w:pStyle w:val="SubmissionNormal"/>
        <w:numPr>
          <w:ilvl w:val="0"/>
          <w:numId w:val="0"/>
        </w:numPr>
        <w:rPr>
          <w:b/>
        </w:rPr>
      </w:pPr>
      <w:r w:rsidRPr="001D794E">
        <w:rPr>
          <w:b/>
        </w:rPr>
        <w:t>Issue</w:t>
      </w:r>
      <w:r w:rsidR="00FC41A4">
        <w:rPr>
          <w:b/>
        </w:rPr>
        <w:t>s for consideration in the LOI</w:t>
      </w:r>
      <w:r w:rsidRPr="001D794E">
        <w:rPr>
          <w:b/>
        </w:rPr>
        <w:t>:</w:t>
      </w:r>
    </w:p>
    <w:p w:rsidR="008C4D4C" w:rsidRPr="00FD4157" w:rsidRDefault="0037262F" w:rsidP="00860D71">
      <w:pPr>
        <w:pStyle w:val="SubmissionNormal"/>
        <w:numPr>
          <w:ilvl w:val="0"/>
          <w:numId w:val="22"/>
        </w:numPr>
        <w:ind w:left="426"/>
        <w:rPr>
          <w:b/>
        </w:rPr>
      </w:pPr>
      <w:r w:rsidRPr="00FD4157">
        <w:rPr>
          <w:b/>
        </w:rPr>
        <w:t>Information on the</w:t>
      </w:r>
      <w:r w:rsidR="008C4D4C" w:rsidRPr="00FD4157">
        <w:rPr>
          <w:b/>
          <w:bCs/>
        </w:rPr>
        <w:t xml:space="preserve"> Australian Government</w:t>
      </w:r>
      <w:r w:rsidRPr="00FD4157">
        <w:rPr>
          <w:b/>
          <w:bCs/>
        </w:rPr>
        <w:t>’s</w:t>
      </w:r>
      <w:r w:rsidR="008C4D4C" w:rsidRPr="00FD4157">
        <w:rPr>
          <w:b/>
          <w:bCs/>
        </w:rPr>
        <w:t xml:space="preserve"> implement</w:t>
      </w:r>
      <w:r w:rsidRPr="00FD4157">
        <w:rPr>
          <w:b/>
          <w:bCs/>
        </w:rPr>
        <w:t>ation of</w:t>
      </w:r>
      <w:r w:rsidR="008C4D4C" w:rsidRPr="00FD4157">
        <w:rPr>
          <w:b/>
          <w:bCs/>
        </w:rPr>
        <w:t xml:space="preserve"> the </w:t>
      </w:r>
      <w:r w:rsidR="008C4D4C" w:rsidRPr="00FD4157">
        <w:rPr>
          <w:b/>
          <w:bCs/>
          <w:i/>
        </w:rPr>
        <w:t xml:space="preserve">National </w:t>
      </w:r>
      <w:r w:rsidR="008C4D4C" w:rsidRPr="00FD4157">
        <w:rPr>
          <w:b/>
          <w:i/>
          <w:lang w:val="en"/>
        </w:rPr>
        <w:t>Action</w:t>
      </w:r>
      <w:r w:rsidR="008C4D4C" w:rsidRPr="00FD4157">
        <w:rPr>
          <w:b/>
          <w:bCs/>
          <w:i/>
        </w:rPr>
        <w:t xml:space="preserve"> Plan to Combat Human Trafficking and Slavery 2015–2019</w:t>
      </w:r>
      <w:r w:rsidR="008C4D4C" w:rsidRPr="00FD4157">
        <w:rPr>
          <w:b/>
        </w:rPr>
        <w:t xml:space="preserve">; </w:t>
      </w:r>
      <w:r w:rsidRPr="00FD4157">
        <w:rPr>
          <w:b/>
        </w:rPr>
        <w:t xml:space="preserve">including consideration of the </w:t>
      </w:r>
      <w:r w:rsidR="008C4D4C" w:rsidRPr="00FD4157">
        <w:rPr>
          <w:b/>
        </w:rPr>
        <w:t>develop</w:t>
      </w:r>
      <w:r w:rsidRPr="00FD4157">
        <w:rPr>
          <w:b/>
        </w:rPr>
        <w:t>ment</w:t>
      </w:r>
      <w:r w:rsidR="008C4D4C" w:rsidRPr="00FD4157">
        <w:rPr>
          <w:b/>
        </w:rPr>
        <w:t xml:space="preserve"> a federal compensation scheme for survivors of human trafficking and slavery; </w:t>
      </w:r>
      <w:r w:rsidR="008C4D4C" w:rsidRPr="00FD4157">
        <w:rPr>
          <w:rFonts w:cs="Arial"/>
          <w:b/>
          <w:lang w:val="en"/>
        </w:rPr>
        <w:t xml:space="preserve">and </w:t>
      </w:r>
      <w:r w:rsidR="008C4D4C" w:rsidRPr="00FD4157">
        <w:rPr>
          <w:b/>
        </w:rPr>
        <w:t>develop</w:t>
      </w:r>
      <w:r w:rsidR="00FD4157">
        <w:rPr>
          <w:b/>
        </w:rPr>
        <w:t>ment of</w:t>
      </w:r>
      <w:r w:rsidR="008C4D4C" w:rsidRPr="00FD4157">
        <w:rPr>
          <w:b/>
        </w:rPr>
        <w:t xml:space="preserve"> a regulatory regime addressing international surrogacy arrangements.</w:t>
      </w:r>
    </w:p>
    <w:p w:rsidR="001D794E" w:rsidRPr="00FD4157" w:rsidRDefault="0037262F" w:rsidP="00860D71">
      <w:pPr>
        <w:pStyle w:val="SubmissionNormal"/>
        <w:numPr>
          <w:ilvl w:val="0"/>
          <w:numId w:val="22"/>
        </w:numPr>
        <w:ind w:left="426"/>
        <w:rPr>
          <w:b/>
        </w:rPr>
      </w:pPr>
      <w:r w:rsidRPr="00FD4157">
        <w:rPr>
          <w:rFonts w:eastAsia="Calibri" w:cs="Arial"/>
          <w:b/>
          <w:lang w:val="en-NZ" w:eastAsia="en-US"/>
        </w:rPr>
        <w:lastRenderedPageBreak/>
        <w:t xml:space="preserve">Information on </w:t>
      </w:r>
      <w:r w:rsidR="001D794E" w:rsidRPr="00FD4157">
        <w:rPr>
          <w:rFonts w:eastAsia="Calibri" w:cs="Arial"/>
          <w:b/>
          <w:lang w:val="en-NZ" w:eastAsia="en-US"/>
        </w:rPr>
        <w:t xml:space="preserve">the </w:t>
      </w:r>
      <w:r w:rsidR="002A4640">
        <w:rPr>
          <w:rFonts w:eastAsia="Calibri" w:cs="Arial"/>
          <w:b/>
          <w:lang w:val="en-NZ" w:eastAsia="en-US"/>
        </w:rPr>
        <w:t>development of</w:t>
      </w:r>
      <w:r w:rsidRPr="00FD4157">
        <w:rPr>
          <w:rFonts w:eastAsia="Calibri" w:cs="Arial"/>
          <w:b/>
          <w:lang w:val="en-NZ" w:eastAsia="en-US"/>
        </w:rPr>
        <w:t xml:space="preserve"> </w:t>
      </w:r>
      <w:r w:rsidR="001D794E" w:rsidRPr="00FD4157">
        <w:rPr>
          <w:rFonts w:eastAsia="Calibri" w:cs="Arial"/>
          <w:b/>
          <w:lang w:val="en-NZ" w:eastAsia="en-US"/>
        </w:rPr>
        <w:t xml:space="preserve">a </w:t>
      </w:r>
      <w:r w:rsidR="001D794E" w:rsidRPr="00FD4157">
        <w:rPr>
          <w:b/>
        </w:rPr>
        <w:t>National</w:t>
      </w:r>
      <w:r w:rsidR="001D794E" w:rsidRPr="00FD4157">
        <w:rPr>
          <w:rFonts w:eastAsia="Calibri" w:cs="Arial"/>
          <w:b/>
          <w:lang w:val="en-NZ" w:eastAsia="en-US"/>
        </w:rPr>
        <w:t xml:space="preserve"> Action Plan on Business and Human Rights, </w:t>
      </w:r>
      <w:r w:rsidRPr="00FD4157">
        <w:rPr>
          <w:rFonts w:eastAsia="Calibri" w:cs="Arial"/>
          <w:b/>
          <w:lang w:val="en-NZ" w:eastAsia="en-US"/>
        </w:rPr>
        <w:t>with</w:t>
      </w:r>
      <w:r w:rsidR="001D794E" w:rsidRPr="00FD4157">
        <w:rPr>
          <w:rFonts w:eastAsia="Calibri" w:cs="Arial"/>
          <w:b/>
          <w:lang w:val="en-NZ" w:eastAsia="en-US"/>
        </w:rPr>
        <w:t xml:space="preserve"> </w:t>
      </w:r>
      <w:r w:rsidR="001D794E" w:rsidRPr="00FD4157">
        <w:rPr>
          <w:b/>
        </w:rPr>
        <w:t xml:space="preserve">clear links with the </w:t>
      </w:r>
      <w:r w:rsidR="001D794E" w:rsidRPr="00FD4157">
        <w:rPr>
          <w:b/>
          <w:i/>
        </w:rPr>
        <w:t>National Action Plan to Combat Hum</w:t>
      </w:r>
      <w:r w:rsidR="009D40E5">
        <w:rPr>
          <w:b/>
          <w:i/>
        </w:rPr>
        <w:t>an Trafficking and Slavery 2015</w:t>
      </w:r>
      <w:r w:rsidR="009D40E5" w:rsidRPr="00EF2323">
        <w:rPr>
          <w:sz w:val="22"/>
          <w:szCs w:val="22"/>
        </w:rPr>
        <w:t>–</w:t>
      </w:r>
      <w:r w:rsidR="001D794E" w:rsidRPr="00FD4157">
        <w:rPr>
          <w:b/>
          <w:i/>
        </w:rPr>
        <w:t>2019</w:t>
      </w:r>
      <w:r w:rsidR="001D794E" w:rsidRPr="00FD4157">
        <w:rPr>
          <w:b/>
        </w:rPr>
        <w:t>.</w:t>
      </w:r>
    </w:p>
    <w:p w:rsidR="001D794E" w:rsidRPr="00FD4157" w:rsidRDefault="00223407" w:rsidP="00860D71">
      <w:pPr>
        <w:pStyle w:val="SubmissionNormal"/>
        <w:numPr>
          <w:ilvl w:val="0"/>
          <w:numId w:val="22"/>
        </w:numPr>
        <w:ind w:left="426"/>
        <w:rPr>
          <w:b/>
        </w:rPr>
      </w:pPr>
      <w:r w:rsidRPr="00FD4157">
        <w:rPr>
          <w:rFonts w:eastAsia="Calibri" w:cs="Arial"/>
          <w:b/>
          <w:lang w:val="en-NZ" w:eastAsia="en-US"/>
        </w:rPr>
        <w:t xml:space="preserve">Information on </w:t>
      </w:r>
      <w:r w:rsidR="00361FF8" w:rsidRPr="00FD4157">
        <w:rPr>
          <w:rFonts w:eastAsia="Calibri" w:cs="Arial"/>
          <w:b/>
          <w:lang w:val="en-NZ" w:eastAsia="en-US"/>
        </w:rPr>
        <w:t>any steps taken to</w:t>
      </w:r>
      <w:r w:rsidR="007903F6" w:rsidRPr="00FD4157">
        <w:rPr>
          <w:b/>
        </w:rPr>
        <w:t xml:space="preserve"> </w:t>
      </w:r>
      <w:r w:rsidR="007903F6" w:rsidRPr="00FD4157">
        <w:rPr>
          <w:rFonts w:eastAsia="Calibri"/>
          <w:b/>
        </w:rPr>
        <w:t>develop</w:t>
      </w:r>
      <w:r w:rsidR="00361FF8" w:rsidRPr="00FD4157">
        <w:rPr>
          <w:rFonts w:eastAsia="Calibri"/>
          <w:b/>
        </w:rPr>
        <w:t xml:space="preserve"> </w:t>
      </w:r>
      <w:r w:rsidR="007903F6" w:rsidRPr="00FD4157">
        <w:rPr>
          <w:rFonts w:eastAsia="Calibri"/>
          <w:b/>
        </w:rPr>
        <w:t xml:space="preserve">a Modern Slavery Act in Australia. </w:t>
      </w:r>
    </w:p>
    <w:p w:rsidR="00756B0E" w:rsidRDefault="00CE293B" w:rsidP="00DC193F">
      <w:pPr>
        <w:pStyle w:val="Heading1"/>
        <w:numPr>
          <w:ilvl w:val="0"/>
          <w:numId w:val="16"/>
        </w:numPr>
      </w:pPr>
      <w:bookmarkStart w:id="22" w:name="_Toc494372760"/>
      <w:r>
        <w:t>Aboriginal and Torres Strait Islander women’s rights</w:t>
      </w:r>
      <w:r w:rsidR="001C0093">
        <w:t xml:space="preserve"> (CEDAW Article</w:t>
      </w:r>
      <w:r w:rsidR="003F0253">
        <w:t>s</w:t>
      </w:r>
      <w:r w:rsidR="001C0093">
        <w:t xml:space="preserve"> </w:t>
      </w:r>
      <w:r w:rsidR="00297EBB">
        <w:t>1</w:t>
      </w:r>
      <w:r w:rsidR="00CC3CF4" w:rsidRPr="00EF2323">
        <w:rPr>
          <w:sz w:val="22"/>
          <w:szCs w:val="22"/>
        </w:rPr>
        <w:t>–</w:t>
      </w:r>
      <w:r w:rsidR="003F0253">
        <w:t>4</w:t>
      </w:r>
      <w:r w:rsidR="001F4E84">
        <w:t xml:space="preserve">, </w:t>
      </w:r>
      <w:r w:rsidR="00C55946">
        <w:t xml:space="preserve">11, 13 </w:t>
      </w:r>
      <w:r w:rsidR="001E2903">
        <w:t xml:space="preserve">and </w:t>
      </w:r>
      <w:r w:rsidR="001F4E84">
        <w:t>15</w:t>
      </w:r>
      <w:r w:rsidR="001C0093">
        <w:t>)</w:t>
      </w:r>
      <w:bookmarkEnd w:id="22"/>
      <w:r w:rsidR="00A543B3">
        <w:t xml:space="preserve"> </w:t>
      </w:r>
    </w:p>
    <w:p w:rsidR="00354FC3" w:rsidRDefault="00354FC3" w:rsidP="00293D11">
      <w:pPr>
        <w:pStyle w:val="SubmissionNormal"/>
        <w:tabs>
          <w:tab w:val="clear" w:pos="501"/>
          <w:tab w:val="num" w:pos="851"/>
        </w:tabs>
        <w:ind w:left="709" w:hanging="720"/>
      </w:pPr>
      <w:r w:rsidRPr="005A05FF">
        <w:t>The Commission</w:t>
      </w:r>
      <w:r>
        <w:t xml:space="preserve"> congratulates the Australian Government for appointing the first Aboriginal woman to the role of the Aboriginal and Torres Strait Islander Social Justice Commissioner at the Australian Human Rights Commission</w:t>
      </w:r>
      <w:r w:rsidR="005276FB">
        <w:t xml:space="preserve">. </w:t>
      </w:r>
    </w:p>
    <w:p w:rsidR="00F2366F" w:rsidRDefault="00F2366F" w:rsidP="00293D11">
      <w:pPr>
        <w:pStyle w:val="SubmissionNormal"/>
        <w:tabs>
          <w:tab w:val="clear" w:pos="501"/>
          <w:tab w:val="num" w:pos="851"/>
        </w:tabs>
        <w:ind w:left="709" w:hanging="720"/>
      </w:pPr>
      <w:r>
        <w:t xml:space="preserve">The Commission </w:t>
      </w:r>
      <w:r w:rsidR="00F85E23">
        <w:t>will soon be</w:t>
      </w:r>
      <w:r w:rsidR="00A43904">
        <w:t xml:space="preserve"> undertaking </w:t>
      </w:r>
      <w:r>
        <w:t xml:space="preserve">national consultations with Aboriginal and Torres Strait Islander women and girls, to </w:t>
      </w:r>
      <w:r w:rsidR="00B1210D">
        <w:t xml:space="preserve">elevate their voices and </w:t>
      </w:r>
      <w:r w:rsidR="003F3118">
        <w:t xml:space="preserve">enable governments to better </w:t>
      </w:r>
      <w:r w:rsidR="00B1210D">
        <w:t>support Aboriginal and Torres Strait Islander women and girls as active citizens and positive change-makers</w:t>
      </w:r>
      <w:r>
        <w:t>.</w:t>
      </w:r>
      <w:r>
        <w:rPr>
          <w:rStyle w:val="EndnoteReference"/>
        </w:rPr>
        <w:endnoteReference w:id="61"/>
      </w:r>
      <w:r w:rsidR="00A43904">
        <w:t xml:space="preserve"> </w:t>
      </w:r>
      <w:r w:rsidRPr="00F65FFC">
        <w:t xml:space="preserve">The Commission looks forward to reporting on this nationally significant project </w:t>
      </w:r>
      <w:r>
        <w:t>in the next Committee reporting period.</w:t>
      </w:r>
    </w:p>
    <w:p w:rsidR="00354FC3" w:rsidRPr="00FC59A9" w:rsidRDefault="00354FC3" w:rsidP="00354FC3">
      <w:pPr>
        <w:pStyle w:val="Heading2"/>
        <w:numPr>
          <w:ilvl w:val="1"/>
          <w:numId w:val="16"/>
        </w:numPr>
        <w:rPr>
          <w:i w:val="0"/>
        </w:rPr>
      </w:pPr>
      <w:bookmarkStart w:id="23" w:name="_Toc494372761"/>
      <w:r w:rsidRPr="00FC59A9">
        <w:t>Incarceration of Aborigi</w:t>
      </w:r>
      <w:r w:rsidR="00D559F8">
        <w:t>nal and Torres Strait Islander w</w:t>
      </w:r>
      <w:r w:rsidRPr="00FC59A9">
        <w:t>omen</w:t>
      </w:r>
      <w:bookmarkEnd w:id="23"/>
    </w:p>
    <w:p w:rsidR="00354FC3" w:rsidRPr="00B46F72" w:rsidRDefault="00676813" w:rsidP="00293D11">
      <w:pPr>
        <w:pStyle w:val="SubmissionNormal"/>
        <w:tabs>
          <w:tab w:val="clear" w:pos="501"/>
          <w:tab w:val="num" w:pos="851"/>
        </w:tabs>
        <w:ind w:left="709" w:hanging="720"/>
      </w:pPr>
      <w:r>
        <w:t xml:space="preserve">At </w:t>
      </w:r>
      <w:r w:rsidRPr="00B46F72">
        <w:t>34% of the adult female prison population</w:t>
      </w:r>
      <w:r>
        <w:t>, Aboriginal and Torres Strait Islander women are</w:t>
      </w:r>
      <w:r w:rsidRPr="00676813">
        <w:t xml:space="preserve"> </w:t>
      </w:r>
      <w:r>
        <w:t>the fastest growing and most overrepresented prison population.</w:t>
      </w:r>
      <w:r w:rsidRPr="00B46F72">
        <w:rPr>
          <w:rStyle w:val="EndnoteReference"/>
        </w:rPr>
        <w:t xml:space="preserve"> </w:t>
      </w:r>
      <w:r w:rsidRPr="00B46F72">
        <w:rPr>
          <w:rStyle w:val="EndnoteReference"/>
        </w:rPr>
        <w:endnoteReference w:id="62"/>
      </w:r>
      <w:r>
        <w:t xml:space="preserve"> </w:t>
      </w:r>
    </w:p>
    <w:p w:rsidR="00354FC3" w:rsidRDefault="00354FC3" w:rsidP="00293D11">
      <w:pPr>
        <w:pStyle w:val="SubmissionNormal"/>
        <w:tabs>
          <w:tab w:val="clear" w:pos="501"/>
          <w:tab w:val="num" w:pos="851"/>
        </w:tabs>
        <w:ind w:left="709" w:hanging="720"/>
      </w:pPr>
      <w:r>
        <w:t xml:space="preserve">As has been noted in numerous </w:t>
      </w:r>
      <w:r>
        <w:rPr>
          <w:i/>
        </w:rPr>
        <w:t>Social Justice Reports</w:t>
      </w:r>
      <w:r>
        <w:t xml:space="preserve">, none of the recommendations of the </w:t>
      </w:r>
      <w:r w:rsidR="00306807">
        <w:t xml:space="preserve">Royal Commission into Aboriginal Deaths in Custody </w:t>
      </w:r>
      <w:r>
        <w:t>specifically addressed the circumstances of Indigenous women.</w:t>
      </w:r>
      <w:r>
        <w:rPr>
          <w:rStyle w:val="EndnoteReference"/>
          <w:rFonts w:eastAsia="MS Mincho"/>
        </w:rPr>
        <w:endnoteReference w:id="63"/>
      </w:r>
      <w:r>
        <w:t xml:space="preserve"> </w:t>
      </w:r>
    </w:p>
    <w:p w:rsidR="00F9789A" w:rsidRPr="009C1B8A" w:rsidRDefault="00354FC3" w:rsidP="00293D11">
      <w:pPr>
        <w:pStyle w:val="SubmissionNormal"/>
        <w:tabs>
          <w:tab w:val="clear" w:pos="501"/>
          <w:tab w:val="num" w:pos="851"/>
        </w:tabs>
        <w:ind w:left="709" w:hanging="720"/>
        <w:rPr>
          <w:rFonts w:cs="Arial"/>
          <w:color w:val="000000"/>
        </w:rPr>
      </w:pPr>
      <w:r w:rsidRPr="00354FC3">
        <w:rPr>
          <w:rStyle w:val="A14"/>
          <w:rFonts w:eastAsia="MS Mincho" w:cs="Arial"/>
          <w:sz w:val="24"/>
          <w:szCs w:val="24"/>
        </w:rPr>
        <w:t xml:space="preserve">The Commission </w:t>
      </w:r>
      <w:r w:rsidR="00A96E95">
        <w:rPr>
          <w:rStyle w:val="A14"/>
          <w:rFonts w:eastAsia="MS Mincho" w:cs="Arial"/>
          <w:sz w:val="24"/>
          <w:szCs w:val="24"/>
        </w:rPr>
        <w:t>has consistently recommended that</w:t>
      </w:r>
      <w:r w:rsidRPr="00354FC3">
        <w:rPr>
          <w:rStyle w:val="A14"/>
          <w:rFonts w:eastAsia="MS Mincho" w:cs="Arial"/>
          <w:sz w:val="24"/>
          <w:szCs w:val="24"/>
        </w:rPr>
        <w:t xml:space="preserve"> the Australian </w:t>
      </w:r>
      <w:r w:rsidRPr="000066D1">
        <w:t>Government</w:t>
      </w:r>
      <w:r w:rsidRPr="00354FC3">
        <w:rPr>
          <w:rStyle w:val="A14"/>
          <w:rFonts w:eastAsia="MS Mincho" w:cs="Arial"/>
          <w:sz w:val="24"/>
          <w:szCs w:val="24"/>
        </w:rPr>
        <w:t xml:space="preserve"> </w:t>
      </w:r>
      <w:r w:rsidRPr="00293D11">
        <w:t>establish</w:t>
      </w:r>
      <w:r w:rsidRPr="00354FC3">
        <w:rPr>
          <w:rStyle w:val="A14"/>
          <w:rFonts w:eastAsia="MS Mincho" w:cs="Arial"/>
          <w:sz w:val="24"/>
          <w:szCs w:val="24"/>
        </w:rPr>
        <w:t xml:space="preserve"> nationally agreed justice targets and strategies aimed at </w:t>
      </w:r>
      <w:r w:rsidRPr="00354FC3">
        <w:t>significantly</w:t>
      </w:r>
      <w:r w:rsidRPr="00354FC3">
        <w:rPr>
          <w:rStyle w:val="A14"/>
          <w:rFonts w:eastAsia="MS Mincho" w:cs="Arial"/>
          <w:sz w:val="24"/>
          <w:szCs w:val="24"/>
        </w:rPr>
        <w:t xml:space="preserve"> reducing the number of Aboriginal and Torres Strait Islander people in d</w:t>
      </w:r>
      <w:r w:rsidR="00A96E95">
        <w:rPr>
          <w:rStyle w:val="A14"/>
          <w:rFonts w:eastAsia="MS Mincho" w:cs="Arial"/>
          <w:sz w:val="24"/>
          <w:szCs w:val="24"/>
        </w:rPr>
        <w:t>etention or gaol.</w:t>
      </w:r>
      <w:r>
        <w:rPr>
          <w:rStyle w:val="EndnoteReference"/>
          <w:rFonts w:cs="Arial"/>
        </w:rPr>
        <w:endnoteReference w:id="64"/>
      </w:r>
    </w:p>
    <w:p w:rsidR="00354FC3" w:rsidRDefault="00354FC3" w:rsidP="00354FC3">
      <w:pPr>
        <w:pStyle w:val="SubmissionNormal"/>
        <w:numPr>
          <w:ilvl w:val="0"/>
          <w:numId w:val="0"/>
        </w:numPr>
        <w:rPr>
          <w:rFonts w:cs="Arial"/>
          <w:b/>
        </w:rPr>
      </w:pPr>
      <w:r w:rsidRPr="0010101A">
        <w:rPr>
          <w:rFonts w:cs="Arial"/>
          <w:b/>
        </w:rPr>
        <w:t>Issue</w:t>
      </w:r>
      <w:r w:rsidR="00FC41A4">
        <w:rPr>
          <w:rFonts w:cs="Arial"/>
          <w:b/>
        </w:rPr>
        <w:t>s for consideration in the LOI</w:t>
      </w:r>
      <w:r w:rsidRPr="0010101A">
        <w:rPr>
          <w:rFonts w:cs="Arial"/>
          <w:b/>
        </w:rPr>
        <w:t>:</w:t>
      </w:r>
    </w:p>
    <w:p w:rsidR="00354FC3" w:rsidRDefault="00354FC3" w:rsidP="005A45B2">
      <w:pPr>
        <w:pStyle w:val="ListParagraph"/>
        <w:numPr>
          <w:ilvl w:val="0"/>
          <w:numId w:val="24"/>
        </w:numPr>
        <w:ind w:left="426"/>
        <w:rPr>
          <w:b/>
        </w:rPr>
      </w:pPr>
      <w:r w:rsidRPr="00354FC3">
        <w:rPr>
          <w:b/>
        </w:rPr>
        <w:t>Information on steps taken by the Australian Government of work with Indigenous women to address the challenges facing Aboriginal and Torres Strait Islander women and the justice system</w:t>
      </w:r>
      <w:r w:rsidR="00CB4A52">
        <w:rPr>
          <w:b/>
        </w:rPr>
        <w:t>.</w:t>
      </w:r>
    </w:p>
    <w:p w:rsidR="00CD02DD" w:rsidRPr="00354FC3" w:rsidRDefault="00CD02DD" w:rsidP="00CD02DD">
      <w:pPr>
        <w:pStyle w:val="ListParagraph"/>
        <w:ind w:left="426"/>
        <w:rPr>
          <w:b/>
        </w:rPr>
      </w:pPr>
    </w:p>
    <w:p w:rsidR="00354FC3" w:rsidRDefault="00354FC3" w:rsidP="00805CFD">
      <w:pPr>
        <w:pStyle w:val="ListParagraph"/>
        <w:numPr>
          <w:ilvl w:val="0"/>
          <w:numId w:val="24"/>
        </w:numPr>
        <w:ind w:left="426"/>
        <w:rPr>
          <w:b/>
        </w:rPr>
      </w:pPr>
      <w:r w:rsidRPr="006D2CF2">
        <w:rPr>
          <w:b/>
        </w:rPr>
        <w:t>Information on steps taken by the Australian Government to establish national justice targets aimed at reducing the overrepresentation of Indigenous peoples in the justice system, including Aboriginal and Torres Strait Islander women.</w:t>
      </w:r>
    </w:p>
    <w:p w:rsidR="00D559F8" w:rsidRPr="00417F9D" w:rsidRDefault="00D559F8" w:rsidP="00417F9D">
      <w:pPr>
        <w:pStyle w:val="Heading2"/>
        <w:numPr>
          <w:ilvl w:val="1"/>
          <w:numId w:val="16"/>
        </w:numPr>
        <w:rPr>
          <w:i w:val="0"/>
        </w:rPr>
      </w:pPr>
      <w:bookmarkStart w:id="24" w:name="_Toc494372762"/>
      <w:r>
        <w:lastRenderedPageBreak/>
        <w:t>Supporting Aboriginal and Torres Strait Islander women and their families</w:t>
      </w:r>
      <w:bookmarkEnd w:id="24"/>
      <w:r>
        <w:t xml:space="preserve"> </w:t>
      </w:r>
    </w:p>
    <w:p w:rsidR="00D559F8" w:rsidRDefault="008F1496" w:rsidP="00293D11">
      <w:pPr>
        <w:pStyle w:val="SubmissionNormal"/>
        <w:tabs>
          <w:tab w:val="clear" w:pos="501"/>
          <w:tab w:val="num" w:pos="851"/>
        </w:tabs>
        <w:ind w:left="709" w:hanging="720"/>
      </w:pPr>
      <w:r>
        <w:t>2017</w:t>
      </w:r>
      <w:r w:rsidR="00D559F8" w:rsidRPr="00C8136E">
        <w:t xml:space="preserve"> commemorates the 20</w:t>
      </w:r>
      <w:r w:rsidR="00D559F8" w:rsidRPr="00C8136E">
        <w:rPr>
          <w:vertAlign w:val="superscript"/>
        </w:rPr>
        <w:t xml:space="preserve"> </w:t>
      </w:r>
      <w:r w:rsidR="00D559F8" w:rsidRPr="00C8136E">
        <w:t xml:space="preserve">year anniversary of the </w:t>
      </w:r>
      <w:r w:rsidR="00D559F8" w:rsidRPr="00C8136E">
        <w:rPr>
          <w:i/>
        </w:rPr>
        <w:t>National Inquiry into the Separation of Aboriginal and Torres Strait Islander Children from Their Families</w:t>
      </w:r>
      <w:r w:rsidR="00D559F8" w:rsidRPr="00C8136E">
        <w:t xml:space="preserve"> conducted by the</w:t>
      </w:r>
      <w:r w:rsidR="00D559F8">
        <w:rPr>
          <w:i/>
        </w:rPr>
        <w:t xml:space="preserve"> </w:t>
      </w:r>
      <w:r w:rsidR="00AD09C1">
        <w:t>Commission (the Bringing T</w:t>
      </w:r>
      <w:r w:rsidR="00D559F8">
        <w:t>hem Home Report).</w:t>
      </w:r>
    </w:p>
    <w:p w:rsidR="000B6B32" w:rsidRPr="00464D54" w:rsidRDefault="00D559F8" w:rsidP="00293D11">
      <w:pPr>
        <w:pStyle w:val="SubmissionNormal"/>
        <w:tabs>
          <w:tab w:val="clear" w:pos="501"/>
          <w:tab w:val="num" w:pos="851"/>
        </w:tabs>
        <w:ind w:left="709" w:hanging="720"/>
      </w:pPr>
      <w:r w:rsidRPr="009742F5">
        <w:t xml:space="preserve">The Commission is concerned </w:t>
      </w:r>
      <w:r>
        <w:t>about the vulnerability of Aboriginal and Torres Strait Islander women and their children giv</w:t>
      </w:r>
      <w:r w:rsidR="00611138">
        <w:t>en</w:t>
      </w:r>
      <w:r>
        <w:t xml:space="preserve"> the current overrepresentation </w:t>
      </w:r>
      <w:r w:rsidRPr="00464D54">
        <w:t xml:space="preserve">of </w:t>
      </w:r>
      <w:r w:rsidRPr="00D742E9">
        <w:t xml:space="preserve">Indigenous </w:t>
      </w:r>
      <w:r w:rsidRPr="00464D54">
        <w:t>children in Australia’s child protection system.</w:t>
      </w:r>
      <w:r w:rsidRPr="00464D54">
        <w:rPr>
          <w:rStyle w:val="EndnoteReference"/>
        </w:rPr>
        <w:endnoteReference w:id="65"/>
      </w:r>
      <w:r w:rsidRPr="00464D54">
        <w:t xml:space="preserve"> </w:t>
      </w:r>
    </w:p>
    <w:p w:rsidR="000B6B32" w:rsidRPr="00464D54" w:rsidRDefault="000B6B32" w:rsidP="00293D11">
      <w:pPr>
        <w:pStyle w:val="SubmissionNormal"/>
        <w:tabs>
          <w:tab w:val="clear" w:pos="501"/>
          <w:tab w:val="num" w:pos="851"/>
        </w:tabs>
        <w:ind w:left="709" w:hanging="720"/>
      </w:pPr>
      <w:r w:rsidRPr="00464D54">
        <w:t xml:space="preserve">The Commission </w:t>
      </w:r>
      <w:r w:rsidR="00212A2A" w:rsidRPr="00464D54">
        <w:t>has welcomed</w:t>
      </w:r>
      <w:r w:rsidRPr="00464D54">
        <w:t xml:space="preserve"> the establishment of the Royal Commission into the Protection and Detention of Children in the Northern Territory</w:t>
      </w:r>
      <w:r w:rsidR="00DA4E92" w:rsidRPr="00464D54">
        <w:t>, which includes an examination of child protection in the Northern Territory</w:t>
      </w:r>
      <w:r w:rsidR="00212A2A" w:rsidRPr="00464D54">
        <w:t>,</w:t>
      </w:r>
      <w:r w:rsidRPr="00464D54">
        <w:rPr>
          <w:rStyle w:val="EndnoteReference"/>
          <w:rFonts w:cs="Arial"/>
        </w:rPr>
        <w:endnoteReference w:id="66"/>
      </w:r>
      <w:r w:rsidRPr="00464D54">
        <w:t xml:space="preserve"> </w:t>
      </w:r>
      <w:r w:rsidR="00212A2A" w:rsidRPr="00464D54">
        <w:t xml:space="preserve">as well as the establishment of the Royal Commission into Institutional Responses to Child Sexual Abuse </w:t>
      </w:r>
      <w:r w:rsidR="00C12A5D" w:rsidRPr="00464D54">
        <w:t xml:space="preserve">in 2012 </w:t>
      </w:r>
      <w:r w:rsidR="00212A2A" w:rsidRPr="00464D54">
        <w:t xml:space="preserve">to investigate the sexual abuse of children within private, public and non-government institutions, including an examination of abuse of children in out of home care. These </w:t>
      </w:r>
      <w:r w:rsidR="00187EF0">
        <w:t xml:space="preserve">Royal </w:t>
      </w:r>
      <w:r w:rsidR="00212A2A" w:rsidRPr="00464D54">
        <w:t>Commissions are both due to report later this year.</w:t>
      </w:r>
    </w:p>
    <w:p w:rsidR="00D559F8" w:rsidRPr="00464D54" w:rsidRDefault="00D559F8" w:rsidP="00D559F8">
      <w:pPr>
        <w:pStyle w:val="SubmissionNormal"/>
        <w:numPr>
          <w:ilvl w:val="0"/>
          <w:numId w:val="0"/>
        </w:numPr>
        <w:rPr>
          <w:b/>
        </w:rPr>
      </w:pPr>
      <w:r w:rsidRPr="00464D54">
        <w:rPr>
          <w:b/>
        </w:rPr>
        <w:t>Issue</w:t>
      </w:r>
      <w:r w:rsidR="00FC41A4">
        <w:rPr>
          <w:b/>
        </w:rPr>
        <w:t>s for consideration in the LOI</w:t>
      </w:r>
      <w:r w:rsidRPr="00464D54">
        <w:rPr>
          <w:b/>
        </w:rPr>
        <w:t>:</w:t>
      </w:r>
    </w:p>
    <w:p w:rsidR="00D559F8" w:rsidRDefault="00D559F8" w:rsidP="00805CFD">
      <w:pPr>
        <w:pStyle w:val="ListParagraph"/>
        <w:numPr>
          <w:ilvl w:val="0"/>
          <w:numId w:val="24"/>
        </w:numPr>
        <w:ind w:left="426"/>
        <w:rPr>
          <w:b/>
        </w:rPr>
      </w:pPr>
      <w:r w:rsidRPr="00464D54">
        <w:rPr>
          <w:b/>
        </w:rPr>
        <w:t>Information on steps taken by the Australian Government to support Aboriginal and Torres Strait Islander women</w:t>
      </w:r>
      <w:r w:rsidR="00C60E3F" w:rsidRPr="00464D54">
        <w:rPr>
          <w:b/>
        </w:rPr>
        <w:t>, children</w:t>
      </w:r>
      <w:r w:rsidRPr="00464D54">
        <w:rPr>
          <w:b/>
        </w:rPr>
        <w:t xml:space="preserve"> and their families </w:t>
      </w:r>
      <w:r w:rsidR="00417F9D" w:rsidRPr="00464D54">
        <w:rPr>
          <w:b/>
        </w:rPr>
        <w:t xml:space="preserve">to </w:t>
      </w:r>
      <w:r w:rsidRPr="00464D54">
        <w:rPr>
          <w:b/>
        </w:rPr>
        <w:t xml:space="preserve">stay together and </w:t>
      </w:r>
      <w:r w:rsidR="0092567B" w:rsidRPr="00464D54">
        <w:rPr>
          <w:b/>
        </w:rPr>
        <w:t xml:space="preserve">to </w:t>
      </w:r>
      <w:r w:rsidRPr="00464D54">
        <w:rPr>
          <w:b/>
        </w:rPr>
        <w:t>redu</w:t>
      </w:r>
      <w:r w:rsidR="0092567B" w:rsidRPr="00464D54">
        <w:rPr>
          <w:b/>
        </w:rPr>
        <w:t>ce</w:t>
      </w:r>
      <w:r w:rsidRPr="00464D54">
        <w:rPr>
          <w:b/>
        </w:rPr>
        <w:t xml:space="preserve"> high rates of contact with the child protection system.</w:t>
      </w:r>
    </w:p>
    <w:p w:rsidR="00187EF0" w:rsidRPr="00464D54" w:rsidRDefault="00187EF0" w:rsidP="00187EF0">
      <w:pPr>
        <w:pStyle w:val="ListParagraph"/>
        <w:ind w:left="426"/>
        <w:rPr>
          <w:b/>
        </w:rPr>
      </w:pPr>
    </w:p>
    <w:p w:rsidR="000B6B32" w:rsidRPr="00464D54" w:rsidRDefault="000B6B32" w:rsidP="00AF61DF">
      <w:pPr>
        <w:pStyle w:val="ListParagraph"/>
        <w:numPr>
          <w:ilvl w:val="0"/>
          <w:numId w:val="24"/>
        </w:numPr>
        <w:ind w:left="426"/>
        <w:rPr>
          <w:b/>
        </w:rPr>
      </w:pPr>
      <w:r w:rsidRPr="00464D54">
        <w:rPr>
          <w:b/>
        </w:rPr>
        <w:t>Information on</w:t>
      </w:r>
      <w:r w:rsidR="00E85F5B" w:rsidRPr="00464D54">
        <w:rPr>
          <w:b/>
        </w:rPr>
        <w:t xml:space="preserve"> </w:t>
      </w:r>
      <w:r w:rsidR="00EB43A9">
        <w:rPr>
          <w:b/>
        </w:rPr>
        <w:t>State, Territory and F</w:t>
      </w:r>
      <w:r w:rsidR="00AF61DF" w:rsidRPr="00464D54">
        <w:rPr>
          <w:b/>
        </w:rPr>
        <w:t>ederal Government’s responses to the recommendations of the Royal Commission into the Protection and Detention of Children in the Northern Territory, and the Royal Commission into Institutional Responses to Child Sexual Abuse</w:t>
      </w:r>
      <w:r w:rsidR="00E7207F" w:rsidRPr="00464D54">
        <w:rPr>
          <w:b/>
        </w:rPr>
        <w:t xml:space="preserve">, particularly as they relate to </w:t>
      </w:r>
      <w:r w:rsidR="002952A8" w:rsidRPr="00464D54">
        <w:rPr>
          <w:b/>
        </w:rPr>
        <w:t>child</w:t>
      </w:r>
      <w:r w:rsidR="00E7207F" w:rsidRPr="00464D54">
        <w:rPr>
          <w:b/>
        </w:rPr>
        <w:t xml:space="preserve"> protection</w:t>
      </w:r>
      <w:r w:rsidR="00092D23" w:rsidRPr="00464D54">
        <w:rPr>
          <w:b/>
        </w:rPr>
        <w:t xml:space="preserve"> issues</w:t>
      </w:r>
      <w:r w:rsidR="00E7207F" w:rsidRPr="00464D54">
        <w:rPr>
          <w:b/>
        </w:rPr>
        <w:t xml:space="preserve">. </w:t>
      </w:r>
    </w:p>
    <w:p w:rsidR="001B33C2" w:rsidRPr="00464D54" w:rsidRDefault="00D44316" w:rsidP="005A07CC">
      <w:pPr>
        <w:pStyle w:val="Heading2"/>
        <w:numPr>
          <w:ilvl w:val="1"/>
          <w:numId w:val="16"/>
        </w:numPr>
        <w:rPr>
          <w:color w:val="auto"/>
        </w:rPr>
      </w:pPr>
      <w:bookmarkStart w:id="25" w:name="_Toc494372763"/>
      <w:r w:rsidRPr="00464D54">
        <w:rPr>
          <w:color w:val="auto"/>
        </w:rPr>
        <w:t>Social security</w:t>
      </w:r>
      <w:bookmarkEnd w:id="25"/>
      <w:r w:rsidRPr="00464D54">
        <w:rPr>
          <w:color w:val="auto"/>
        </w:rPr>
        <w:t xml:space="preserve"> </w:t>
      </w:r>
    </w:p>
    <w:p w:rsidR="009C1B8A" w:rsidRPr="00464D54" w:rsidRDefault="00701A85" w:rsidP="00293D11">
      <w:pPr>
        <w:pStyle w:val="SubmissionNormal"/>
        <w:tabs>
          <w:tab w:val="clear" w:pos="501"/>
          <w:tab w:val="num" w:pos="851"/>
        </w:tabs>
        <w:ind w:left="709" w:hanging="720"/>
      </w:pPr>
      <w:r w:rsidRPr="00464D54">
        <w:t xml:space="preserve">The Commission has previously </w:t>
      </w:r>
      <w:r w:rsidR="009C1B8A" w:rsidRPr="00464D54">
        <w:t xml:space="preserve">reported on the Cashless Debit Card and its impact on the exercise and enjoyment </w:t>
      </w:r>
      <w:r w:rsidR="009C1B8A" w:rsidRPr="00464D54">
        <w:rPr>
          <w:rStyle w:val="A14"/>
          <w:rFonts w:eastAsia="MS Mincho" w:cs="Arial"/>
          <w:color w:val="auto"/>
          <w:sz w:val="24"/>
          <w:szCs w:val="24"/>
        </w:rPr>
        <w:t>of</w:t>
      </w:r>
      <w:r w:rsidR="009C1B8A" w:rsidRPr="00464D54">
        <w:t xml:space="preserve"> human rights of Aboriginal and Torres Strait Islander peoples</w:t>
      </w:r>
      <w:r w:rsidR="00EA2677" w:rsidRPr="00464D54">
        <w:t>, including women,</w:t>
      </w:r>
      <w:r w:rsidR="009C1B8A" w:rsidRPr="00464D54">
        <w:t xml:space="preserve"> in the last two Social Justice and Native Title Reports.</w:t>
      </w:r>
      <w:r w:rsidR="009C1B8A" w:rsidRPr="00464D54">
        <w:rPr>
          <w:rStyle w:val="EndnoteReference"/>
        </w:rPr>
        <w:endnoteReference w:id="67"/>
      </w:r>
    </w:p>
    <w:p w:rsidR="00F3041C" w:rsidRPr="00464D54" w:rsidRDefault="004F54AA" w:rsidP="00293D11">
      <w:pPr>
        <w:pStyle w:val="SubmissionNormal"/>
        <w:tabs>
          <w:tab w:val="clear" w:pos="501"/>
          <w:tab w:val="num" w:pos="851"/>
        </w:tabs>
        <w:ind w:left="709" w:hanging="720"/>
      </w:pPr>
      <w:r w:rsidRPr="00464D54">
        <w:t>While the Commission commends the Australian Government in their intentions to reduce individual, family and community harm,</w:t>
      </w:r>
      <w:r w:rsidR="0066547D" w:rsidRPr="00464D54">
        <w:t xml:space="preserve"> particularly resulting from alcohol use,</w:t>
      </w:r>
      <w:r w:rsidRPr="00464D54">
        <w:t xml:space="preserve"> evidence shows that income management is not a satisfactory method to address the core drivers of addiction and harmful behaviours.</w:t>
      </w:r>
      <w:r w:rsidR="00634FFD">
        <w:rPr>
          <w:rStyle w:val="EndnoteReference"/>
        </w:rPr>
        <w:endnoteReference w:id="68"/>
      </w:r>
    </w:p>
    <w:p w:rsidR="0008317E" w:rsidRPr="005B140E" w:rsidRDefault="0008317E" w:rsidP="00293D11">
      <w:pPr>
        <w:pStyle w:val="SubmissionNormal"/>
        <w:tabs>
          <w:tab w:val="clear" w:pos="501"/>
          <w:tab w:val="num" w:pos="851"/>
        </w:tabs>
        <w:ind w:left="709" w:hanging="720"/>
        <w:rPr>
          <w:lang w:eastAsia="zh-CN"/>
        </w:rPr>
      </w:pPr>
      <w:r w:rsidRPr="005B140E">
        <w:rPr>
          <w:lang w:eastAsia="zh-CN"/>
        </w:rPr>
        <w:t xml:space="preserve">The Commission </w:t>
      </w:r>
      <w:r w:rsidR="00E90928" w:rsidRPr="005B140E">
        <w:rPr>
          <w:lang w:eastAsia="zh-CN"/>
        </w:rPr>
        <w:t xml:space="preserve">also </w:t>
      </w:r>
      <w:r w:rsidRPr="005B140E">
        <w:rPr>
          <w:lang w:eastAsia="zh-CN"/>
        </w:rPr>
        <w:t xml:space="preserve">remains concerned that the overall impact of the card </w:t>
      </w:r>
      <w:r w:rsidRPr="005B140E">
        <w:t>continue</w:t>
      </w:r>
      <w:r w:rsidR="00C86B94" w:rsidRPr="005B140E">
        <w:t>s</w:t>
      </w:r>
      <w:r w:rsidRPr="005B140E">
        <w:rPr>
          <w:lang w:eastAsia="zh-CN"/>
        </w:rPr>
        <w:t xml:space="preserve"> to disproportionately impact Aboriginal and Torres Strait Islander individuals </w:t>
      </w:r>
      <w:r w:rsidRPr="005B140E">
        <w:t>and</w:t>
      </w:r>
      <w:r w:rsidRPr="005B140E">
        <w:rPr>
          <w:lang w:eastAsia="zh-CN"/>
        </w:rPr>
        <w:t xml:space="preserve"> families</w:t>
      </w:r>
      <w:r w:rsidR="00C86B94" w:rsidRPr="005B140E">
        <w:rPr>
          <w:lang w:eastAsia="zh-CN"/>
        </w:rPr>
        <w:t xml:space="preserve">, and </w:t>
      </w:r>
      <w:r w:rsidR="00D55609" w:rsidRPr="005B140E">
        <w:rPr>
          <w:lang w:eastAsia="zh-CN"/>
        </w:rPr>
        <w:t>where</w:t>
      </w:r>
      <w:r w:rsidRPr="005B140E">
        <w:t xml:space="preserve"> the Cashless Debit Card takes a blanket mandatory approach</w:t>
      </w:r>
      <w:r w:rsidR="00BF3B5D" w:rsidRPr="005B140E">
        <w:t xml:space="preserve"> and is not a community-led initiative</w:t>
      </w:r>
      <w:r w:rsidR="008E229F" w:rsidRPr="005B140E">
        <w:t>,</w:t>
      </w:r>
      <w:r w:rsidRPr="005B140E">
        <w:t xml:space="preserve"> </w:t>
      </w:r>
      <w:r w:rsidR="008E229F" w:rsidRPr="005B140E">
        <w:rPr>
          <w:lang w:eastAsia="zh-CN"/>
        </w:rPr>
        <w:t>this</w:t>
      </w:r>
      <w:r w:rsidRPr="005B140E">
        <w:t xml:space="preserve"> </w:t>
      </w:r>
      <w:r w:rsidRPr="005B140E">
        <w:lastRenderedPageBreak/>
        <w:t>disproportionately impacts the most vulnerable such as Aboriginal a</w:t>
      </w:r>
      <w:r w:rsidR="00CB16EF" w:rsidRPr="005B140E">
        <w:t>nd Torres Strait Islander women and</w:t>
      </w:r>
      <w:r w:rsidRPr="005B140E">
        <w:t xml:space="preserve"> single parents.</w:t>
      </w:r>
      <w:r w:rsidRPr="005B140E">
        <w:rPr>
          <w:rStyle w:val="EndnoteReference"/>
        </w:rPr>
        <w:endnoteReference w:id="69"/>
      </w:r>
    </w:p>
    <w:p w:rsidR="00E5724E" w:rsidRPr="005B140E" w:rsidRDefault="00E5724E" w:rsidP="00E5724E">
      <w:pPr>
        <w:pStyle w:val="SubmissionNormal"/>
        <w:numPr>
          <w:ilvl w:val="0"/>
          <w:numId w:val="0"/>
        </w:numPr>
        <w:rPr>
          <w:b/>
        </w:rPr>
      </w:pPr>
      <w:r w:rsidRPr="005B140E">
        <w:rPr>
          <w:b/>
        </w:rPr>
        <w:t>Issue</w:t>
      </w:r>
      <w:r w:rsidR="00FC41A4">
        <w:rPr>
          <w:b/>
        </w:rPr>
        <w:t>s for consideration in the LOI</w:t>
      </w:r>
      <w:r w:rsidRPr="005B140E">
        <w:rPr>
          <w:b/>
        </w:rPr>
        <w:t>:</w:t>
      </w:r>
    </w:p>
    <w:p w:rsidR="009C1B8A" w:rsidRPr="005B140E" w:rsidRDefault="008C2612" w:rsidP="0081612A">
      <w:pPr>
        <w:pStyle w:val="ListParagraph"/>
        <w:numPr>
          <w:ilvl w:val="0"/>
          <w:numId w:val="24"/>
        </w:numPr>
        <w:ind w:left="426"/>
        <w:rPr>
          <w:b/>
        </w:rPr>
      </w:pPr>
      <w:r w:rsidRPr="005B140E">
        <w:rPr>
          <w:b/>
        </w:rPr>
        <w:t>Information on</w:t>
      </w:r>
      <w:r w:rsidR="00AE2A49" w:rsidRPr="005B140E">
        <w:rPr>
          <w:b/>
        </w:rPr>
        <w:t xml:space="preserve"> </w:t>
      </w:r>
      <w:r w:rsidR="00FD3F62" w:rsidRPr="005B140E">
        <w:rPr>
          <w:b/>
        </w:rPr>
        <w:t>consideration of chang</w:t>
      </w:r>
      <w:r w:rsidR="00300569" w:rsidRPr="005B140E">
        <w:rPr>
          <w:b/>
        </w:rPr>
        <w:t>es</w:t>
      </w:r>
      <w:r w:rsidR="00FD3F62" w:rsidRPr="005B140E">
        <w:rPr>
          <w:b/>
        </w:rPr>
        <w:t xml:space="preserve"> </w:t>
      </w:r>
      <w:r w:rsidR="00C10600" w:rsidRPr="005B140E">
        <w:rPr>
          <w:b/>
        </w:rPr>
        <w:t xml:space="preserve">to </w:t>
      </w:r>
      <w:r w:rsidR="00FD3F62" w:rsidRPr="005B140E">
        <w:rPr>
          <w:rFonts w:cs="Arial"/>
          <w:b/>
          <w:lang w:eastAsia="zh-CN"/>
        </w:rPr>
        <w:t>the Cashless Debit Card model to an opt-in welfare income management measure</w:t>
      </w:r>
      <w:r w:rsidR="00C94B47" w:rsidRPr="005B140E">
        <w:rPr>
          <w:rFonts w:cs="Arial"/>
          <w:b/>
          <w:lang w:eastAsia="zh-CN"/>
        </w:rPr>
        <w:t>, which is community-led</w:t>
      </w:r>
      <w:r w:rsidR="00FD3F62" w:rsidRPr="005B140E">
        <w:rPr>
          <w:rFonts w:cs="Arial"/>
          <w:b/>
          <w:lang w:eastAsia="zh-CN"/>
        </w:rPr>
        <w:t>.</w:t>
      </w:r>
    </w:p>
    <w:p w:rsidR="0099280F" w:rsidRPr="005B140E" w:rsidRDefault="0099280F" w:rsidP="00A5720E">
      <w:pPr>
        <w:pStyle w:val="Heading1"/>
        <w:numPr>
          <w:ilvl w:val="0"/>
          <w:numId w:val="16"/>
        </w:numPr>
      </w:pPr>
      <w:bookmarkStart w:id="26" w:name="_Toc494372764"/>
      <w:r w:rsidRPr="005B140E">
        <w:t>Immigration and citizenship</w:t>
      </w:r>
      <w:r w:rsidR="002F3E97" w:rsidRPr="005B140E">
        <w:t xml:space="preserve"> (CEDAW Article</w:t>
      </w:r>
      <w:r w:rsidR="006E34EA" w:rsidRPr="005B140E">
        <w:t xml:space="preserve"> </w:t>
      </w:r>
      <w:r w:rsidR="002F3E97" w:rsidRPr="005B140E">
        <w:t>16</w:t>
      </w:r>
      <w:r w:rsidR="006E34EA" w:rsidRPr="005B140E">
        <w:t>)</w:t>
      </w:r>
      <w:bookmarkEnd w:id="26"/>
    </w:p>
    <w:p w:rsidR="006C735C" w:rsidRPr="008F4523" w:rsidRDefault="006C735C" w:rsidP="00293D11">
      <w:pPr>
        <w:pStyle w:val="SubmissionNormal"/>
        <w:tabs>
          <w:tab w:val="clear" w:pos="501"/>
          <w:tab w:val="num" w:pos="851"/>
        </w:tabs>
        <w:ind w:left="709" w:hanging="720"/>
      </w:pPr>
      <w:r w:rsidRPr="00464D54">
        <w:t xml:space="preserve">The Commission has concerns about a range of immigration policies which can lead to prolonged </w:t>
      </w:r>
      <w:r w:rsidRPr="00464D54">
        <w:rPr>
          <w:lang w:eastAsia="zh-CN"/>
        </w:rPr>
        <w:t>family</w:t>
      </w:r>
      <w:r w:rsidRPr="00464D54">
        <w:t xml:space="preserve"> separation, with detrimental impacts on (often vulnerable) women and children. These include: provisions of the </w:t>
      </w:r>
      <w:r w:rsidRPr="00C65B86">
        <w:rPr>
          <w:i/>
        </w:rPr>
        <w:t>Migration Act</w:t>
      </w:r>
      <w:r w:rsidRPr="00464D54">
        <w:t xml:space="preserve"> </w:t>
      </w:r>
      <w:r w:rsidR="00C65B86">
        <w:rPr>
          <w:i/>
        </w:rPr>
        <w:t xml:space="preserve">1958 </w:t>
      </w:r>
      <w:r w:rsidR="00C65B86">
        <w:t xml:space="preserve">(Cth) </w:t>
      </w:r>
      <w:r w:rsidRPr="00464D54">
        <w:t>which permit visa cancellation on broad character grounds, including in cases where people</w:t>
      </w:r>
      <w:bookmarkStart w:id="27" w:name="m_-562783807367621442__ednref1"/>
      <w:r w:rsidRPr="00464D54">
        <w:t xml:space="preserve"> have family links in Australia</w:t>
      </w:r>
      <w:bookmarkEnd w:id="27"/>
      <w:r w:rsidRPr="00464D54">
        <w:t>;</w:t>
      </w:r>
      <w:r w:rsidRPr="00464D54">
        <w:rPr>
          <w:rStyle w:val="EndnoteReference"/>
          <w:rFonts w:cs="Arial"/>
        </w:rPr>
        <w:endnoteReference w:id="70"/>
      </w:r>
      <w:r w:rsidRPr="00464D54">
        <w:t> restrictions on access to family reunion opportunities for some humanitarian entrants;</w:t>
      </w:r>
      <w:r w:rsidRPr="00464D54">
        <w:rPr>
          <w:rStyle w:val="EndnoteReference"/>
          <w:rFonts w:cs="Arial"/>
        </w:rPr>
        <w:endnoteReference w:id="71"/>
      </w:r>
      <w:r w:rsidRPr="00464D54">
        <w:t xml:space="preserve"> immigration detention arrangements which lead to family separation;</w:t>
      </w:r>
      <w:r w:rsidRPr="00464D54">
        <w:rPr>
          <w:rStyle w:val="EndnoteReference"/>
          <w:rFonts w:cs="Arial"/>
        </w:rPr>
        <w:endnoteReference w:id="72"/>
      </w:r>
      <w:r w:rsidRPr="00464D54">
        <w:t xml:space="preserve"> and the practice of transferring people from regional processing countries to Australia </w:t>
      </w:r>
      <w:r w:rsidRPr="008F4523">
        <w:t>for medical treatment without their families.</w:t>
      </w:r>
      <w:r w:rsidRPr="00797E80">
        <w:rPr>
          <w:rStyle w:val="EndnoteReference"/>
          <w:rFonts w:cs="Arial"/>
          <w:color w:val="000000"/>
        </w:rPr>
        <w:endnoteReference w:id="73"/>
      </w:r>
    </w:p>
    <w:p w:rsidR="006C735C" w:rsidRPr="008F4523" w:rsidRDefault="006C735C" w:rsidP="00424A3E">
      <w:pPr>
        <w:pStyle w:val="SubmissionNormal"/>
        <w:tabs>
          <w:tab w:val="clear" w:pos="501"/>
          <w:tab w:val="num" w:pos="720"/>
        </w:tabs>
        <w:ind w:left="720" w:hanging="720"/>
      </w:pPr>
      <w:r w:rsidRPr="008F4523">
        <w:t>The Commission is also concerned by recent policy announcements indicating that some groups of asylum seekers will no longer receive government-funded income support</w:t>
      </w:r>
      <w:r>
        <w:t xml:space="preserve"> and rental assistance</w:t>
      </w:r>
      <w:r w:rsidRPr="008F4523">
        <w:t>.</w:t>
      </w:r>
      <w:r w:rsidRPr="00797E80">
        <w:rPr>
          <w:rStyle w:val="EndnoteReference"/>
          <w:rFonts w:cs="Arial"/>
          <w:color w:val="000000"/>
        </w:rPr>
        <w:endnoteReference w:id="74"/>
      </w:r>
      <w:r w:rsidRPr="008F4523">
        <w:t xml:space="preserve"> The groups affected, which include vulnerable women and children, are likely to be at significant risk of financial hardship. </w:t>
      </w:r>
    </w:p>
    <w:p w:rsidR="006C735C" w:rsidRPr="008F4523" w:rsidRDefault="006C735C" w:rsidP="006C735C">
      <w:r w:rsidRPr="008F4523">
        <w:t> </w:t>
      </w:r>
      <w:r w:rsidRPr="008F4523">
        <w:rPr>
          <w:b/>
          <w:bCs/>
        </w:rPr>
        <w:t>Issue</w:t>
      </w:r>
      <w:r w:rsidR="00FC41A4">
        <w:rPr>
          <w:b/>
          <w:bCs/>
        </w:rPr>
        <w:t>s for consideration in the LOI</w:t>
      </w:r>
      <w:r w:rsidRPr="008F4523">
        <w:rPr>
          <w:b/>
          <w:bCs/>
        </w:rPr>
        <w:t>:</w:t>
      </w:r>
    </w:p>
    <w:p w:rsidR="009D4584" w:rsidRPr="009D4584" w:rsidRDefault="006C735C" w:rsidP="00286E13">
      <w:pPr>
        <w:pStyle w:val="ListParagraph"/>
        <w:numPr>
          <w:ilvl w:val="0"/>
          <w:numId w:val="24"/>
        </w:numPr>
        <w:ind w:left="426"/>
      </w:pPr>
      <w:r w:rsidRPr="00286E13">
        <w:rPr>
          <w:b/>
        </w:rPr>
        <w:t>Information</w:t>
      </w:r>
      <w:r w:rsidRPr="00797E80">
        <w:rPr>
          <w:b/>
          <w:bCs/>
        </w:rPr>
        <w:t xml:space="preserve"> on measures to prevent family separation resulting from immigration policies</w:t>
      </w:r>
      <w:r w:rsidR="009D4584">
        <w:rPr>
          <w:b/>
          <w:bCs/>
        </w:rPr>
        <w:t>.</w:t>
      </w:r>
    </w:p>
    <w:p w:rsidR="006C735C" w:rsidRPr="008F4523" w:rsidRDefault="006C735C" w:rsidP="009D4584">
      <w:pPr>
        <w:pStyle w:val="ListParagraph"/>
        <w:ind w:left="851"/>
      </w:pPr>
      <w:r w:rsidRPr="00797E80">
        <w:rPr>
          <w:b/>
          <w:bCs/>
        </w:rPr>
        <w:t> </w:t>
      </w:r>
    </w:p>
    <w:p w:rsidR="006C735C" w:rsidRPr="00797E80" w:rsidRDefault="006C735C" w:rsidP="00286E13">
      <w:pPr>
        <w:pStyle w:val="ListParagraph"/>
        <w:numPr>
          <w:ilvl w:val="0"/>
          <w:numId w:val="24"/>
        </w:numPr>
        <w:ind w:left="426"/>
        <w:rPr>
          <w:b/>
          <w:bCs/>
        </w:rPr>
      </w:pPr>
      <w:r w:rsidRPr="00286E13">
        <w:rPr>
          <w:b/>
        </w:rPr>
        <w:t>Information</w:t>
      </w:r>
      <w:r w:rsidRPr="00797E80">
        <w:rPr>
          <w:b/>
          <w:bCs/>
        </w:rPr>
        <w:t xml:space="preserve"> on measures to ensure the welfare of vulnerable women and children seeking asylum who will no longer receive government-funded income support and rental assistance</w:t>
      </w:r>
      <w:r w:rsidR="009D4584">
        <w:rPr>
          <w:b/>
          <w:bCs/>
        </w:rPr>
        <w:t>.</w:t>
      </w:r>
    </w:p>
    <w:p w:rsidR="00AB412D" w:rsidRDefault="00AB412D" w:rsidP="00A5720E">
      <w:pPr>
        <w:pStyle w:val="Heading1"/>
        <w:numPr>
          <w:ilvl w:val="0"/>
          <w:numId w:val="16"/>
        </w:numPr>
      </w:pPr>
      <w:bookmarkStart w:id="28" w:name="_Toc493793071"/>
      <w:bookmarkStart w:id="29" w:name="_Toc493793099"/>
      <w:bookmarkStart w:id="30" w:name="_Toc493793072"/>
      <w:bookmarkStart w:id="31" w:name="_Toc493793100"/>
      <w:bookmarkStart w:id="32" w:name="_Toc493793073"/>
      <w:bookmarkStart w:id="33" w:name="_Toc493793101"/>
      <w:bookmarkStart w:id="34" w:name="_Toc493793074"/>
      <w:bookmarkStart w:id="35" w:name="_Toc493793102"/>
      <w:bookmarkStart w:id="36" w:name="_Toc494372765"/>
      <w:bookmarkEnd w:id="28"/>
      <w:bookmarkEnd w:id="29"/>
      <w:bookmarkEnd w:id="30"/>
      <w:bookmarkEnd w:id="31"/>
      <w:bookmarkEnd w:id="32"/>
      <w:bookmarkEnd w:id="33"/>
      <w:bookmarkEnd w:id="34"/>
      <w:bookmarkEnd w:id="35"/>
      <w:r>
        <w:t>Women and work</w:t>
      </w:r>
      <w:r w:rsidR="001C0093">
        <w:t xml:space="preserve"> (</w:t>
      </w:r>
      <w:r w:rsidR="00927011">
        <w:t>concluding observations paras 38</w:t>
      </w:r>
      <w:r w:rsidR="00172996" w:rsidRPr="00EF2323">
        <w:rPr>
          <w:sz w:val="22"/>
          <w:szCs w:val="22"/>
        </w:rPr>
        <w:t>–</w:t>
      </w:r>
      <w:r w:rsidR="00927011">
        <w:t xml:space="preserve">39 and </w:t>
      </w:r>
      <w:r w:rsidR="001C0093">
        <w:t>CEDAW Article</w:t>
      </w:r>
      <w:r w:rsidR="00F062E0">
        <w:t xml:space="preserve"> 11</w:t>
      </w:r>
      <w:r w:rsidR="001C0093">
        <w:t>)</w:t>
      </w:r>
      <w:bookmarkEnd w:id="36"/>
    </w:p>
    <w:p w:rsidR="00AB412D" w:rsidRPr="00512F0C" w:rsidRDefault="00AB412D" w:rsidP="004A44DF">
      <w:pPr>
        <w:pStyle w:val="SubmissionNormal"/>
        <w:tabs>
          <w:tab w:val="clear" w:pos="501"/>
          <w:tab w:val="num" w:pos="720"/>
        </w:tabs>
        <w:ind w:left="720" w:hanging="720"/>
      </w:pPr>
      <w:r w:rsidRPr="00512F0C">
        <w:rPr>
          <w:rFonts w:cs="Arial"/>
        </w:rPr>
        <w:t xml:space="preserve">There are a range of gender equality gaps in Australia that </w:t>
      </w:r>
      <w:r w:rsidR="00ED5A88">
        <w:rPr>
          <w:rFonts w:cs="Arial"/>
        </w:rPr>
        <w:t>affect</w:t>
      </w:r>
      <w:r w:rsidRPr="00512F0C">
        <w:rPr>
          <w:rFonts w:cs="Arial"/>
        </w:rPr>
        <w:t xml:space="preserve"> women’s right to work, right to just and favourable conditions of work and right to</w:t>
      </w:r>
      <w:r w:rsidRPr="00512F0C">
        <w:rPr>
          <w:rStyle w:val="apple-converted-space"/>
          <w:rFonts w:cs="Arial"/>
          <w:shd w:val="clear" w:color="auto" w:fill="FFFFFF"/>
        </w:rPr>
        <w:t> </w:t>
      </w:r>
      <w:r w:rsidRPr="00512F0C">
        <w:t>adequate</w:t>
      </w:r>
      <w:r w:rsidRPr="00512F0C">
        <w:rPr>
          <w:rFonts w:cs="Arial"/>
          <w:shd w:val="clear" w:color="auto" w:fill="FFFFFF"/>
        </w:rPr>
        <w:t xml:space="preserve"> standard of living for themselves and their family</w:t>
      </w:r>
      <w:r w:rsidRPr="00512F0C">
        <w:rPr>
          <w:rFonts w:cs="Arial"/>
        </w:rPr>
        <w:t>.</w:t>
      </w:r>
      <w:r w:rsidR="000355AE">
        <w:rPr>
          <w:rStyle w:val="EndnoteReference"/>
          <w:rFonts w:cs="Arial"/>
        </w:rPr>
        <w:endnoteReference w:id="75"/>
      </w:r>
      <w:r w:rsidRPr="00512F0C">
        <w:rPr>
          <w:rFonts w:cs="Arial"/>
        </w:rPr>
        <w:t xml:space="preserve"> </w:t>
      </w:r>
    </w:p>
    <w:p w:rsidR="003D3FA5" w:rsidRDefault="005B70B4" w:rsidP="004A44DF">
      <w:pPr>
        <w:pStyle w:val="SubmissionNormal"/>
        <w:tabs>
          <w:tab w:val="clear" w:pos="501"/>
          <w:tab w:val="num" w:pos="720"/>
        </w:tabs>
        <w:ind w:left="720" w:hanging="720"/>
        <w:rPr>
          <w:rFonts w:cs="Arial"/>
        </w:rPr>
      </w:pPr>
      <w:r w:rsidRPr="004A44DF">
        <w:rPr>
          <w:rFonts w:cs="Arial"/>
        </w:rPr>
        <w:t>The</w:t>
      </w:r>
      <w:r w:rsidRPr="005B70B4">
        <w:rPr>
          <w:rFonts w:cs="Arial"/>
          <w:shd w:val="clear" w:color="auto" w:fill="FFFFFF"/>
        </w:rPr>
        <w:t xml:space="preserve"> Commission has highlight</w:t>
      </w:r>
      <w:r w:rsidR="00524D7F">
        <w:rPr>
          <w:rFonts w:cs="Arial"/>
          <w:shd w:val="clear" w:color="auto" w:fill="FFFFFF"/>
        </w:rPr>
        <w:t>ed</w:t>
      </w:r>
      <w:r w:rsidRPr="005B70B4">
        <w:rPr>
          <w:rFonts w:cs="Arial"/>
          <w:shd w:val="clear" w:color="auto" w:fill="FFFFFF"/>
        </w:rPr>
        <w:t xml:space="preserve"> issues for wome</w:t>
      </w:r>
      <w:r w:rsidR="00724EE1">
        <w:rPr>
          <w:rFonts w:cs="Arial"/>
          <w:shd w:val="clear" w:color="auto" w:fill="FFFFFF"/>
        </w:rPr>
        <w:t>n in the workplace</w:t>
      </w:r>
      <w:r w:rsidR="00524D7F">
        <w:rPr>
          <w:rFonts w:cs="Arial"/>
          <w:shd w:val="clear" w:color="auto" w:fill="FFFFFF"/>
        </w:rPr>
        <w:t>, including</w:t>
      </w:r>
      <w:r w:rsidRPr="005B70B4">
        <w:rPr>
          <w:rFonts w:cs="Arial"/>
          <w:shd w:val="clear" w:color="auto" w:fill="FFFFFF"/>
        </w:rPr>
        <w:t xml:space="preserve"> </w:t>
      </w:r>
      <w:r w:rsidRPr="00FD6139">
        <w:rPr>
          <w:rFonts w:cs="Arial"/>
        </w:rPr>
        <w:t>occupational segregation, the gender pay gap, unpaid caring work, the absence of superannuation from paid parental leave and the gender gap in retirement savings.</w:t>
      </w:r>
      <w:r w:rsidRPr="00952C58">
        <w:rPr>
          <w:rStyle w:val="EndnoteReference"/>
        </w:rPr>
        <w:endnoteReference w:id="76"/>
      </w:r>
      <w:r w:rsidR="00932C33">
        <w:rPr>
          <w:rFonts w:cs="Arial"/>
        </w:rPr>
        <w:t xml:space="preserve"> </w:t>
      </w:r>
    </w:p>
    <w:p w:rsidR="008F0015" w:rsidRDefault="008F0015" w:rsidP="004A44DF">
      <w:pPr>
        <w:pStyle w:val="SubmissionNormal"/>
        <w:tabs>
          <w:tab w:val="clear" w:pos="501"/>
          <w:tab w:val="num" w:pos="720"/>
        </w:tabs>
        <w:ind w:left="720" w:hanging="720"/>
        <w:rPr>
          <w:rFonts w:cs="Arial"/>
        </w:rPr>
      </w:pPr>
      <w:r w:rsidRPr="00DC358E">
        <w:t xml:space="preserve">Women are </w:t>
      </w:r>
      <w:r w:rsidRPr="008F0015">
        <w:rPr>
          <w:shd w:val="clear" w:color="auto" w:fill="FFFFFF"/>
        </w:rPr>
        <w:t>still</w:t>
      </w:r>
      <w:r w:rsidR="00CC07DC">
        <w:t xml:space="preserve"> significantly under</w:t>
      </w:r>
      <w:r w:rsidRPr="00DC358E">
        <w:t xml:space="preserve">represented in senior leadership positions </w:t>
      </w:r>
      <w:r w:rsidRPr="004A44DF">
        <w:rPr>
          <w:rFonts w:cs="Arial"/>
        </w:rPr>
        <w:t>right</w:t>
      </w:r>
      <w:r w:rsidRPr="00DC358E">
        <w:t xml:space="preserve"> across public, private and commu</w:t>
      </w:r>
      <w:r>
        <w:t>nity sectors, and in parliament, which continues to</w:t>
      </w:r>
      <w:r w:rsidRPr="00DC358E">
        <w:t xml:space="preserve"> </w:t>
      </w:r>
      <w:r>
        <w:t>perpetuate</w:t>
      </w:r>
      <w:r w:rsidRPr="00FD6139">
        <w:t xml:space="preserve"> the gender pay gap.</w:t>
      </w:r>
      <w:r w:rsidR="00805CFD">
        <w:rPr>
          <w:rStyle w:val="EndnoteReference"/>
          <w:rFonts w:cs="Arial"/>
        </w:rPr>
        <w:endnoteReference w:id="77"/>
      </w:r>
      <w:r w:rsidR="001A3007">
        <w:t xml:space="preserve"> A survey undertaken by Chief </w:t>
      </w:r>
      <w:r w:rsidR="001A3007" w:rsidRPr="008F5038">
        <w:rPr>
          <w:rFonts w:cs="Arial"/>
        </w:rPr>
        <w:t>Executive</w:t>
      </w:r>
      <w:r w:rsidR="001A3007">
        <w:t xml:space="preserve"> Women found that women hold just 12% of line roles and 30% of </w:t>
      </w:r>
      <w:r w:rsidR="001A3007">
        <w:lastRenderedPageBreak/>
        <w:t>functional roles in executive leadership teams.</w:t>
      </w:r>
      <w:r w:rsidR="001A3007">
        <w:rPr>
          <w:rStyle w:val="EndnoteReference"/>
          <w:rFonts w:cs="Arial"/>
        </w:rPr>
        <w:endnoteReference w:id="78"/>
      </w:r>
      <w:r w:rsidR="008F5038">
        <w:t xml:space="preserve"> In the public service, </w:t>
      </w:r>
      <w:r w:rsidR="008F5038">
        <w:rPr>
          <w:rFonts w:cs="Arial"/>
        </w:rPr>
        <w:t>women mak</w:t>
      </w:r>
      <w:r w:rsidR="008F5038" w:rsidRPr="008F5038">
        <w:rPr>
          <w:rFonts w:cs="Arial"/>
        </w:rPr>
        <w:t>e up</w:t>
      </w:r>
      <w:r w:rsidR="008F5038">
        <w:rPr>
          <w:rFonts w:cs="Arial"/>
        </w:rPr>
        <w:t xml:space="preserve"> </w:t>
      </w:r>
      <w:r w:rsidR="008F5038" w:rsidRPr="008F5038">
        <w:rPr>
          <w:rFonts w:cs="Arial"/>
        </w:rPr>
        <w:t xml:space="preserve">58.7% of </w:t>
      </w:r>
      <w:r w:rsidR="008F5038">
        <w:rPr>
          <w:rFonts w:cs="Arial"/>
        </w:rPr>
        <w:t xml:space="preserve">employees, but only 41.8% of the Senior </w:t>
      </w:r>
      <w:r w:rsidR="008F5038" w:rsidRPr="008F5038">
        <w:rPr>
          <w:rFonts w:cs="Arial"/>
        </w:rPr>
        <w:t>Executive Service.</w:t>
      </w:r>
      <w:r w:rsidR="00DF3E45">
        <w:rPr>
          <w:rStyle w:val="EndnoteReference"/>
          <w:rFonts w:cs="Arial"/>
        </w:rPr>
        <w:endnoteReference w:id="79"/>
      </w:r>
      <w:r w:rsidR="001843D6">
        <w:rPr>
          <w:rFonts w:cs="Arial"/>
        </w:rPr>
        <w:t xml:space="preserve"> </w:t>
      </w:r>
    </w:p>
    <w:p w:rsidR="001843D6" w:rsidRPr="00D6517F" w:rsidRDefault="00420212" w:rsidP="004A44DF">
      <w:pPr>
        <w:pStyle w:val="SubmissionNormal"/>
        <w:tabs>
          <w:tab w:val="clear" w:pos="501"/>
          <w:tab w:val="num" w:pos="720"/>
        </w:tabs>
        <w:ind w:left="720" w:hanging="720"/>
        <w:rPr>
          <w:rFonts w:cs="Arial"/>
        </w:rPr>
      </w:pPr>
      <w:r>
        <w:rPr>
          <w:rFonts w:cs="Arial"/>
        </w:rPr>
        <w:t>The Commission commend</w:t>
      </w:r>
      <w:r w:rsidR="001843D6">
        <w:rPr>
          <w:rFonts w:cs="Arial"/>
        </w:rPr>
        <w:t xml:space="preserve">s the Australia Government’s commitment to </w:t>
      </w:r>
      <w:r w:rsidR="00D6517F" w:rsidRPr="00D6517F">
        <w:rPr>
          <w:rFonts w:cs="Arial"/>
        </w:rPr>
        <w:t xml:space="preserve">a </w:t>
      </w:r>
      <w:r w:rsidR="00D6517F" w:rsidRPr="004A44DF">
        <w:rPr>
          <w:rFonts w:cs="Arial"/>
        </w:rPr>
        <w:t>gender</w:t>
      </w:r>
      <w:r w:rsidR="00D6517F" w:rsidRPr="00D6517F">
        <w:rPr>
          <w:rFonts w:cs="Arial"/>
        </w:rPr>
        <w:t xml:space="preserve"> diver</w:t>
      </w:r>
      <w:r w:rsidR="00D6517F">
        <w:rPr>
          <w:rFonts w:cs="Arial"/>
        </w:rPr>
        <w:t xml:space="preserve">sity target of women holding 50% </w:t>
      </w:r>
      <w:r w:rsidR="00D6517F" w:rsidRPr="00D6517F">
        <w:rPr>
          <w:rFonts w:cs="Arial"/>
        </w:rPr>
        <w:t>of Australian</w:t>
      </w:r>
      <w:r w:rsidR="00D6517F">
        <w:rPr>
          <w:rFonts w:cs="Arial"/>
        </w:rPr>
        <w:t xml:space="preserve"> </w:t>
      </w:r>
      <w:r w:rsidR="00D6517F" w:rsidRPr="00D6517F">
        <w:rPr>
          <w:rFonts w:cs="Arial"/>
        </w:rPr>
        <w:t>Government board posi</w:t>
      </w:r>
      <w:r w:rsidR="00D6517F">
        <w:rPr>
          <w:rFonts w:cs="Arial"/>
        </w:rPr>
        <w:t>tions overall, with at least 40%</w:t>
      </w:r>
      <w:r w:rsidR="00D6517F" w:rsidRPr="00D6517F">
        <w:rPr>
          <w:rFonts w:cs="Arial"/>
        </w:rPr>
        <w:t xml:space="preserve"> represen</w:t>
      </w:r>
      <w:r w:rsidR="00D6517F">
        <w:rPr>
          <w:rFonts w:cs="Arial"/>
        </w:rPr>
        <w:t xml:space="preserve">tation of women and 40% </w:t>
      </w:r>
      <w:r w:rsidR="00D6517F" w:rsidRPr="00D6517F">
        <w:rPr>
          <w:rFonts w:cs="Arial"/>
        </w:rPr>
        <w:t>men on individual boards.</w:t>
      </w:r>
      <w:r w:rsidR="00ED7D77">
        <w:rPr>
          <w:rStyle w:val="EndnoteReference"/>
          <w:rFonts w:cs="Arial"/>
        </w:rPr>
        <w:endnoteReference w:id="80"/>
      </w:r>
    </w:p>
    <w:p w:rsidR="001D5B34" w:rsidRPr="00F777E4" w:rsidRDefault="00F512F1" w:rsidP="00F777E4">
      <w:pPr>
        <w:pStyle w:val="SubmissionNormal"/>
        <w:tabs>
          <w:tab w:val="clear" w:pos="501"/>
          <w:tab w:val="num" w:pos="720"/>
        </w:tabs>
        <w:ind w:left="720" w:hanging="720"/>
      </w:pPr>
      <w:r>
        <w:t xml:space="preserve">The Commission understands that </w:t>
      </w:r>
      <w:r w:rsidR="00566620">
        <w:t xml:space="preserve">there is currently uncertainty about future </w:t>
      </w:r>
      <w:r w:rsidR="00566620" w:rsidRPr="00296516">
        <w:rPr>
          <w:rFonts w:cs="Arial"/>
          <w:shd w:val="clear" w:color="auto" w:fill="FFFFFF"/>
        </w:rPr>
        <w:t>iterations</w:t>
      </w:r>
      <w:r w:rsidR="009D4584">
        <w:t xml:space="preserve"> of the Australian Bureau of Statistics (A</w:t>
      </w:r>
      <w:r w:rsidR="00566620">
        <w:t>BS</w:t>
      </w:r>
      <w:r w:rsidR="009D4584">
        <w:t>)</w:t>
      </w:r>
      <w:r w:rsidR="00566620">
        <w:t xml:space="preserve"> Time Use study, which is an important record of women’s work and </w:t>
      </w:r>
      <w:r w:rsidR="00566620" w:rsidRPr="00296516">
        <w:rPr>
          <w:rFonts w:cs="Arial"/>
        </w:rPr>
        <w:t>provided</w:t>
      </w:r>
      <w:r w:rsidR="00566620">
        <w:t xml:space="preserve"> accurate data concerning the extent and distribution of unpaid work and its intersection with paid work.</w:t>
      </w:r>
      <w:r w:rsidR="00566620">
        <w:rPr>
          <w:rStyle w:val="EndnoteReference"/>
        </w:rPr>
        <w:endnoteReference w:id="81"/>
      </w:r>
      <w:r w:rsidR="00566620">
        <w:t xml:space="preserve"> </w:t>
      </w:r>
      <w:r w:rsidR="000804CD">
        <w:t>A</w:t>
      </w:r>
      <w:r w:rsidR="00566620">
        <w:t xml:space="preserve"> Senate </w:t>
      </w:r>
      <w:r w:rsidR="00296516">
        <w:t xml:space="preserve">inquiry into </w:t>
      </w:r>
      <w:r w:rsidR="00903060">
        <w:t>g</w:t>
      </w:r>
      <w:r w:rsidR="00296516">
        <w:t>ender segregation in the workplace and its impa</w:t>
      </w:r>
      <w:r w:rsidR="000804CD">
        <w:t xml:space="preserve">ct on </w:t>
      </w:r>
      <w:r w:rsidR="000804CD" w:rsidRPr="004A44DF">
        <w:rPr>
          <w:rFonts w:cs="Arial"/>
        </w:rPr>
        <w:t>women's</w:t>
      </w:r>
      <w:r w:rsidR="000804CD">
        <w:t xml:space="preserve"> economic equality</w:t>
      </w:r>
      <w:r w:rsidR="00296516">
        <w:t xml:space="preserve"> recommended</w:t>
      </w:r>
      <w:r w:rsidR="00566620">
        <w:t xml:space="preserve"> that the A</w:t>
      </w:r>
      <w:r w:rsidR="00296516">
        <w:t xml:space="preserve">BS Time Use study recommence on </w:t>
      </w:r>
      <w:r w:rsidR="00566620">
        <w:t>a regular basis.</w:t>
      </w:r>
      <w:r w:rsidR="005E2795">
        <w:rPr>
          <w:rStyle w:val="EndnoteReference"/>
        </w:rPr>
        <w:endnoteReference w:id="82"/>
      </w:r>
      <w:r w:rsidR="00566620">
        <w:t xml:space="preserve"> </w:t>
      </w:r>
    </w:p>
    <w:p w:rsidR="002F70D7" w:rsidRDefault="002F70D7" w:rsidP="002F70D7">
      <w:pPr>
        <w:pStyle w:val="SubmissionNormal"/>
        <w:numPr>
          <w:ilvl w:val="0"/>
          <w:numId w:val="0"/>
        </w:numPr>
        <w:rPr>
          <w:rFonts w:cs="Arial"/>
          <w:b/>
        </w:rPr>
      </w:pPr>
      <w:r w:rsidRPr="0010101A">
        <w:rPr>
          <w:rFonts w:cs="Arial"/>
          <w:b/>
        </w:rPr>
        <w:t>Issue</w:t>
      </w:r>
      <w:r w:rsidR="00FC41A4">
        <w:rPr>
          <w:rFonts w:cs="Arial"/>
          <w:b/>
        </w:rPr>
        <w:t>s for consideration in the LOI</w:t>
      </w:r>
      <w:r w:rsidRPr="0010101A">
        <w:rPr>
          <w:rFonts w:cs="Arial"/>
          <w:b/>
        </w:rPr>
        <w:t>:</w:t>
      </w:r>
    </w:p>
    <w:p w:rsidR="002F70D7" w:rsidRPr="009D4584" w:rsidRDefault="002F70D7" w:rsidP="00CB5B08">
      <w:pPr>
        <w:pStyle w:val="ListParagraph"/>
        <w:numPr>
          <w:ilvl w:val="0"/>
          <w:numId w:val="23"/>
        </w:numPr>
        <w:ind w:left="426"/>
      </w:pPr>
      <w:r w:rsidRPr="00AB412D">
        <w:rPr>
          <w:b/>
        </w:rPr>
        <w:t>Information on the Australian Government’s</w:t>
      </w:r>
      <w:r>
        <w:t xml:space="preserve"> </w:t>
      </w:r>
      <w:r w:rsidRPr="00F26EB0">
        <w:rPr>
          <w:b/>
        </w:rPr>
        <w:t xml:space="preserve">efforts to support women in paid </w:t>
      </w:r>
      <w:r>
        <w:rPr>
          <w:b/>
        </w:rPr>
        <w:t xml:space="preserve">work, </w:t>
      </w:r>
      <w:r w:rsidRPr="00F26EB0">
        <w:rPr>
          <w:b/>
        </w:rPr>
        <w:t xml:space="preserve">unpaid </w:t>
      </w:r>
      <w:r>
        <w:rPr>
          <w:b/>
        </w:rPr>
        <w:t>caring roles</w:t>
      </w:r>
      <w:r w:rsidR="00E22E12">
        <w:rPr>
          <w:b/>
        </w:rPr>
        <w:t>,</w:t>
      </w:r>
      <w:r w:rsidRPr="00F26EB0">
        <w:rPr>
          <w:b/>
        </w:rPr>
        <w:t xml:space="preserve"> </w:t>
      </w:r>
      <w:r w:rsidR="00E22E12">
        <w:rPr>
          <w:b/>
        </w:rPr>
        <w:t>access to affordable childcare,</w:t>
      </w:r>
      <w:r w:rsidR="00E22E12" w:rsidRPr="00F26EB0">
        <w:rPr>
          <w:b/>
        </w:rPr>
        <w:t xml:space="preserve"> </w:t>
      </w:r>
      <w:r w:rsidR="005F3269">
        <w:rPr>
          <w:b/>
        </w:rPr>
        <w:t xml:space="preserve">paid parental leave </w:t>
      </w:r>
      <w:r w:rsidRPr="00F26EB0">
        <w:rPr>
          <w:b/>
        </w:rPr>
        <w:t xml:space="preserve">and </w:t>
      </w:r>
      <w:r>
        <w:rPr>
          <w:b/>
        </w:rPr>
        <w:t xml:space="preserve">to </w:t>
      </w:r>
      <w:r w:rsidRPr="00F26EB0">
        <w:rPr>
          <w:b/>
        </w:rPr>
        <w:t>reduce gender gaps in workforce participation, wages and retirement incomes and savings.</w:t>
      </w:r>
    </w:p>
    <w:p w:rsidR="009D4584" w:rsidRPr="00165CA9" w:rsidRDefault="009D4584" w:rsidP="009D4584">
      <w:pPr>
        <w:pStyle w:val="ListParagraph"/>
        <w:ind w:left="426"/>
      </w:pPr>
    </w:p>
    <w:p w:rsidR="00165CA9" w:rsidRPr="005D41B0" w:rsidRDefault="00165CA9" w:rsidP="00CB5B08">
      <w:pPr>
        <w:pStyle w:val="ListParagraph"/>
        <w:numPr>
          <w:ilvl w:val="0"/>
          <w:numId w:val="23"/>
        </w:numPr>
        <w:ind w:left="426"/>
      </w:pPr>
      <w:r>
        <w:rPr>
          <w:b/>
        </w:rPr>
        <w:t xml:space="preserve">Information on </w:t>
      </w:r>
      <w:r w:rsidR="0098375A">
        <w:rPr>
          <w:b/>
        </w:rPr>
        <w:t>future</w:t>
      </w:r>
      <w:r w:rsidR="00EA3D41" w:rsidRPr="00EA3D41">
        <w:rPr>
          <w:b/>
        </w:rPr>
        <w:t xml:space="preserve"> iteration</w:t>
      </w:r>
      <w:r w:rsidR="0098375A">
        <w:rPr>
          <w:b/>
        </w:rPr>
        <w:t>s</w:t>
      </w:r>
      <w:r w:rsidR="00EA3D41" w:rsidRPr="00EA3D41">
        <w:rPr>
          <w:b/>
        </w:rPr>
        <w:t xml:space="preserve"> of the ABS Time Use study, </w:t>
      </w:r>
      <w:r w:rsidR="00EA3D41">
        <w:rPr>
          <w:b/>
        </w:rPr>
        <w:t xml:space="preserve">to collect </w:t>
      </w:r>
      <w:r w:rsidR="00EA3D41" w:rsidRPr="00EA3D41">
        <w:rPr>
          <w:b/>
        </w:rPr>
        <w:t>accurate data concerning the extent and distribution of unpaid work and its intersection with paid work</w:t>
      </w:r>
      <w:r w:rsidR="00EA3D41">
        <w:rPr>
          <w:b/>
        </w:rPr>
        <w:t xml:space="preserve">. </w:t>
      </w:r>
    </w:p>
    <w:p w:rsidR="006C3AF0" w:rsidRDefault="006C3AF0" w:rsidP="00AA23B8">
      <w:pPr>
        <w:pStyle w:val="Heading2"/>
        <w:numPr>
          <w:ilvl w:val="1"/>
          <w:numId w:val="16"/>
        </w:numPr>
      </w:pPr>
      <w:bookmarkStart w:id="37" w:name="_Toc494372766"/>
      <w:r>
        <w:t>Gender segregation in the workforce</w:t>
      </w:r>
      <w:bookmarkEnd w:id="37"/>
    </w:p>
    <w:p w:rsidR="00B85AF5" w:rsidRPr="00FD6139" w:rsidRDefault="00B85AF5" w:rsidP="004A44DF">
      <w:pPr>
        <w:pStyle w:val="SubmissionNormal"/>
        <w:tabs>
          <w:tab w:val="clear" w:pos="501"/>
          <w:tab w:val="num" w:pos="720"/>
        </w:tabs>
        <w:ind w:left="720" w:hanging="720"/>
        <w:rPr>
          <w:rFonts w:cs="Arial"/>
        </w:rPr>
      </w:pPr>
      <w:r w:rsidRPr="00FD6139">
        <w:rPr>
          <w:rFonts w:cs="Arial"/>
        </w:rPr>
        <w:t xml:space="preserve">Gender segregation in the workplace </w:t>
      </w:r>
      <w:r w:rsidR="0092336D">
        <w:rPr>
          <w:rFonts w:cs="Arial"/>
        </w:rPr>
        <w:t>is</w:t>
      </w:r>
      <w:r w:rsidRPr="00FD6139">
        <w:rPr>
          <w:rFonts w:cs="Arial"/>
        </w:rPr>
        <w:t xml:space="preserve"> a persistent feature of the </w:t>
      </w:r>
      <w:r w:rsidRPr="00B85AF5">
        <w:t>Australian</w:t>
      </w:r>
      <w:r w:rsidRPr="00FD6139">
        <w:rPr>
          <w:rFonts w:cs="Arial"/>
        </w:rPr>
        <w:t xml:space="preserve"> </w:t>
      </w:r>
      <w:r w:rsidR="00CB75B5" w:rsidRPr="004A44DF">
        <w:rPr>
          <w:rFonts w:cs="Arial"/>
          <w:shd w:val="clear" w:color="auto" w:fill="FFFFFF"/>
        </w:rPr>
        <w:t>workforce</w:t>
      </w:r>
      <w:r w:rsidRPr="00FD6139">
        <w:rPr>
          <w:rFonts w:cs="Arial"/>
        </w:rPr>
        <w:t>.</w:t>
      </w:r>
      <w:r w:rsidRPr="00952C58">
        <w:rPr>
          <w:rStyle w:val="EndnoteReference"/>
        </w:rPr>
        <w:endnoteReference w:id="83"/>
      </w:r>
      <w:r w:rsidRPr="00952C58">
        <w:rPr>
          <w:rStyle w:val="EndnoteReference"/>
        </w:rPr>
        <w:t xml:space="preserve"> </w:t>
      </w:r>
      <w:r w:rsidRPr="00FD6139">
        <w:rPr>
          <w:rFonts w:cs="Arial"/>
        </w:rPr>
        <w:t>Gender segregation occurs at occupation, role and industry levels.</w:t>
      </w:r>
      <w:r>
        <w:rPr>
          <w:rFonts w:cs="Arial"/>
        </w:rPr>
        <w:t xml:space="preserve"> In 2015, less than 30% of workers in</w:t>
      </w:r>
      <w:r w:rsidR="00092C78">
        <w:rPr>
          <w:rFonts w:cs="Arial"/>
        </w:rPr>
        <w:t xml:space="preserve"> the Wo</w:t>
      </w:r>
      <w:r w:rsidR="009D4EB4">
        <w:rPr>
          <w:rFonts w:cs="Arial"/>
        </w:rPr>
        <w:t>rkplace</w:t>
      </w:r>
      <w:r w:rsidR="00092C78">
        <w:rPr>
          <w:rFonts w:cs="Arial"/>
        </w:rPr>
        <w:t xml:space="preserve"> Gender Equality Agency’s</w:t>
      </w:r>
      <w:r>
        <w:rPr>
          <w:rFonts w:cs="Arial"/>
        </w:rPr>
        <w:t xml:space="preserve"> reporting organisations worked in gender balanced organisations</w:t>
      </w:r>
      <w:r w:rsidR="00462FE8">
        <w:rPr>
          <w:rFonts w:cs="Arial"/>
        </w:rPr>
        <w:t>.</w:t>
      </w:r>
    </w:p>
    <w:p w:rsidR="00B85AF5" w:rsidRPr="00567E16" w:rsidRDefault="00B85AF5" w:rsidP="004A44DF">
      <w:pPr>
        <w:pStyle w:val="SubmissionNormal"/>
        <w:tabs>
          <w:tab w:val="clear" w:pos="501"/>
          <w:tab w:val="num" w:pos="720"/>
        </w:tabs>
        <w:ind w:left="720" w:hanging="720"/>
        <w:rPr>
          <w:rFonts w:cs="Arial"/>
        </w:rPr>
      </w:pPr>
      <w:r w:rsidRPr="00FD6139">
        <w:rPr>
          <w:rFonts w:cs="Arial"/>
        </w:rPr>
        <w:t>Statistics demonstrate that women are more likely to be employed in lower paying and insecure jobs, while men are more likely to work full-time and i</w:t>
      </w:r>
      <w:r w:rsidR="00567E16">
        <w:rPr>
          <w:rFonts w:cs="Arial"/>
        </w:rPr>
        <w:t xml:space="preserve">n the highest paid industries. </w:t>
      </w:r>
      <w:r w:rsidRPr="00567E16">
        <w:rPr>
          <w:rFonts w:cs="Arial"/>
        </w:rPr>
        <w:t xml:space="preserve">This significantly impacts on women’s economic security and the gender pay gap, and the high levels of poverty experienced by many older Australian women. </w:t>
      </w:r>
    </w:p>
    <w:p w:rsidR="00EF7034" w:rsidRPr="00EA5462" w:rsidRDefault="005840A2" w:rsidP="00EA5462">
      <w:pPr>
        <w:pStyle w:val="SubmissionNormal"/>
        <w:tabs>
          <w:tab w:val="clear" w:pos="501"/>
          <w:tab w:val="num" w:pos="720"/>
        </w:tabs>
        <w:ind w:left="720" w:hanging="720"/>
        <w:rPr>
          <w:rFonts w:cs="Arial"/>
        </w:rPr>
      </w:pPr>
      <w:r>
        <w:rPr>
          <w:rFonts w:cs="Arial"/>
        </w:rPr>
        <w:t xml:space="preserve">The Commission </w:t>
      </w:r>
      <w:r w:rsidR="00F1290A">
        <w:rPr>
          <w:rFonts w:cs="Arial"/>
        </w:rPr>
        <w:t>acknowledges</w:t>
      </w:r>
      <w:r>
        <w:rPr>
          <w:rFonts w:cs="Arial"/>
        </w:rPr>
        <w:t xml:space="preserve"> the release of the Australian Government’s Women’s </w:t>
      </w:r>
      <w:r w:rsidRPr="001B6E89">
        <w:rPr>
          <w:rFonts w:cs="Arial"/>
        </w:rPr>
        <w:t>Wo</w:t>
      </w:r>
      <w:r w:rsidR="001B6E89" w:rsidRPr="001B6E89">
        <w:rPr>
          <w:rFonts w:cs="Arial"/>
        </w:rPr>
        <w:t>rkforce Participation Strategy, which outlines the practical work undertaken by the Australian Government to increase the opportunities for women to work</w:t>
      </w:r>
      <w:r w:rsidR="000804CD">
        <w:rPr>
          <w:rFonts w:cs="Arial"/>
        </w:rPr>
        <w:t>, and the</w:t>
      </w:r>
      <w:r w:rsidR="006A25C9">
        <w:rPr>
          <w:rFonts w:cs="Arial"/>
        </w:rPr>
        <w:t xml:space="preserve"> </w:t>
      </w:r>
      <w:r w:rsidR="000F36F6">
        <w:t>Government’s commitment to</w:t>
      </w:r>
      <w:r w:rsidR="000F36F6" w:rsidRPr="000804CD">
        <w:rPr>
          <w:rFonts w:cs="Arial"/>
        </w:rPr>
        <w:t xml:space="preserve"> reduce the gender </w:t>
      </w:r>
      <w:r w:rsidR="009D4584">
        <w:rPr>
          <w:rFonts w:cs="Arial"/>
        </w:rPr>
        <w:t>participation gap by 25%</w:t>
      </w:r>
      <w:r w:rsidR="000F36F6" w:rsidRPr="000804CD">
        <w:rPr>
          <w:rFonts w:cs="Arial"/>
        </w:rPr>
        <w:t xml:space="preserve"> by 2025.</w:t>
      </w:r>
      <w:r w:rsidR="0055045D">
        <w:rPr>
          <w:rStyle w:val="EndnoteReference"/>
          <w:rFonts w:cs="Arial"/>
        </w:rPr>
        <w:endnoteReference w:id="84"/>
      </w:r>
    </w:p>
    <w:p w:rsidR="002F70D7" w:rsidRDefault="002F70D7" w:rsidP="001B6E89">
      <w:pPr>
        <w:pStyle w:val="SubmissionNormal"/>
        <w:numPr>
          <w:ilvl w:val="0"/>
          <w:numId w:val="0"/>
        </w:numPr>
        <w:rPr>
          <w:rFonts w:cs="Arial"/>
          <w:b/>
        </w:rPr>
      </w:pPr>
      <w:r w:rsidRPr="0010101A">
        <w:rPr>
          <w:rFonts w:cs="Arial"/>
          <w:b/>
        </w:rPr>
        <w:t>Issue</w:t>
      </w:r>
      <w:r w:rsidR="00FC41A4">
        <w:rPr>
          <w:rFonts w:cs="Arial"/>
          <w:b/>
        </w:rPr>
        <w:t>s for consideration in the LOI</w:t>
      </w:r>
      <w:r w:rsidRPr="0010101A">
        <w:rPr>
          <w:rFonts w:cs="Arial"/>
          <w:b/>
        </w:rPr>
        <w:t>:</w:t>
      </w:r>
    </w:p>
    <w:p w:rsidR="002F70D7" w:rsidRPr="00132E90" w:rsidRDefault="002F70D7" w:rsidP="00A52D1A">
      <w:pPr>
        <w:pStyle w:val="ListParagraph"/>
        <w:numPr>
          <w:ilvl w:val="0"/>
          <w:numId w:val="20"/>
        </w:numPr>
        <w:ind w:left="426"/>
        <w:rPr>
          <w:b/>
        </w:rPr>
      </w:pPr>
      <w:r w:rsidRPr="00132E90">
        <w:rPr>
          <w:b/>
        </w:rPr>
        <w:t xml:space="preserve">Information on </w:t>
      </w:r>
      <w:r w:rsidR="00A01234">
        <w:rPr>
          <w:b/>
        </w:rPr>
        <w:t>specific actions</w:t>
      </w:r>
      <w:r w:rsidRPr="00132E90">
        <w:rPr>
          <w:b/>
        </w:rPr>
        <w:t xml:space="preserve"> to </w:t>
      </w:r>
      <w:r w:rsidRPr="00132E90">
        <w:rPr>
          <w:rFonts w:eastAsia="Times New Roman" w:cs="Arial"/>
          <w:b/>
        </w:rPr>
        <w:t>reduce gender segregation in Australian workplaces</w:t>
      </w:r>
      <w:r w:rsidR="002C02B3">
        <w:rPr>
          <w:rFonts w:eastAsia="Times New Roman" w:cs="Arial"/>
          <w:b/>
        </w:rPr>
        <w:t xml:space="preserve">. </w:t>
      </w:r>
    </w:p>
    <w:p w:rsidR="00D135E5" w:rsidRDefault="00D135E5" w:rsidP="00D135E5">
      <w:pPr>
        <w:pStyle w:val="Heading2"/>
        <w:numPr>
          <w:ilvl w:val="1"/>
          <w:numId w:val="16"/>
        </w:numPr>
      </w:pPr>
      <w:bookmarkStart w:id="38" w:name="_Toc494372767"/>
      <w:r>
        <w:lastRenderedPageBreak/>
        <w:t>Family and domestic violence leave</w:t>
      </w:r>
      <w:r w:rsidR="00F81221">
        <w:t xml:space="preserve"> and related protections</w:t>
      </w:r>
      <w:bookmarkEnd w:id="38"/>
    </w:p>
    <w:p w:rsidR="00D135E5" w:rsidRPr="00B97FA9" w:rsidRDefault="00D135E5" w:rsidP="003A4D56">
      <w:pPr>
        <w:pStyle w:val="SubmissionNormal"/>
        <w:tabs>
          <w:tab w:val="clear" w:pos="501"/>
          <w:tab w:val="num" w:pos="720"/>
        </w:tabs>
        <w:ind w:left="720" w:hanging="720"/>
      </w:pPr>
      <w:r w:rsidRPr="00B97FA9">
        <w:t xml:space="preserve">Women who experience </w:t>
      </w:r>
      <w:r w:rsidR="00F073B3">
        <w:t>FDV</w:t>
      </w:r>
      <w:r w:rsidRPr="00B97FA9">
        <w:t xml:space="preserve"> may face</w:t>
      </w:r>
      <w:r>
        <w:t xml:space="preserve"> adverse treatment in the workplace </w:t>
      </w:r>
      <w:r w:rsidRPr="00B97FA9">
        <w:t xml:space="preserve">that is specifically related to their experiences of violence. For example, they may be </w:t>
      </w:r>
      <w:r w:rsidRPr="003A4D56">
        <w:rPr>
          <w:rFonts w:cs="Arial"/>
        </w:rPr>
        <w:t>denied</w:t>
      </w:r>
      <w:r w:rsidRPr="00B97FA9">
        <w:t xml:space="preserve"> leave or flexible work arrangements to attend violence-related matters, such as moving into a shelter; they may have their employment terminated for violence-related reasons; or they may be transferred or demoted for reasons related to violence.</w:t>
      </w:r>
      <w:r w:rsidRPr="00A85AFC">
        <w:rPr>
          <w:sz w:val="20"/>
          <w:vertAlign w:val="superscript"/>
        </w:rPr>
        <w:endnoteReference w:id="85"/>
      </w:r>
      <w:r w:rsidRPr="00B97FA9">
        <w:rPr>
          <w:vertAlign w:val="superscript"/>
        </w:rPr>
        <w:t xml:space="preserve"> </w:t>
      </w:r>
      <w:r w:rsidRPr="00B97FA9">
        <w:t xml:space="preserve">This </w:t>
      </w:r>
      <w:r>
        <w:t>treatment</w:t>
      </w:r>
      <w:r w:rsidRPr="00B97FA9">
        <w:t xml:space="preserve"> can exacerbate the </w:t>
      </w:r>
      <w:r>
        <w:t xml:space="preserve">costs and consequences of </w:t>
      </w:r>
      <w:r w:rsidR="00C85A7A">
        <w:t>FDV</w:t>
      </w:r>
      <w:r w:rsidRPr="00B97FA9">
        <w:t>.</w:t>
      </w:r>
      <w:r w:rsidRPr="00B97FA9">
        <w:rPr>
          <w:rStyle w:val="EndnoteReference"/>
        </w:rPr>
        <w:endnoteReference w:id="86"/>
      </w:r>
    </w:p>
    <w:p w:rsidR="00D135E5" w:rsidRPr="00FF6BDC" w:rsidRDefault="00D135E5" w:rsidP="003A4D56">
      <w:pPr>
        <w:pStyle w:val="SubmissionNormal"/>
        <w:tabs>
          <w:tab w:val="clear" w:pos="501"/>
          <w:tab w:val="num" w:pos="720"/>
        </w:tabs>
        <w:ind w:left="720" w:hanging="720"/>
      </w:pPr>
      <w:r w:rsidRPr="00FB4247">
        <w:t>As of 2013, over one million employees could access leave and other protections made available through domestic violence clauses in agreement or award conditions.</w:t>
      </w:r>
      <w:r w:rsidRPr="00FB4247">
        <w:rPr>
          <w:sz w:val="20"/>
          <w:vertAlign w:val="superscript"/>
        </w:rPr>
        <w:endnoteReference w:id="87"/>
      </w:r>
      <w:r w:rsidR="00FB4247">
        <w:t xml:space="preserve"> All Australian governments</w:t>
      </w:r>
      <w:r w:rsidRPr="00FB4247">
        <w:t xml:space="preserve"> have introduced domestic violence protections for their public servants, some of which include paid leave.</w:t>
      </w:r>
      <w:r w:rsidRPr="00FB4247">
        <w:rPr>
          <w:sz w:val="20"/>
          <w:vertAlign w:val="superscript"/>
        </w:rPr>
        <w:endnoteReference w:id="88"/>
      </w:r>
      <w:r w:rsidRPr="00797180">
        <w:rPr>
          <w:vertAlign w:val="superscript"/>
        </w:rPr>
        <w:t xml:space="preserve"> </w:t>
      </w:r>
      <w:r w:rsidRPr="00797180">
        <w:t xml:space="preserve">Many Australian businesses also provide for </w:t>
      </w:r>
      <w:r w:rsidR="002816E3">
        <w:t>FDV</w:t>
      </w:r>
      <w:r w:rsidRPr="00797180">
        <w:t xml:space="preserve"> leave within company policy.</w:t>
      </w:r>
      <w:r w:rsidRPr="00797180">
        <w:rPr>
          <w:sz w:val="20"/>
          <w:vertAlign w:val="superscript"/>
        </w:rPr>
        <w:endnoteReference w:id="89"/>
      </w:r>
      <w:r w:rsidR="000273D6">
        <w:t xml:space="preserve"> </w:t>
      </w:r>
    </w:p>
    <w:p w:rsidR="00D135E5" w:rsidRPr="00F62099" w:rsidRDefault="00734A99" w:rsidP="003A4D56">
      <w:pPr>
        <w:pStyle w:val="SubmissionNormal"/>
        <w:tabs>
          <w:tab w:val="clear" w:pos="501"/>
          <w:tab w:val="num" w:pos="720"/>
        </w:tabs>
        <w:ind w:left="720" w:hanging="720"/>
      </w:pPr>
      <w:r w:rsidRPr="00F62099">
        <w:t xml:space="preserve">As part of </w:t>
      </w:r>
      <w:r w:rsidR="00D135E5" w:rsidRPr="00F62099">
        <w:t>Australia’s Fair Work Commission</w:t>
      </w:r>
      <w:r w:rsidRPr="00F62099">
        <w:t>’s</w:t>
      </w:r>
      <w:r w:rsidR="00D135E5" w:rsidRPr="00F62099">
        <w:t xml:space="preserve"> review </w:t>
      </w:r>
      <w:r w:rsidR="00472619">
        <w:t xml:space="preserve">of </w:t>
      </w:r>
      <w:r w:rsidR="00D135E5" w:rsidRPr="00F62099">
        <w:t>all modern awards</w:t>
      </w:r>
      <w:r w:rsidRPr="00F62099">
        <w:t>,</w:t>
      </w:r>
      <w:r w:rsidR="00D135E5" w:rsidRPr="00F62099">
        <w:rPr>
          <w:rStyle w:val="EndnoteReference"/>
        </w:rPr>
        <w:endnoteReference w:id="90"/>
      </w:r>
      <w:r w:rsidR="00D135E5" w:rsidRPr="00F62099">
        <w:t xml:space="preserve"> </w:t>
      </w:r>
      <w:r w:rsidR="00EE2048">
        <w:t>t</w:t>
      </w:r>
      <w:r w:rsidR="00D135E5" w:rsidRPr="00F62099">
        <w:t xml:space="preserve">he Australian Council of Trade Unions </w:t>
      </w:r>
      <w:r w:rsidR="0029148B" w:rsidRPr="00F62099">
        <w:t>sought</w:t>
      </w:r>
      <w:r w:rsidR="00D135E5" w:rsidRPr="00F62099">
        <w:t xml:space="preserve"> variations to all modern awards to insert specific provisions relating to </w:t>
      </w:r>
      <w:r w:rsidR="000237B6">
        <w:t>FDV</w:t>
      </w:r>
      <w:r w:rsidR="00D135E5" w:rsidRPr="00F62099">
        <w:t xml:space="preserve"> leave.</w:t>
      </w:r>
      <w:r w:rsidR="00D135E5" w:rsidRPr="00F62099">
        <w:rPr>
          <w:rStyle w:val="EndnoteReference"/>
        </w:rPr>
        <w:endnoteReference w:id="91"/>
      </w:r>
      <w:r w:rsidR="001B608F">
        <w:t xml:space="preserve"> This was supported by the</w:t>
      </w:r>
      <w:r w:rsidR="00D135E5" w:rsidRPr="00F62099">
        <w:t xml:space="preserve"> Commission.</w:t>
      </w:r>
      <w:r w:rsidR="00D135E5" w:rsidRPr="00F62099">
        <w:rPr>
          <w:rStyle w:val="EndnoteReference"/>
        </w:rPr>
        <w:endnoteReference w:id="92"/>
      </w:r>
      <w:r w:rsidR="00D135E5" w:rsidRPr="00F62099">
        <w:t xml:space="preserve"> </w:t>
      </w:r>
    </w:p>
    <w:p w:rsidR="00D57B3E" w:rsidRPr="00FE5B84" w:rsidRDefault="00F62099" w:rsidP="003A4D56">
      <w:pPr>
        <w:pStyle w:val="SubmissionNormal"/>
        <w:tabs>
          <w:tab w:val="clear" w:pos="501"/>
          <w:tab w:val="num" w:pos="720"/>
        </w:tabs>
        <w:ind w:left="720" w:hanging="720"/>
      </w:pPr>
      <w:r w:rsidRPr="00F62099">
        <w:t xml:space="preserve">The Fair Work Commission </w:t>
      </w:r>
      <w:r w:rsidR="00AA4712">
        <w:t xml:space="preserve">did not grant this claim for paid </w:t>
      </w:r>
      <w:r w:rsidR="00D83905">
        <w:t>FDV</w:t>
      </w:r>
      <w:r w:rsidR="00AA4712">
        <w:t xml:space="preserve"> leave, however accepted that employees should be entitled to unpaid </w:t>
      </w:r>
      <w:r w:rsidR="005F3810">
        <w:t>FDV</w:t>
      </w:r>
      <w:r w:rsidR="00AA4712">
        <w:t xml:space="preserve"> leave.</w:t>
      </w:r>
      <w:r w:rsidR="00AA4712">
        <w:rPr>
          <w:rStyle w:val="EndnoteReference"/>
        </w:rPr>
        <w:endnoteReference w:id="93"/>
      </w:r>
    </w:p>
    <w:p w:rsidR="001C4001" w:rsidRPr="001C4001" w:rsidRDefault="001C4001" w:rsidP="001C4001">
      <w:pPr>
        <w:pStyle w:val="SubmissionNormal"/>
        <w:numPr>
          <w:ilvl w:val="0"/>
          <w:numId w:val="0"/>
        </w:numPr>
        <w:rPr>
          <w:b/>
        </w:rPr>
      </w:pPr>
      <w:r w:rsidRPr="001C4001">
        <w:rPr>
          <w:b/>
        </w:rPr>
        <w:t>Issue</w:t>
      </w:r>
      <w:r w:rsidR="00FC41A4">
        <w:rPr>
          <w:b/>
        </w:rPr>
        <w:t>s for consideration in the LOI</w:t>
      </w:r>
      <w:r w:rsidRPr="001C4001">
        <w:rPr>
          <w:b/>
        </w:rPr>
        <w:t>:</w:t>
      </w:r>
    </w:p>
    <w:p w:rsidR="00D135E5" w:rsidRPr="00D72972" w:rsidRDefault="001C4001" w:rsidP="00D72859">
      <w:pPr>
        <w:pStyle w:val="ListParagraph"/>
        <w:numPr>
          <w:ilvl w:val="0"/>
          <w:numId w:val="20"/>
        </w:numPr>
        <w:ind w:left="426"/>
      </w:pPr>
      <w:r>
        <w:rPr>
          <w:b/>
        </w:rPr>
        <w:t xml:space="preserve">Information on </w:t>
      </w:r>
      <w:r w:rsidR="001D0D60">
        <w:rPr>
          <w:b/>
        </w:rPr>
        <w:t xml:space="preserve">the Australian Government’s </w:t>
      </w:r>
      <w:r w:rsidR="00E71CF0" w:rsidRPr="00E71CF0">
        <w:rPr>
          <w:b/>
        </w:rPr>
        <w:t>support</w:t>
      </w:r>
      <w:r w:rsidR="001D0D60">
        <w:rPr>
          <w:b/>
        </w:rPr>
        <w:t xml:space="preserve"> </w:t>
      </w:r>
      <w:r w:rsidR="008D53B3">
        <w:rPr>
          <w:b/>
        </w:rPr>
        <w:t>for</w:t>
      </w:r>
      <w:r w:rsidR="00E71CF0" w:rsidRPr="00E71CF0">
        <w:rPr>
          <w:b/>
        </w:rPr>
        <w:t xml:space="preserve"> workplaces to introduce and implement </w:t>
      </w:r>
      <w:r w:rsidR="008553C9">
        <w:rPr>
          <w:b/>
        </w:rPr>
        <w:t>FDV</w:t>
      </w:r>
      <w:r w:rsidR="00E71CF0" w:rsidRPr="00E71CF0">
        <w:rPr>
          <w:b/>
        </w:rPr>
        <w:t xml:space="preserve"> policies and programs.</w:t>
      </w:r>
    </w:p>
    <w:p w:rsidR="00D72972" w:rsidRPr="004F26E4" w:rsidRDefault="00D72972" w:rsidP="00D72972">
      <w:pPr>
        <w:pStyle w:val="ListParagraph"/>
        <w:ind w:left="426"/>
      </w:pPr>
    </w:p>
    <w:p w:rsidR="00D72972" w:rsidRDefault="004F26E4" w:rsidP="00D72972">
      <w:pPr>
        <w:pStyle w:val="ListParagraph"/>
        <w:numPr>
          <w:ilvl w:val="0"/>
          <w:numId w:val="20"/>
        </w:numPr>
        <w:ind w:left="426"/>
      </w:pPr>
      <w:r>
        <w:rPr>
          <w:b/>
        </w:rPr>
        <w:t xml:space="preserve">Information on </w:t>
      </w:r>
      <w:r w:rsidR="0099685B">
        <w:rPr>
          <w:b/>
        </w:rPr>
        <w:t>including</w:t>
      </w:r>
      <w:r w:rsidR="0087237E">
        <w:rPr>
          <w:b/>
        </w:rPr>
        <w:t xml:space="preserve"> </w:t>
      </w:r>
      <w:r w:rsidR="00E91D64">
        <w:rPr>
          <w:b/>
        </w:rPr>
        <w:t>FDV</w:t>
      </w:r>
      <w:r w:rsidR="0087237E">
        <w:rPr>
          <w:b/>
        </w:rPr>
        <w:t xml:space="preserve"> leave in the National Employment Standards and modern awards.</w:t>
      </w:r>
    </w:p>
    <w:p w:rsidR="00D72972" w:rsidRPr="00E47AA4" w:rsidRDefault="00D72972" w:rsidP="00D72972">
      <w:pPr>
        <w:pStyle w:val="ListParagraph"/>
        <w:ind w:left="426"/>
      </w:pPr>
    </w:p>
    <w:p w:rsidR="00E47AA4" w:rsidRPr="00E47AA4" w:rsidRDefault="00E47AA4" w:rsidP="00E47AA4">
      <w:pPr>
        <w:pStyle w:val="ListParagraph"/>
        <w:numPr>
          <w:ilvl w:val="0"/>
          <w:numId w:val="20"/>
        </w:numPr>
        <w:ind w:left="426"/>
        <w:rPr>
          <w:b/>
        </w:rPr>
      </w:pPr>
      <w:r>
        <w:rPr>
          <w:b/>
        </w:rPr>
        <w:t>Information on recognising</w:t>
      </w:r>
      <w:r w:rsidRPr="00966DE3">
        <w:rPr>
          <w:b/>
        </w:rPr>
        <w:t xml:space="preserve"> </w:t>
      </w:r>
      <w:r>
        <w:rPr>
          <w:b/>
        </w:rPr>
        <w:t>FDV</w:t>
      </w:r>
      <w:r w:rsidRPr="00966DE3">
        <w:rPr>
          <w:b/>
        </w:rPr>
        <w:t xml:space="preserve"> as a protected attribute within existing anti-discrimination legislation and federal employment laws</w:t>
      </w:r>
      <w:r>
        <w:rPr>
          <w:b/>
        </w:rPr>
        <w:t xml:space="preserve">. </w:t>
      </w:r>
    </w:p>
    <w:p w:rsidR="006C3AF0" w:rsidRDefault="006C3AF0" w:rsidP="00AA23B8">
      <w:pPr>
        <w:pStyle w:val="Heading2"/>
        <w:numPr>
          <w:ilvl w:val="1"/>
          <w:numId w:val="16"/>
        </w:numPr>
      </w:pPr>
      <w:bookmarkStart w:id="39" w:name="_Toc494372768"/>
      <w:r>
        <w:t>Paid Parental Leave</w:t>
      </w:r>
      <w:bookmarkEnd w:id="39"/>
    </w:p>
    <w:p w:rsidR="00427418" w:rsidRPr="00532571" w:rsidRDefault="00427418" w:rsidP="003A4D56">
      <w:pPr>
        <w:pStyle w:val="SubmissionNormal"/>
        <w:tabs>
          <w:tab w:val="clear" w:pos="501"/>
          <w:tab w:val="num" w:pos="720"/>
        </w:tabs>
        <w:ind w:left="720" w:hanging="720"/>
      </w:pPr>
      <w:r w:rsidRPr="00FD6C0C">
        <w:t xml:space="preserve">The </w:t>
      </w:r>
      <w:r w:rsidRPr="00FD6C0C">
        <w:rPr>
          <w:i/>
        </w:rPr>
        <w:t>Paid Parental Leave Act 2010</w:t>
      </w:r>
      <w:r w:rsidRPr="00FD6C0C">
        <w:t xml:space="preserve"> (Cth) came into effect as a result of the Productivity Commission’s 2009 Inquiry report, which recommended a paid postnatal period of 18 weeks.</w:t>
      </w:r>
      <w:r w:rsidRPr="00FD6C0C">
        <w:rPr>
          <w:rStyle w:val="EndnoteReference"/>
        </w:rPr>
        <w:endnoteReference w:id="94"/>
      </w:r>
      <w:r w:rsidRPr="00FD6C0C">
        <w:t xml:space="preserve"> The Productivity Commission </w:t>
      </w:r>
      <w:r w:rsidRPr="00FD6C0C">
        <w:rPr>
          <w:rFonts w:cs="Arial"/>
        </w:rPr>
        <w:t xml:space="preserve">also recommended that </w:t>
      </w:r>
      <w:r w:rsidRPr="003A4D56">
        <w:t>superannuation</w:t>
      </w:r>
      <w:r w:rsidRPr="00FD6C0C">
        <w:rPr>
          <w:rFonts w:cs="Arial"/>
        </w:rPr>
        <w:t xml:space="preserve"> entitlements be provided to mothers, subject to certain conditions</w:t>
      </w:r>
      <w:r w:rsidR="008B3E07">
        <w:rPr>
          <w:rFonts w:cs="Arial"/>
        </w:rPr>
        <w:t xml:space="preserve">, </w:t>
      </w:r>
      <w:r w:rsidR="00014D88">
        <w:rPr>
          <w:rFonts w:cs="Arial"/>
        </w:rPr>
        <w:t xml:space="preserve">a </w:t>
      </w:r>
      <w:r w:rsidR="008B3E07">
        <w:rPr>
          <w:rFonts w:cs="Arial"/>
        </w:rPr>
        <w:t>recommendation also supported by the Commission</w:t>
      </w:r>
      <w:r w:rsidRPr="00FD6C0C">
        <w:rPr>
          <w:rFonts w:cs="Arial"/>
        </w:rPr>
        <w:t>.</w:t>
      </w:r>
      <w:r w:rsidRPr="00FD6C0C">
        <w:rPr>
          <w:rStyle w:val="EndnoteReference"/>
          <w:rFonts w:cs="Arial"/>
        </w:rPr>
        <w:endnoteReference w:id="95"/>
      </w:r>
    </w:p>
    <w:p w:rsidR="00532571" w:rsidRPr="00FD6C0C" w:rsidRDefault="00532571" w:rsidP="003A4D56">
      <w:pPr>
        <w:pStyle w:val="SubmissionNormal"/>
        <w:tabs>
          <w:tab w:val="clear" w:pos="501"/>
          <w:tab w:val="num" w:pos="720"/>
        </w:tabs>
        <w:ind w:left="720" w:hanging="720"/>
      </w:pPr>
      <w:r w:rsidRPr="00FD6C0C">
        <w:t>International best practice suggests that extending father/partner leave quotas (on a ‘use it or lose it’ basis), in addition to providing sufficient paid parental leave which may be shared by either partner increases gender equity.</w:t>
      </w:r>
      <w:r w:rsidRPr="00FD6C0C">
        <w:rPr>
          <w:rStyle w:val="EndnoteReference"/>
        </w:rPr>
        <w:endnoteReference w:id="96"/>
      </w:r>
    </w:p>
    <w:p w:rsidR="0017498B" w:rsidRDefault="0017498B" w:rsidP="003A4D56">
      <w:pPr>
        <w:pStyle w:val="SubmissionNormal"/>
        <w:tabs>
          <w:tab w:val="clear" w:pos="501"/>
          <w:tab w:val="num" w:pos="720"/>
        </w:tabs>
        <w:ind w:left="720" w:hanging="720"/>
      </w:pPr>
      <w:r>
        <w:lastRenderedPageBreak/>
        <w:t xml:space="preserve">The Commission’s submission to </w:t>
      </w:r>
      <w:r w:rsidR="00532571">
        <w:t>the Productivity Commission’s</w:t>
      </w:r>
      <w:r>
        <w:t xml:space="preserve"> inquiry recommended that, following a review period of the initial scheme, </w:t>
      </w:r>
      <w:r w:rsidRPr="0017498B">
        <w:t xml:space="preserve">paid leave measures </w:t>
      </w:r>
      <w:r>
        <w:t xml:space="preserve">should </w:t>
      </w:r>
      <w:r w:rsidRPr="0017498B">
        <w:t xml:space="preserve">be introduced so that in </w:t>
      </w:r>
      <w:r>
        <w:t>total the scheme provides for:</w:t>
      </w:r>
    </w:p>
    <w:p w:rsidR="00D72972" w:rsidRDefault="0017498B" w:rsidP="003A4D56">
      <w:pPr>
        <w:pStyle w:val="SubmissionNormal"/>
        <w:numPr>
          <w:ilvl w:val="0"/>
          <w:numId w:val="26"/>
        </w:numPr>
        <w:spacing w:before="0" w:after="0"/>
        <w:ind w:left="1134"/>
      </w:pPr>
      <w:r>
        <w:t>34 weeks of additional paid parental leave, of which 4 weeks may only be taken by the supporting parent, in addition to</w:t>
      </w:r>
    </w:p>
    <w:p w:rsidR="00D72972" w:rsidRDefault="0017498B" w:rsidP="003A4D56">
      <w:pPr>
        <w:pStyle w:val="SubmissionNormal"/>
        <w:numPr>
          <w:ilvl w:val="0"/>
          <w:numId w:val="26"/>
        </w:numPr>
        <w:spacing w:before="0" w:after="0"/>
        <w:ind w:left="1134"/>
      </w:pPr>
      <w:r>
        <w:t>18 weeks paid parental leave, to be initially paid to the mother</w:t>
      </w:r>
      <w:r w:rsidR="00AA4F89">
        <w:t>,</w:t>
      </w:r>
      <w:r>
        <w:t xml:space="preserve"> and</w:t>
      </w:r>
    </w:p>
    <w:p w:rsidR="009D3D51" w:rsidRPr="00FD6C0C" w:rsidRDefault="0017498B" w:rsidP="003A4D56">
      <w:pPr>
        <w:pStyle w:val="SubmissionNormal"/>
        <w:numPr>
          <w:ilvl w:val="0"/>
          <w:numId w:val="26"/>
        </w:numPr>
        <w:spacing w:before="0" w:after="0"/>
        <w:ind w:left="1134"/>
      </w:pPr>
      <w:r>
        <w:t>2 weeks supporting parent leave to be taken concurrently at the time of birth.</w:t>
      </w:r>
      <w:r>
        <w:rPr>
          <w:rStyle w:val="EndnoteReference"/>
        </w:rPr>
        <w:endnoteReference w:id="97"/>
      </w:r>
      <w:r>
        <w:t xml:space="preserve"> </w:t>
      </w:r>
    </w:p>
    <w:p w:rsidR="006749E3" w:rsidRPr="00FD6C0C" w:rsidRDefault="006749E3" w:rsidP="003A4D56">
      <w:pPr>
        <w:pStyle w:val="SubmissionNormal"/>
        <w:tabs>
          <w:tab w:val="clear" w:pos="501"/>
          <w:tab w:val="num" w:pos="720"/>
        </w:tabs>
        <w:ind w:left="720" w:hanging="720"/>
      </w:pPr>
      <w:r>
        <w:t xml:space="preserve">The Sex Discrimination Commissioner </w:t>
      </w:r>
      <w:r w:rsidR="00075ED7">
        <w:t>has also advocated for the relaxation of existing laws that require women to work for 12 months before they are eligible to access parental leave.</w:t>
      </w:r>
      <w:r w:rsidR="001D6388">
        <w:rPr>
          <w:rStyle w:val="EndnoteReference"/>
        </w:rPr>
        <w:endnoteReference w:id="98"/>
      </w:r>
      <w:r w:rsidR="00075ED7">
        <w:t xml:space="preserve"> </w:t>
      </w:r>
    </w:p>
    <w:p w:rsidR="003512CB" w:rsidRDefault="003512CB" w:rsidP="006A0CF0">
      <w:pPr>
        <w:pStyle w:val="SubmissionNormal"/>
        <w:numPr>
          <w:ilvl w:val="0"/>
          <w:numId w:val="0"/>
        </w:numPr>
        <w:spacing w:before="0" w:after="0"/>
        <w:rPr>
          <w:b/>
        </w:rPr>
      </w:pPr>
      <w:r w:rsidRPr="003512CB">
        <w:rPr>
          <w:b/>
        </w:rPr>
        <w:t xml:space="preserve">Issues for </w:t>
      </w:r>
      <w:r w:rsidRPr="003512CB">
        <w:rPr>
          <w:b/>
          <w:color w:val="231F20"/>
        </w:rPr>
        <w:t>consideration</w:t>
      </w:r>
      <w:r w:rsidR="00910062">
        <w:rPr>
          <w:b/>
        </w:rPr>
        <w:t xml:space="preserve"> in the LOI</w:t>
      </w:r>
      <w:r w:rsidRPr="003512CB">
        <w:rPr>
          <w:b/>
        </w:rPr>
        <w:t>:</w:t>
      </w:r>
    </w:p>
    <w:p w:rsidR="006A0CF0" w:rsidRPr="003512CB" w:rsidRDefault="006A0CF0" w:rsidP="006A0CF0">
      <w:pPr>
        <w:pStyle w:val="SubmissionNormal"/>
        <w:numPr>
          <w:ilvl w:val="0"/>
          <w:numId w:val="0"/>
        </w:numPr>
        <w:spacing w:before="0" w:after="0"/>
        <w:rPr>
          <w:b/>
        </w:rPr>
      </w:pPr>
    </w:p>
    <w:p w:rsidR="00945588" w:rsidRDefault="005D41B0" w:rsidP="006A0CF0">
      <w:pPr>
        <w:pStyle w:val="SubmissionNormal"/>
        <w:numPr>
          <w:ilvl w:val="0"/>
          <w:numId w:val="19"/>
        </w:numPr>
        <w:spacing w:before="0" w:after="0"/>
        <w:ind w:left="426"/>
        <w:rPr>
          <w:b/>
        </w:rPr>
      </w:pPr>
      <w:r w:rsidRPr="00B4064F">
        <w:rPr>
          <w:b/>
        </w:rPr>
        <w:t xml:space="preserve">Information on </w:t>
      </w:r>
      <w:r w:rsidR="00F8064E" w:rsidRPr="00B4064F">
        <w:rPr>
          <w:b/>
        </w:rPr>
        <w:t>efforts to</w:t>
      </w:r>
      <w:r w:rsidR="00945588">
        <w:rPr>
          <w:b/>
        </w:rPr>
        <w:t>:</w:t>
      </w:r>
      <w:r w:rsidR="00F8064E" w:rsidRPr="00B4064F">
        <w:rPr>
          <w:b/>
        </w:rPr>
        <w:t xml:space="preserve"> </w:t>
      </w:r>
    </w:p>
    <w:p w:rsidR="00945588" w:rsidRDefault="00945588" w:rsidP="006A0CF0">
      <w:pPr>
        <w:pStyle w:val="SubmissionNormal"/>
        <w:numPr>
          <w:ilvl w:val="1"/>
          <w:numId w:val="19"/>
        </w:numPr>
        <w:spacing w:before="0" w:after="0"/>
        <w:ind w:left="993"/>
        <w:rPr>
          <w:b/>
        </w:rPr>
      </w:pPr>
      <w:r>
        <w:rPr>
          <w:b/>
        </w:rPr>
        <w:t>I</w:t>
      </w:r>
      <w:r w:rsidR="00F8064E" w:rsidRPr="00B4064F">
        <w:rPr>
          <w:b/>
        </w:rPr>
        <w:t xml:space="preserve">mprove access to paid parental leave, including extending paid leave to fathers/partners </w:t>
      </w:r>
    </w:p>
    <w:p w:rsidR="00945588" w:rsidRDefault="00945588" w:rsidP="006A0CF0">
      <w:pPr>
        <w:pStyle w:val="SubmissionNormal"/>
        <w:numPr>
          <w:ilvl w:val="1"/>
          <w:numId w:val="19"/>
        </w:numPr>
        <w:spacing w:before="0" w:after="0"/>
        <w:ind w:left="993"/>
        <w:rPr>
          <w:b/>
        </w:rPr>
      </w:pPr>
      <w:r>
        <w:rPr>
          <w:b/>
        </w:rPr>
        <w:t>R</w:t>
      </w:r>
      <w:r w:rsidR="00DC0419">
        <w:rPr>
          <w:b/>
        </w:rPr>
        <w:t xml:space="preserve">eview </w:t>
      </w:r>
      <w:r w:rsidR="003D5ABE">
        <w:rPr>
          <w:b/>
        </w:rPr>
        <w:t>the qualifying period for leave</w:t>
      </w:r>
    </w:p>
    <w:p w:rsidR="00945588" w:rsidRDefault="00945588" w:rsidP="006A0CF0">
      <w:pPr>
        <w:pStyle w:val="SubmissionNormal"/>
        <w:numPr>
          <w:ilvl w:val="1"/>
          <w:numId w:val="19"/>
        </w:numPr>
        <w:spacing w:before="0" w:after="0"/>
        <w:ind w:left="993"/>
        <w:rPr>
          <w:b/>
        </w:rPr>
      </w:pPr>
      <w:r w:rsidRPr="00B4064F">
        <w:rPr>
          <w:b/>
        </w:rPr>
        <w:t>Provide</w:t>
      </w:r>
      <w:r w:rsidR="00F8064E" w:rsidRPr="00B4064F">
        <w:rPr>
          <w:b/>
        </w:rPr>
        <w:t xml:space="preserve"> superannuation entitlements as part of paid leave</w:t>
      </w:r>
      <w:r w:rsidR="003D5ABE">
        <w:rPr>
          <w:b/>
        </w:rPr>
        <w:t xml:space="preserve">, and </w:t>
      </w:r>
    </w:p>
    <w:p w:rsidR="005D41B0" w:rsidRPr="00B4064F" w:rsidRDefault="00945588" w:rsidP="006A0CF0">
      <w:pPr>
        <w:pStyle w:val="SubmissionNormal"/>
        <w:numPr>
          <w:ilvl w:val="1"/>
          <w:numId w:val="19"/>
        </w:numPr>
        <w:spacing w:before="0" w:after="0"/>
        <w:ind w:left="993"/>
        <w:rPr>
          <w:b/>
        </w:rPr>
      </w:pPr>
      <w:r>
        <w:rPr>
          <w:b/>
        </w:rPr>
        <w:t>A</w:t>
      </w:r>
      <w:r w:rsidR="00DC0419">
        <w:rPr>
          <w:b/>
        </w:rPr>
        <w:t xml:space="preserve">llow for greater </w:t>
      </w:r>
      <w:r w:rsidR="003D5ABE">
        <w:rPr>
          <w:b/>
        </w:rPr>
        <w:t xml:space="preserve">flexibility in </w:t>
      </w:r>
      <w:r w:rsidR="00B57EEB">
        <w:rPr>
          <w:b/>
        </w:rPr>
        <w:t>how and when to take</w:t>
      </w:r>
      <w:r w:rsidR="003D5ABE">
        <w:rPr>
          <w:b/>
        </w:rPr>
        <w:t xml:space="preserve"> the leave</w:t>
      </w:r>
      <w:r w:rsidR="00F8064E" w:rsidRPr="00B4064F">
        <w:rPr>
          <w:b/>
        </w:rPr>
        <w:t xml:space="preserve">. </w:t>
      </w:r>
    </w:p>
    <w:p w:rsidR="00EF006C" w:rsidRDefault="00EF006C" w:rsidP="00AB412D">
      <w:pPr>
        <w:pStyle w:val="Heading1"/>
        <w:numPr>
          <w:ilvl w:val="0"/>
          <w:numId w:val="16"/>
        </w:numPr>
      </w:pPr>
      <w:bookmarkStart w:id="40" w:name="_Toc494372769"/>
      <w:r>
        <w:t>Women in defence</w:t>
      </w:r>
      <w:r w:rsidR="00E239D7">
        <w:t xml:space="preserve"> </w:t>
      </w:r>
      <w:r w:rsidR="00A5720E">
        <w:t>(CEDAW Article</w:t>
      </w:r>
      <w:r w:rsidR="005E7C5D">
        <w:t>s</w:t>
      </w:r>
      <w:r w:rsidR="00A5720E">
        <w:t xml:space="preserve"> </w:t>
      </w:r>
      <w:r w:rsidR="005E7C5D">
        <w:t>8 and 11</w:t>
      </w:r>
      <w:r w:rsidR="00A5720E">
        <w:t>)</w:t>
      </w:r>
      <w:bookmarkEnd w:id="40"/>
      <w:r w:rsidR="004812EB">
        <w:t xml:space="preserve"> </w:t>
      </w:r>
    </w:p>
    <w:p w:rsidR="00EF006C" w:rsidRDefault="00EF006C" w:rsidP="00142AF8">
      <w:pPr>
        <w:pStyle w:val="SubmissionNormal"/>
        <w:tabs>
          <w:tab w:val="clear" w:pos="501"/>
          <w:tab w:val="num" w:pos="720"/>
        </w:tabs>
        <w:ind w:left="720" w:hanging="720"/>
        <w:rPr>
          <w:color w:val="231F20"/>
        </w:rPr>
      </w:pPr>
      <w:r w:rsidRPr="00E239D7">
        <w:rPr>
          <w:color w:val="231F20"/>
        </w:rPr>
        <w:t xml:space="preserve">Since </w:t>
      </w:r>
      <w:r w:rsidRPr="00142AF8">
        <w:t>2014</w:t>
      </w:r>
      <w:r w:rsidRPr="00E239D7">
        <w:rPr>
          <w:color w:val="231F20"/>
        </w:rPr>
        <w:t xml:space="preserve">, the Commission has been working in a collaborative relationship with the Australian Defence Force </w:t>
      </w:r>
      <w:r w:rsidR="00CD63B6">
        <w:rPr>
          <w:color w:val="231F20"/>
        </w:rPr>
        <w:t xml:space="preserve">(ADF) </w:t>
      </w:r>
      <w:r w:rsidRPr="00E239D7">
        <w:rPr>
          <w:color w:val="231F20"/>
        </w:rPr>
        <w:t xml:space="preserve">to encourage cultural reform and enhance the </w:t>
      </w:r>
      <w:r w:rsidRPr="000607F6">
        <w:t>participation</w:t>
      </w:r>
      <w:r w:rsidRPr="00E239D7">
        <w:rPr>
          <w:color w:val="231F20"/>
        </w:rPr>
        <w:t xml:space="preserve"> of women. This builds on cultural reform initiatives in Pathway to Change, an implementation strategy for cultural change across the ADF.</w:t>
      </w:r>
      <w:r w:rsidRPr="007E080C">
        <w:rPr>
          <w:rStyle w:val="EndnoteReference"/>
        </w:rPr>
        <w:endnoteReference w:id="99"/>
      </w:r>
      <w:r w:rsidRPr="007E080C">
        <w:rPr>
          <w:rStyle w:val="EndnoteReference"/>
        </w:rPr>
        <w:t xml:space="preserve"> </w:t>
      </w:r>
      <w:r w:rsidRPr="00E239D7">
        <w:rPr>
          <w:color w:val="231F20"/>
        </w:rPr>
        <w:t xml:space="preserve">The </w:t>
      </w:r>
      <w:r w:rsidR="0066547D">
        <w:rPr>
          <w:color w:val="231F20"/>
        </w:rPr>
        <w:t xml:space="preserve">Commission welcomes the commitment of the </w:t>
      </w:r>
      <w:r w:rsidRPr="00E239D7">
        <w:rPr>
          <w:color w:val="231F20"/>
        </w:rPr>
        <w:t xml:space="preserve">Government </w:t>
      </w:r>
      <w:r w:rsidR="0066547D">
        <w:rPr>
          <w:color w:val="231F20"/>
        </w:rPr>
        <w:t>to</w:t>
      </w:r>
      <w:r w:rsidRPr="00E239D7">
        <w:rPr>
          <w:color w:val="231F20"/>
        </w:rPr>
        <w:t xml:space="preserve"> remov</w:t>
      </w:r>
      <w:r w:rsidR="0066547D">
        <w:rPr>
          <w:color w:val="231F20"/>
        </w:rPr>
        <w:t>e</w:t>
      </w:r>
      <w:r w:rsidRPr="00E239D7">
        <w:rPr>
          <w:color w:val="231F20"/>
        </w:rPr>
        <w:t xml:space="preserve"> </w:t>
      </w:r>
      <w:r w:rsidR="0066547D">
        <w:rPr>
          <w:color w:val="231F20"/>
        </w:rPr>
        <w:t>the</w:t>
      </w:r>
      <w:r w:rsidR="0066547D" w:rsidRPr="00E239D7">
        <w:rPr>
          <w:color w:val="231F20"/>
        </w:rPr>
        <w:t xml:space="preserve"> </w:t>
      </w:r>
      <w:r w:rsidRPr="00E239D7">
        <w:rPr>
          <w:color w:val="231F20"/>
        </w:rPr>
        <w:t xml:space="preserve">reservation to CEDAW on women in defence combat roles. </w:t>
      </w:r>
    </w:p>
    <w:p w:rsidR="00CD63B6" w:rsidRDefault="00CD63B6" w:rsidP="00CD63B6">
      <w:pPr>
        <w:pStyle w:val="SubmissionNormal"/>
        <w:numPr>
          <w:ilvl w:val="0"/>
          <w:numId w:val="0"/>
        </w:numPr>
        <w:rPr>
          <w:b/>
          <w:color w:val="231F20"/>
        </w:rPr>
      </w:pPr>
      <w:r w:rsidRPr="00CD63B6">
        <w:rPr>
          <w:b/>
          <w:color w:val="231F20"/>
        </w:rPr>
        <w:t>Issues for consideration</w:t>
      </w:r>
      <w:r w:rsidR="00910062">
        <w:rPr>
          <w:b/>
          <w:color w:val="231F20"/>
        </w:rPr>
        <w:t xml:space="preserve"> in the LOI</w:t>
      </w:r>
      <w:r w:rsidRPr="00CD63B6">
        <w:rPr>
          <w:b/>
          <w:color w:val="231F20"/>
        </w:rPr>
        <w:t>:</w:t>
      </w:r>
    </w:p>
    <w:p w:rsidR="00B34946" w:rsidRPr="00CD63B6" w:rsidRDefault="00CD63B6" w:rsidP="00D72859">
      <w:pPr>
        <w:pStyle w:val="SubmissionNormal"/>
        <w:numPr>
          <w:ilvl w:val="0"/>
          <w:numId w:val="19"/>
        </w:numPr>
        <w:ind w:left="426"/>
        <w:rPr>
          <w:b/>
          <w:color w:val="231F20"/>
        </w:rPr>
      </w:pPr>
      <w:r w:rsidRPr="00CD63B6">
        <w:rPr>
          <w:b/>
          <w:color w:val="231F20"/>
        </w:rPr>
        <w:t>Information on the progress of</w:t>
      </w:r>
      <w:r>
        <w:rPr>
          <w:b/>
          <w:color w:val="231F20"/>
        </w:rPr>
        <w:t xml:space="preserve"> </w:t>
      </w:r>
      <w:r w:rsidR="00EF006C" w:rsidRPr="00CD63B6">
        <w:rPr>
          <w:b/>
        </w:rPr>
        <w:t>cultural</w:t>
      </w:r>
      <w:r w:rsidR="00EF006C" w:rsidRPr="00CD63B6">
        <w:rPr>
          <w:b/>
          <w:color w:val="231F20"/>
        </w:rPr>
        <w:t xml:space="preserve"> reform and the participation of women in the ADF</w:t>
      </w:r>
      <w:bookmarkStart w:id="41" w:name="_Toc162769295"/>
      <w:r w:rsidR="006C735C">
        <w:rPr>
          <w:b/>
          <w:color w:val="231F20"/>
        </w:rPr>
        <w:t>, and of removing the relevant reservation to CEDAW</w:t>
      </w:r>
      <w:r w:rsidR="00F720E1">
        <w:rPr>
          <w:b/>
          <w:color w:val="231F20"/>
        </w:rPr>
        <w:t>.</w:t>
      </w:r>
    </w:p>
    <w:bookmarkEnd w:id="41"/>
    <w:p w:rsidR="005B140E" w:rsidRDefault="005B140E">
      <w:pPr>
        <w:spacing w:before="0" w:after="0"/>
        <w:rPr>
          <w:b/>
          <w:bCs/>
          <w:sz w:val="28"/>
          <w:szCs w:val="28"/>
          <w:highlight w:val="lightGray"/>
        </w:rPr>
      </w:pPr>
      <w:r>
        <w:rPr>
          <w:highlight w:val="lightGray"/>
        </w:rPr>
        <w:br w:type="page"/>
      </w:r>
    </w:p>
    <w:p w:rsidR="00B34946" w:rsidRPr="00DD425D" w:rsidRDefault="00EA2539" w:rsidP="005B140E">
      <w:pPr>
        <w:pStyle w:val="Heading1"/>
        <w:numPr>
          <w:ilvl w:val="0"/>
          <w:numId w:val="16"/>
        </w:numPr>
      </w:pPr>
      <w:bookmarkStart w:id="42" w:name="_Toc494372770"/>
      <w:r>
        <w:lastRenderedPageBreak/>
        <w:t>Attachment 1</w:t>
      </w:r>
      <w:r w:rsidR="002E6267">
        <w:t xml:space="preserve"> </w:t>
      </w:r>
      <w:r w:rsidR="00C14E2B" w:rsidRPr="009E5191">
        <w:rPr>
          <w:rFonts w:ascii="Helvetica" w:hAnsi="Helvetica"/>
          <w:color w:val="333333"/>
          <w:sz w:val="22"/>
          <w:szCs w:val="22"/>
          <w:shd w:val="clear" w:color="auto" w:fill="FFFFFF"/>
        </w:rPr>
        <w:t>—</w:t>
      </w:r>
      <w:r w:rsidR="002E6267">
        <w:t xml:space="preserve"> Compilation of </w:t>
      </w:r>
      <w:r w:rsidR="00270631">
        <w:t>issues for consideration in the LOI</w:t>
      </w:r>
      <w:bookmarkEnd w:id="42"/>
    </w:p>
    <w:p w:rsidR="001043CC" w:rsidRPr="00C378E8" w:rsidRDefault="001043CC" w:rsidP="00B63A54">
      <w:pPr>
        <w:pStyle w:val="SubmissionNormal"/>
        <w:numPr>
          <w:ilvl w:val="0"/>
          <w:numId w:val="19"/>
        </w:numPr>
        <w:spacing w:before="120" w:after="120"/>
        <w:ind w:left="426" w:hanging="357"/>
        <w:rPr>
          <w:b/>
        </w:rPr>
      </w:pPr>
      <w:r w:rsidRPr="00C378E8">
        <w:rPr>
          <w:b/>
        </w:rPr>
        <w:t xml:space="preserve">Information on steps taken by the Australian Government to strengthen national </w:t>
      </w:r>
      <w:r>
        <w:rPr>
          <w:b/>
        </w:rPr>
        <w:t>FDV</w:t>
      </w:r>
      <w:r w:rsidRPr="00C378E8">
        <w:rPr>
          <w:b/>
        </w:rPr>
        <w:t xml:space="preserve"> data collection and reporting mechanisms. </w:t>
      </w:r>
    </w:p>
    <w:p w:rsidR="001043CC" w:rsidRPr="001043CC" w:rsidRDefault="001043CC" w:rsidP="00B63A54">
      <w:pPr>
        <w:pStyle w:val="SubmissionNormal"/>
        <w:numPr>
          <w:ilvl w:val="0"/>
          <w:numId w:val="19"/>
        </w:numPr>
        <w:spacing w:before="120" w:after="120"/>
        <w:ind w:left="426" w:hanging="357"/>
        <w:rPr>
          <w:b/>
        </w:rPr>
      </w:pPr>
      <w:r w:rsidRPr="00C378E8">
        <w:rPr>
          <w:b/>
        </w:rPr>
        <w:t xml:space="preserve">Information on </w:t>
      </w:r>
      <w:r>
        <w:rPr>
          <w:b/>
        </w:rPr>
        <w:t xml:space="preserve">specific research undertaken to understand </w:t>
      </w:r>
      <w:r w:rsidRPr="00A017A5">
        <w:rPr>
          <w:b/>
        </w:rPr>
        <w:t xml:space="preserve">the nature and prevalence of </w:t>
      </w:r>
      <w:r>
        <w:rPr>
          <w:b/>
        </w:rPr>
        <w:t>FDV</w:t>
      </w:r>
      <w:r w:rsidRPr="00A017A5">
        <w:rPr>
          <w:b/>
        </w:rPr>
        <w:t xml:space="preserve">, sexual assault and sexual harassment for women </w:t>
      </w:r>
      <w:r w:rsidRPr="001043CC">
        <w:rPr>
          <w:b/>
        </w:rPr>
        <w:t>and girls</w:t>
      </w:r>
      <w:r>
        <w:rPr>
          <w:b/>
        </w:rPr>
        <w:t xml:space="preserve"> </w:t>
      </w:r>
      <w:r w:rsidRPr="00A017A5">
        <w:rPr>
          <w:b/>
        </w:rPr>
        <w:t>experiencing intersectional discrimination</w:t>
      </w:r>
      <w:r w:rsidRPr="00706E72">
        <w:rPr>
          <w:b/>
        </w:rPr>
        <w:t xml:space="preserve">, </w:t>
      </w:r>
      <w:r>
        <w:rPr>
          <w:b/>
        </w:rPr>
        <w:t>and specific actions to explicitly address those intersectional causes.</w:t>
      </w:r>
      <w:r w:rsidRPr="00C378E8">
        <w:rPr>
          <w:b/>
        </w:rPr>
        <w:t xml:space="preserve"> </w:t>
      </w:r>
      <w:r w:rsidRPr="00A017A5">
        <w:rPr>
          <w:b/>
        </w:rPr>
        <w:t xml:space="preserve"> </w:t>
      </w:r>
      <w:r w:rsidRPr="00C378E8">
        <w:rPr>
          <w:b/>
        </w:rPr>
        <w:t xml:space="preserve"> </w:t>
      </w:r>
    </w:p>
    <w:p w:rsidR="00367140" w:rsidRPr="00367140" w:rsidRDefault="00367140" w:rsidP="00B63A54">
      <w:pPr>
        <w:pStyle w:val="SubmissionNormal"/>
        <w:numPr>
          <w:ilvl w:val="0"/>
          <w:numId w:val="19"/>
        </w:numPr>
        <w:spacing w:before="120" w:after="120"/>
        <w:ind w:left="426" w:hanging="357"/>
        <w:rPr>
          <w:b/>
        </w:rPr>
      </w:pPr>
      <w:r>
        <w:rPr>
          <w:b/>
        </w:rPr>
        <w:t>Information on steps taken by the Australian Government to</w:t>
      </w:r>
      <w:r w:rsidRPr="007D0DF6">
        <w:rPr>
          <w:b/>
        </w:rPr>
        <w:t xml:space="preserve"> </w:t>
      </w:r>
      <w:r>
        <w:rPr>
          <w:b/>
        </w:rPr>
        <w:t xml:space="preserve">reduce </w:t>
      </w:r>
      <w:r w:rsidRPr="007D0DF6">
        <w:rPr>
          <w:b/>
        </w:rPr>
        <w:t>violence against Aboriginal and Torres Strait Islander wom</w:t>
      </w:r>
      <w:r>
        <w:rPr>
          <w:b/>
        </w:rPr>
        <w:t xml:space="preserve">en and children, including </w:t>
      </w:r>
      <w:r w:rsidRPr="00321E37">
        <w:rPr>
          <w:b/>
        </w:rPr>
        <w:t>prevention</w:t>
      </w:r>
      <w:r>
        <w:rPr>
          <w:b/>
        </w:rPr>
        <w:t xml:space="preserve"> and </w:t>
      </w:r>
      <w:r w:rsidRPr="00321E37">
        <w:rPr>
          <w:b/>
        </w:rPr>
        <w:t>early intervention initiatives</w:t>
      </w:r>
      <w:r>
        <w:rPr>
          <w:b/>
        </w:rPr>
        <w:t xml:space="preserve"> as an urgent priority issue.</w:t>
      </w:r>
    </w:p>
    <w:p w:rsidR="00756733" w:rsidRPr="00756733" w:rsidRDefault="00756733" w:rsidP="00B63A54">
      <w:pPr>
        <w:pStyle w:val="SubmissionNormal"/>
        <w:numPr>
          <w:ilvl w:val="0"/>
          <w:numId w:val="19"/>
        </w:numPr>
        <w:spacing w:before="120" w:after="120"/>
        <w:ind w:left="426" w:hanging="357"/>
        <w:rPr>
          <w:b/>
        </w:rPr>
      </w:pPr>
      <w:r w:rsidRPr="00756733">
        <w:rPr>
          <w:b/>
        </w:rPr>
        <w:t xml:space="preserve">Information on efforts to ensure that subsequent Action Plans to the National Plan continue to support prevention and early intervention initiatives, and improve the provision of support and services for people experiencing gendered disability violence, including implementation of relevant recommendations from the Stop the Violence Project, the 2015 Senate inquiry and the 2016 COAG Report. </w:t>
      </w:r>
    </w:p>
    <w:p w:rsidR="00756733" w:rsidRPr="00756733" w:rsidRDefault="00756733" w:rsidP="00B63A54">
      <w:pPr>
        <w:pStyle w:val="SubmissionNormal"/>
        <w:numPr>
          <w:ilvl w:val="0"/>
          <w:numId w:val="19"/>
        </w:numPr>
        <w:spacing w:before="120" w:after="120"/>
        <w:ind w:left="426" w:hanging="357"/>
        <w:rPr>
          <w:b/>
        </w:rPr>
      </w:pPr>
      <w:r w:rsidRPr="00756733">
        <w:rPr>
          <w:b/>
        </w:rPr>
        <w:t xml:space="preserve">Information on progress towards a national response to violence against women in institutional and disability accommodation settings. </w:t>
      </w:r>
    </w:p>
    <w:p w:rsidR="00756733" w:rsidRPr="00756733" w:rsidRDefault="00756733" w:rsidP="00B63A54">
      <w:pPr>
        <w:pStyle w:val="SubmissionNormal"/>
        <w:numPr>
          <w:ilvl w:val="0"/>
          <w:numId w:val="19"/>
        </w:numPr>
        <w:spacing w:before="120" w:after="120"/>
        <w:ind w:left="426" w:hanging="357"/>
        <w:rPr>
          <w:b/>
        </w:rPr>
      </w:pPr>
      <w:r>
        <w:rPr>
          <w:b/>
        </w:rPr>
        <w:t xml:space="preserve">Information on </w:t>
      </w:r>
      <w:r w:rsidRPr="00756733">
        <w:rPr>
          <w:b/>
        </w:rPr>
        <w:t>legal protections to prevent sterilisation of women and girls with disability without consent.</w:t>
      </w:r>
    </w:p>
    <w:p w:rsidR="00756733" w:rsidRPr="00756733" w:rsidRDefault="00756733" w:rsidP="00B63A54">
      <w:pPr>
        <w:pStyle w:val="SubmissionNormal"/>
        <w:numPr>
          <w:ilvl w:val="0"/>
          <w:numId w:val="19"/>
        </w:numPr>
        <w:spacing w:before="120" w:after="120"/>
        <w:ind w:left="426" w:hanging="357"/>
        <w:rPr>
          <w:b/>
        </w:rPr>
      </w:pPr>
      <w:r>
        <w:rPr>
          <w:b/>
        </w:rPr>
        <w:t>Information on the provision of adequate resources for</w:t>
      </w:r>
      <w:r w:rsidRPr="00756733">
        <w:rPr>
          <w:b/>
        </w:rPr>
        <w:t xml:space="preserve"> accommodation and support services for women and girls with disability experiencing violence.</w:t>
      </w:r>
    </w:p>
    <w:p w:rsidR="005A7773" w:rsidRPr="009639E2" w:rsidRDefault="005A7773" w:rsidP="00B63A54">
      <w:pPr>
        <w:pStyle w:val="SubmissionNormal"/>
        <w:numPr>
          <w:ilvl w:val="0"/>
          <w:numId w:val="19"/>
        </w:numPr>
        <w:spacing w:before="120" w:after="120"/>
        <w:ind w:left="426" w:hanging="357"/>
        <w:rPr>
          <w:b/>
        </w:rPr>
      </w:pPr>
      <w:r w:rsidRPr="009639E2">
        <w:rPr>
          <w:b/>
        </w:rPr>
        <w:t xml:space="preserve">Information on </w:t>
      </w:r>
      <w:r>
        <w:rPr>
          <w:b/>
        </w:rPr>
        <w:t>efforts</w:t>
      </w:r>
      <w:r w:rsidRPr="009639E2">
        <w:rPr>
          <w:b/>
        </w:rPr>
        <w:t xml:space="preserve"> to ensure there are adequate protections in place to address sexual harassment in the workplace, with consideration of the identified strategies in the Commission’s 2012 </w:t>
      </w:r>
      <w:r>
        <w:rPr>
          <w:b/>
        </w:rPr>
        <w:t xml:space="preserve">survey </w:t>
      </w:r>
      <w:r w:rsidRPr="009639E2">
        <w:rPr>
          <w:b/>
        </w:rPr>
        <w:t>report and the forthcoming outcomes of the 2017 survey.</w:t>
      </w:r>
    </w:p>
    <w:p w:rsidR="005A7773" w:rsidRPr="005A7773" w:rsidRDefault="005A7773" w:rsidP="00B63A54">
      <w:pPr>
        <w:pStyle w:val="SubmissionNormal"/>
        <w:numPr>
          <w:ilvl w:val="0"/>
          <w:numId w:val="19"/>
        </w:numPr>
        <w:spacing w:before="120" w:after="120"/>
        <w:ind w:left="426" w:hanging="357"/>
        <w:rPr>
          <w:b/>
        </w:rPr>
      </w:pPr>
      <w:r>
        <w:rPr>
          <w:b/>
        </w:rPr>
        <w:t xml:space="preserve">Information on the Australian Government’s engagement with universities on the implementation of </w:t>
      </w:r>
      <w:r w:rsidRPr="00153724">
        <w:rPr>
          <w:b/>
        </w:rPr>
        <w:t xml:space="preserve">the Change </w:t>
      </w:r>
      <w:r>
        <w:rPr>
          <w:b/>
        </w:rPr>
        <w:t>t</w:t>
      </w:r>
      <w:r w:rsidRPr="00153724">
        <w:rPr>
          <w:b/>
        </w:rPr>
        <w:t xml:space="preserve">he Course report recommendations to reduce the prevalence of sexual assault and sexual harassment in </w:t>
      </w:r>
      <w:r w:rsidRPr="000D41AD">
        <w:rPr>
          <w:b/>
        </w:rPr>
        <w:t>Australian universities.</w:t>
      </w:r>
    </w:p>
    <w:p w:rsidR="009A1E41" w:rsidRPr="009A1E41" w:rsidRDefault="009A1E41" w:rsidP="00B63A54">
      <w:pPr>
        <w:pStyle w:val="SubmissionNormal"/>
        <w:numPr>
          <w:ilvl w:val="0"/>
          <w:numId w:val="19"/>
        </w:numPr>
        <w:spacing w:before="120" w:after="120"/>
        <w:ind w:left="426" w:hanging="357"/>
        <w:rPr>
          <w:b/>
        </w:rPr>
      </w:pPr>
      <w:r w:rsidRPr="009A1E41">
        <w:rPr>
          <w:b/>
        </w:rPr>
        <w:t>Information on national efforts to understand and address the increasing rate of suicide in women and girls.</w:t>
      </w:r>
    </w:p>
    <w:p w:rsidR="009A1E41" w:rsidRPr="009A1E41" w:rsidRDefault="009A1E41" w:rsidP="00B63A54">
      <w:pPr>
        <w:pStyle w:val="SubmissionNormal"/>
        <w:numPr>
          <w:ilvl w:val="0"/>
          <w:numId w:val="19"/>
        </w:numPr>
        <w:spacing w:before="120" w:after="120"/>
        <w:ind w:left="426" w:hanging="357"/>
        <w:rPr>
          <w:b/>
        </w:rPr>
      </w:pPr>
      <w:r w:rsidRPr="009A1E41">
        <w:rPr>
          <w:b/>
        </w:rPr>
        <w:t>Information on national action to support, and improve outcomes for, young mothers and their children.</w:t>
      </w:r>
    </w:p>
    <w:p w:rsidR="00006CB3" w:rsidRPr="00006CB3" w:rsidRDefault="00006CB3" w:rsidP="00B63A54">
      <w:pPr>
        <w:pStyle w:val="SubmissionNormal"/>
        <w:numPr>
          <w:ilvl w:val="0"/>
          <w:numId w:val="19"/>
        </w:numPr>
        <w:spacing w:before="120" w:after="120"/>
        <w:ind w:left="426" w:hanging="357"/>
        <w:rPr>
          <w:b/>
        </w:rPr>
      </w:pPr>
      <w:r w:rsidRPr="00006CB3">
        <w:rPr>
          <w:b/>
        </w:rPr>
        <w:t>Information on legal and policy protections to prevent medically unnecessary and/or harmful medical interventions on women and girls born with intersex variations.</w:t>
      </w:r>
    </w:p>
    <w:p w:rsidR="00A34BE5" w:rsidRPr="00A34BE5" w:rsidRDefault="00A34BE5" w:rsidP="00B63A54">
      <w:pPr>
        <w:pStyle w:val="SubmissionNormal"/>
        <w:numPr>
          <w:ilvl w:val="0"/>
          <w:numId w:val="19"/>
        </w:numPr>
        <w:spacing w:before="120" w:after="120"/>
        <w:ind w:left="426" w:hanging="357"/>
        <w:rPr>
          <w:b/>
        </w:rPr>
      </w:pPr>
      <w:r w:rsidRPr="000D41AD">
        <w:rPr>
          <w:b/>
        </w:rPr>
        <w:t xml:space="preserve">Information on steps taken to safeguard the rights of Muslim women and to eliminate the particular discrimination that they face.  </w:t>
      </w:r>
    </w:p>
    <w:p w:rsidR="00B52199" w:rsidRPr="00B52199" w:rsidRDefault="00B52199" w:rsidP="00B63A54">
      <w:pPr>
        <w:pStyle w:val="SubmissionNormal"/>
        <w:numPr>
          <w:ilvl w:val="0"/>
          <w:numId w:val="19"/>
        </w:numPr>
        <w:spacing w:before="120" w:after="120"/>
        <w:ind w:left="426" w:hanging="357"/>
        <w:rPr>
          <w:b/>
        </w:rPr>
      </w:pPr>
      <w:r>
        <w:rPr>
          <w:b/>
        </w:rPr>
        <w:lastRenderedPageBreak/>
        <w:t xml:space="preserve">Information on initiatives to address the particular discrimination faced by women in rural, regional and remote areas, specifically in the areas of violence against women and sexual harassment, and strategies to address economic insecurity. </w:t>
      </w:r>
    </w:p>
    <w:p w:rsidR="003C0C8E" w:rsidRPr="003C0C8E" w:rsidRDefault="003C0C8E" w:rsidP="00B63A54">
      <w:pPr>
        <w:pStyle w:val="SubmissionNormal"/>
        <w:numPr>
          <w:ilvl w:val="0"/>
          <w:numId w:val="19"/>
        </w:numPr>
        <w:spacing w:before="120" w:after="120"/>
        <w:ind w:left="426" w:hanging="357"/>
        <w:rPr>
          <w:b/>
        </w:rPr>
      </w:pPr>
      <w:r>
        <w:rPr>
          <w:b/>
        </w:rPr>
        <w:t xml:space="preserve">Information on the Australian Government’s response to </w:t>
      </w:r>
      <w:r w:rsidRPr="00EE0256">
        <w:rPr>
          <w:b/>
        </w:rPr>
        <w:t xml:space="preserve">the recommendations in the </w:t>
      </w:r>
      <w:proofErr w:type="gramStart"/>
      <w:r w:rsidRPr="003C0C8E">
        <w:rPr>
          <w:b/>
        </w:rPr>
        <w:t>Willing</w:t>
      </w:r>
      <w:proofErr w:type="gramEnd"/>
      <w:r w:rsidRPr="003C0C8E">
        <w:rPr>
          <w:b/>
        </w:rPr>
        <w:t xml:space="preserve"> to Work Report.</w:t>
      </w:r>
    </w:p>
    <w:p w:rsidR="003C0C8E" w:rsidRDefault="003C0C8E" w:rsidP="00B63A54">
      <w:pPr>
        <w:pStyle w:val="SubmissionNormal"/>
        <w:numPr>
          <w:ilvl w:val="0"/>
          <w:numId w:val="19"/>
        </w:numPr>
        <w:spacing w:before="120" w:after="120"/>
        <w:ind w:left="426" w:hanging="357"/>
        <w:rPr>
          <w:b/>
        </w:rPr>
      </w:pPr>
      <w:r w:rsidRPr="00436A48">
        <w:rPr>
          <w:b/>
        </w:rPr>
        <w:t xml:space="preserve">Information on </w:t>
      </w:r>
      <w:r>
        <w:rPr>
          <w:b/>
        </w:rPr>
        <w:t xml:space="preserve">strategies to address women’s economic insecurity in retirement. </w:t>
      </w:r>
    </w:p>
    <w:p w:rsidR="003C0C8E" w:rsidRPr="003C0C8E" w:rsidRDefault="003C0C8E" w:rsidP="00B63A54">
      <w:pPr>
        <w:pStyle w:val="SubmissionNormal"/>
        <w:numPr>
          <w:ilvl w:val="0"/>
          <w:numId w:val="19"/>
        </w:numPr>
        <w:spacing w:before="120" w:after="120"/>
        <w:ind w:left="426" w:hanging="357"/>
        <w:rPr>
          <w:b/>
        </w:rPr>
      </w:pPr>
      <w:r>
        <w:rPr>
          <w:b/>
        </w:rPr>
        <w:t xml:space="preserve">Information on </w:t>
      </w:r>
      <w:r w:rsidRPr="002C64C1">
        <w:rPr>
          <w:b/>
        </w:rPr>
        <w:t xml:space="preserve">the </w:t>
      </w:r>
      <w:r>
        <w:rPr>
          <w:b/>
        </w:rPr>
        <w:t xml:space="preserve">Australian </w:t>
      </w:r>
      <w:r w:rsidRPr="002C64C1">
        <w:rPr>
          <w:b/>
        </w:rPr>
        <w:t>Government</w:t>
      </w:r>
      <w:r>
        <w:rPr>
          <w:b/>
        </w:rPr>
        <w:t>’s</w:t>
      </w:r>
      <w:r w:rsidRPr="002C64C1">
        <w:rPr>
          <w:b/>
        </w:rPr>
        <w:t xml:space="preserve"> implement</w:t>
      </w:r>
      <w:r>
        <w:rPr>
          <w:b/>
        </w:rPr>
        <w:t>ation of</w:t>
      </w:r>
      <w:r w:rsidRPr="002C64C1">
        <w:rPr>
          <w:b/>
        </w:rPr>
        <w:t xml:space="preserve"> recommendations from the ALRC’s report</w:t>
      </w:r>
      <w:r>
        <w:rPr>
          <w:b/>
        </w:rPr>
        <w:t xml:space="preserve"> on</w:t>
      </w:r>
      <w:r w:rsidRPr="002C64C1">
        <w:rPr>
          <w:b/>
        </w:rPr>
        <w:t xml:space="preserve"> </w:t>
      </w:r>
      <w:r w:rsidRPr="00CA3751">
        <w:rPr>
          <w:b/>
        </w:rPr>
        <w:t>Elder Abuse</w:t>
      </w:r>
      <w:r>
        <w:rPr>
          <w:b/>
        </w:rPr>
        <w:t>; including</w:t>
      </w:r>
      <w:r w:rsidRPr="002C64C1">
        <w:rPr>
          <w:b/>
        </w:rPr>
        <w:t xml:space="preserve"> the development of a </w:t>
      </w:r>
      <w:r>
        <w:rPr>
          <w:b/>
        </w:rPr>
        <w:t>n</w:t>
      </w:r>
      <w:r w:rsidRPr="002C64C1">
        <w:rPr>
          <w:b/>
        </w:rPr>
        <w:t xml:space="preserve">ational </w:t>
      </w:r>
      <w:r>
        <w:rPr>
          <w:b/>
        </w:rPr>
        <w:t>p</w:t>
      </w:r>
      <w:r w:rsidRPr="002C64C1">
        <w:rPr>
          <w:b/>
        </w:rPr>
        <w:t>lan to tackle elder abuse</w:t>
      </w:r>
      <w:r w:rsidRPr="00733D0E">
        <w:rPr>
          <w:b/>
        </w:rPr>
        <w:t>.</w:t>
      </w:r>
    </w:p>
    <w:p w:rsidR="00213316" w:rsidRPr="00FD4157" w:rsidRDefault="00213316" w:rsidP="00B63A54">
      <w:pPr>
        <w:pStyle w:val="SubmissionNormal"/>
        <w:numPr>
          <w:ilvl w:val="0"/>
          <w:numId w:val="19"/>
        </w:numPr>
        <w:spacing w:before="120" w:after="120"/>
        <w:ind w:left="426" w:hanging="357"/>
        <w:rPr>
          <w:b/>
        </w:rPr>
      </w:pPr>
      <w:r w:rsidRPr="00FD4157">
        <w:rPr>
          <w:b/>
        </w:rPr>
        <w:t>Information on the</w:t>
      </w:r>
      <w:r w:rsidRPr="00213316">
        <w:rPr>
          <w:b/>
        </w:rPr>
        <w:t xml:space="preserve"> Australian Government’s implementation of the National Action Plan to Combat Human Trafficking and Slavery 2015–2019</w:t>
      </w:r>
      <w:r w:rsidRPr="00FD4157">
        <w:rPr>
          <w:b/>
        </w:rPr>
        <w:t xml:space="preserve">; including consideration of the development a federal compensation scheme for survivors of human trafficking and slavery; </w:t>
      </w:r>
      <w:r w:rsidRPr="00213316">
        <w:rPr>
          <w:b/>
        </w:rPr>
        <w:t xml:space="preserve">and </w:t>
      </w:r>
      <w:r w:rsidRPr="00FD4157">
        <w:rPr>
          <w:b/>
        </w:rPr>
        <w:t>develop</w:t>
      </w:r>
      <w:r>
        <w:rPr>
          <w:b/>
        </w:rPr>
        <w:t>ment of</w:t>
      </w:r>
      <w:r w:rsidRPr="00FD4157">
        <w:rPr>
          <w:b/>
        </w:rPr>
        <w:t xml:space="preserve"> a regulatory regime addressing international surrogacy arrangements.</w:t>
      </w:r>
    </w:p>
    <w:p w:rsidR="00213316" w:rsidRPr="00FD4157" w:rsidRDefault="00213316" w:rsidP="00B63A54">
      <w:pPr>
        <w:pStyle w:val="SubmissionNormal"/>
        <w:numPr>
          <w:ilvl w:val="0"/>
          <w:numId w:val="19"/>
        </w:numPr>
        <w:spacing w:before="120" w:after="120"/>
        <w:ind w:left="426" w:hanging="357"/>
        <w:rPr>
          <w:b/>
        </w:rPr>
      </w:pPr>
      <w:r w:rsidRPr="00213316">
        <w:rPr>
          <w:b/>
        </w:rPr>
        <w:t xml:space="preserve">Information on the development of a </w:t>
      </w:r>
      <w:r w:rsidRPr="00FD4157">
        <w:rPr>
          <w:b/>
        </w:rPr>
        <w:t>National</w:t>
      </w:r>
      <w:r w:rsidRPr="00213316">
        <w:rPr>
          <w:b/>
        </w:rPr>
        <w:t xml:space="preserve"> Action Plan on Business and Human Rights, with </w:t>
      </w:r>
      <w:r w:rsidRPr="00FD4157">
        <w:rPr>
          <w:b/>
        </w:rPr>
        <w:t xml:space="preserve">clear links with the </w:t>
      </w:r>
      <w:r w:rsidRPr="00213316">
        <w:rPr>
          <w:b/>
        </w:rPr>
        <w:t>National Action Plan to Combat Human Trafficking and Slavery 2015–2019</w:t>
      </w:r>
      <w:r w:rsidRPr="00FD4157">
        <w:rPr>
          <w:b/>
        </w:rPr>
        <w:t>.</w:t>
      </w:r>
    </w:p>
    <w:p w:rsidR="00213316" w:rsidRPr="00213316" w:rsidRDefault="00213316" w:rsidP="00B63A54">
      <w:pPr>
        <w:pStyle w:val="SubmissionNormal"/>
        <w:numPr>
          <w:ilvl w:val="0"/>
          <w:numId w:val="19"/>
        </w:numPr>
        <w:spacing w:before="120" w:after="120"/>
        <w:ind w:left="426" w:hanging="357"/>
        <w:rPr>
          <w:b/>
        </w:rPr>
      </w:pPr>
      <w:r w:rsidRPr="00213316">
        <w:rPr>
          <w:b/>
        </w:rPr>
        <w:t>Information on any steps taken to</w:t>
      </w:r>
      <w:r w:rsidRPr="00FD4157">
        <w:rPr>
          <w:b/>
        </w:rPr>
        <w:t xml:space="preserve"> </w:t>
      </w:r>
      <w:r w:rsidRPr="00213316">
        <w:rPr>
          <w:b/>
        </w:rPr>
        <w:t xml:space="preserve">develop a Modern Slavery Act in Australia. </w:t>
      </w:r>
    </w:p>
    <w:p w:rsidR="00FC75E0" w:rsidRPr="00FC75E0" w:rsidRDefault="00FC75E0" w:rsidP="00B63A54">
      <w:pPr>
        <w:pStyle w:val="SubmissionNormal"/>
        <w:numPr>
          <w:ilvl w:val="0"/>
          <w:numId w:val="19"/>
        </w:numPr>
        <w:spacing w:before="120" w:after="120"/>
        <w:ind w:left="426" w:hanging="357"/>
        <w:rPr>
          <w:b/>
        </w:rPr>
      </w:pPr>
      <w:r w:rsidRPr="00354FC3">
        <w:rPr>
          <w:b/>
        </w:rPr>
        <w:t>Information on steps taken by the Australian Government of work with Indigenous women to address the challenges facing Aboriginal and Torres Strait Islander women and the justice system</w:t>
      </w:r>
      <w:r>
        <w:rPr>
          <w:b/>
        </w:rPr>
        <w:t>.</w:t>
      </w:r>
    </w:p>
    <w:p w:rsidR="00FC75E0" w:rsidRPr="00FC75E0" w:rsidRDefault="00FC75E0" w:rsidP="00B63A54">
      <w:pPr>
        <w:pStyle w:val="SubmissionNormal"/>
        <w:numPr>
          <w:ilvl w:val="0"/>
          <w:numId w:val="19"/>
        </w:numPr>
        <w:spacing w:before="120" w:after="120"/>
        <w:ind w:left="426" w:hanging="357"/>
        <w:rPr>
          <w:b/>
        </w:rPr>
      </w:pPr>
      <w:r w:rsidRPr="006D2CF2">
        <w:rPr>
          <w:b/>
        </w:rPr>
        <w:t>Information on steps taken by the Australian Government to establish national justice targets aimed at reducing the overrepresentation of Indigenous peoples in the justice system, including Aboriginal and Torres Strait Islander women.</w:t>
      </w:r>
    </w:p>
    <w:p w:rsidR="00876BA0" w:rsidRPr="00876BA0" w:rsidRDefault="00876BA0" w:rsidP="00B63A54">
      <w:pPr>
        <w:pStyle w:val="SubmissionNormal"/>
        <w:numPr>
          <w:ilvl w:val="0"/>
          <w:numId w:val="19"/>
        </w:numPr>
        <w:spacing w:before="120" w:after="120"/>
        <w:ind w:left="426" w:hanging="357"/>
        <w:rPr>
          <w:b/>
        </w:rPr>
      </w:pPr>
      <w:r w:rsidRPr="00464D54">
        <w:rPr>
          <w:b/>
        </w:rPr>
        <w:t>Information on steps taken by the Australian Government to support Aboriginal and Torres Strait Islander women, children and their families to stay together and to reduce high rates of contact with the child protection system.</w:t>
      </w:r>
    </w:p>
    <w:p w:rsidR="00876BA0" w:rsidRPr="00876BA0" w:rsidRDefault="00876BA0" w:rsidP="00B63A54">
      <w:pPr>
        <w:pStyle w:val="SubmissionNormal"/>
        <w:numPr>
          <w:ilvl w:val="0"/>
          <w:numId w:val="19"/>
        </w:numPr>
        <w:spacing w:before="120" w:after="120"/>
        <w:ind w:left="426" w:hanging="357"/>
        <w:rPr>
          <w:b/>
        </w:rPr>
      </w:pPr>
      <w:r w:rsidRPr="00464D54">
        <w:rPr>
          <w:b/>
        </w:rPr>
        <w:t xml:space="preserve">Information on </w:t>
      </w:r>
      <w:r>
        <w:rPr>
          <w:b/>
        </w:rPr>
        <w:t>State, Territory and F</w:t>
      </w:r>
      <w:r w:rsidRPr="00464D54">
        <w:rPr>
          <w:b/>
        </w:rPr>
        <w:t xml:space="preserve">ederal Government’s responses to the recommendations of the Royal Commission into the Protection and Detention of Children in the Northern Territory, and the Royal Commission into Institutional Responses to Child Sexual Abuse, particularly as they relate to child protection issues. </w:t>
      </w:r>
    </w:p>
    <w:p w:rsidR="00CF62F6" w:rsidRPr="00CF62F6" w:rsidRDefault="00CF62F6" w:rsidP="00B63A54">
      <w:pPr>
        <w:pStyle w:val="SubmissionNormal"/>
        <w:numPr>
          <w:ilvl w:val="0"/>
          <w:numId w:val="19"/>
        </w:numPr>
        <w:spacing w:before="120" w:after="120"/>
        <w:ind w:left="426" w:hanging="357"/>
        <w:rPr>
          <w:b/>
        </w:rPr>
      </w:pPr>
      <w:r w:rsidRPr="00464D54">
        <w:rPr>
          <w:b/>
        </w:rPr>
        <w:t xml:space="preserve">Information on consideration of changes </w:t>
      </w:r>
      <w:r>
        <w:rPr>
          <w:b/>
        </w:rPr>
        <w:t xml:space="preserve">to </w:t>
      </w:r>
      <w:r w:rsidRPr="00CF62F6">
        <w:rPr>
          <w:b/>
        </w:rPr>
        <w:t>the Cashless Debit Card model to an opt-in welfare income management measure, which is community-led.</w:t>
      </w:r>
    </w:p>
    <w:p w:rsidR="00CF62F6" w:rsidRPr="00CF62F6" w:rsidRDefault="00CF62F6" w:rsidP="00B63A54">
      <w:pPr>
        <w:pStyle w:val="SubmissionNormal"/>
        <w:numPr>
          <w:ilvl w:val="0"/>
          <w:numId w:val="19"/>
        </w:numPr>
        <w:spacing w:before="120" w:after="120"/>
        <w:ind w:left="426" w:hanging="357"/>
        <w:rPr>
          <w:b/>
        </w:rPr>
      </w:pPr>
      <w:r w:rsidRPr="00CF62F6">
        <w:rPr>
          <w:b/>
        </w:rPr>
        <w:t>Information on measures to prevent family separation resulting from immigration policies.</w:t>
      </w:r>
    </w:p>
    <w:p w:rsidR="00CF62F6" w:rsidRPr="00CF62F6" w:rsidRDefault="00CF62F6" w:rsidP="00B63A54">
      <w:pPr>
        <w:pStyle w:val="SubmissionNormal"/>
        <w:numPr>
          <w:ilvl w:val="0"/>
          <w:numId w:val="19"/>
        </w:numPr>
        <w:spacing w:before="120" w:after="120"/>
        <w:ind w:left="426" w:hanging="357"/>
        <w:rPr>
          <w:b/>
        </w:rPr>
      </w:pPr>
      <w:r w:rsidRPr="00CF62F6">
        <w:rPr>
          <w:b/>
        </w:rPr>
        <w:t>Information on measures to ensure the welfare of vulnerable women and children seeking asylum who will no longer receive government-funded income support and rental assistance.</w:t>
      </w:r>
    </w:p>
    <w:p w:rsidR="00CF62F6" w:rsidRPr="00CF62F6" w:rsidRDefault="00CF62F6" w:rsidP="00B63A54">
      <w:pPr>
        <w:pStyle w:val="SubmissionNormal"/>
        <w:numPr>
          <w:ilvl w:val="0"/>
          <w:numId w:val="19"/>
        </w:numPr>
        <w:spacing w:before="120" w:after="120"/>
        <w:ind w:left="426" w:hanging="357"/>
        <w:rPr>
          <w:b/>
        </w:rPr>
      </w:pPr>
      <w:r w:rsidRPr="00AB412D">
        <w:rPr>
          <w:b/>
        </w:rPr>
        <w:lastRenderedPageBreak/>
        <w:t>Information on the Australian Government’s</w:t>
      </w:r>
      <w:r w:rsidRPr="00CF62F6">
        <w:rPr>
          <w:b/>
        </w:rPr>
        <w:t xml:space="preserve"> </w:t>
      </w:r>
      <w:r w:rsidRPr="00F26EB0">
        <w:rPr>
          <w:b/>
        </w:rPr>
        <w:t xml:space="preserve">efforts to support women in paid </w:t>
      </w:r>
      <w:r>
        <w:rPr>
          <w:b/>
        </w:rPr>
        <w:t xml:space="preserve">work, </w:t>
      </w:r>
      <w:r w:rsidRPr="00F26EB0">
        <w:rPr>
          <w:b/>
        </w:rPr>
        <w:t xml:space="preserve">unpaid </w:t>
      </w:r>
      <w:r>
        <w:rPr>
          <w:b/>
        </w:rPr>
        <w:t>caring roles,</w:t>
      </w:r>
      <w:r w:rsidRPr="00F26EB0">
        <w:rPr>
          <w:b/>
        </w:rPr>
        <w:t xml:space="preserve"> </w:t>
      </w:r>
      <w:r>
        <w:rPr>
          <w:b/>
        </w:rPr>
        <w:t>access to affordable childcare,</w:t>
      </w:r>
      <w:r w:rsidRPr="00F26EB0">
        <w:rPr>
          <w:b/>
        </w:rPr>
        <w:t xml:space="preserve"> </w:t>
      </w:r>
      <w:r>
        <w:rPr>
          <w:b/>
        </w:rPr>
        <w:t xml:space="preserve">paid parental leave </w:t>
      </w:r>
      <w:r w:rsidRPr="00F26EB0">
        <w:rPr>
          <w:b/>
        </w:rPr>
        <w:t xml:space="preserve">and </w:t>
      </w:r>
      <w:r>
        <w:rPr>
          <w:b/>
        </w:rPr>
        <w:t xml:space="preserve">to </w:t>
      </w:r>
      <w:r w:rsidRPr="00F26EB0">
        <w:rPr>
          <w:b/>
        </w:rPr>
        <w:t>reduce gender gaps in workforce participation, wages and retirement incomes and savings.</w:t>
      </w:r>
    </w:p>
    <w:p w:rsidR="00CF62F6" w:rsidRPr="00CF62F6" w:rsidRDefault="00CF62F6" w:rsidP="00B63A54">
      <w:pPr>
        <w:pStyle w:val="SubmissionNormal"/>
        <w:numPr>
          <w:ilvl w:val="0"/>
          <w:numId w:val="19"/>
        </w:numPr>
        <w:spacing w:before="120" w:after="120"/>
        <w:ind w:left="426" w:hanging="357"/>
        <w:rPr>
          <w:b/>
        </w:rPr>
      </w:pPr>
      <w:r>
        <w:rPr>
          <w:b/>
        </w:rPr>
        <w:t>Information on future</w:t>
      </w:r>
      <w:r w:rsidRPr="00EA3D41">
        <w:rPr>
          <w:b/>
        </w:rPr>
        <w:t xml:space="preserve"> iteration</w:t>
      </w:r>
      <w:r>
        <w:rPr>
          <w:b/>
        </w:rPr>
        <w:t>s</w:t>
      </w:r>
      <w:r w:rsidRPr="00EA3D41">
        <w:rPr>
          <w:b/>
        </w:rPr>
        <w:t xml:space="preserve"> of the ABS Time Use study, </w:t>
      </w:r>
      <w:r>
        <w:rPr>
          <w:b/>
        </w:rPr>
        <w:t xml:space="preserve">to collect </w:t>
      </w:r>
      <w:r w:rsidRPr="00EA3D41">
        <w:rPr>
          <w:b/>
        </w:rPr>
        <w:t>accurate data concerning the extent and distribution of unpaid work and its intersection with paid work</w:t>
      </w:r>
      <w:r>
        <w:rPr>
          <w:b/>
        </w:rPr>
        <w:t xml:space="preserve">. </w:t>
      </w:r>
    </w:p>
    <w:p w:rsidR="00380D87" w:rsidRPr="00380D87" w:rsidRDefault="00380D87" w:rsidP="00B63A54">
      <w:pPr>
        <w:pStyle w:val="SubmissionNormal"/>
        <w:numPr>
          <w:ilvl w:val="0"/>
          <w:numId w:val="19"/>
        </w:numPr>
        <w:spacing w:before="120" w:after="120"/>
        <w:ind w:left="426" w:hanging="357"/>
        <w:rPr>
          <w:b/>
        </w:rPr>
      </w:pPr>
      <w:r w:rsidRPr="00132E90">
        <w:rPr>
          <w:b/>
        </w:rPr>
        <w:t xml:space="preserve">Information on </w:t>
      </w:r>
      <w:r>
        <w:rPr>
          <w:b/>
        </w:rPr>
        <w:t>specific actions</w:t>
      </w:r>
      <w:r w:rsidRPr="00132E90">
        <w:rPr>
          <w:b/>
        </w:rPr>
        <w:t xml:space="preserve"> to </w:t>
      </w:r>
      <w:r w:rsidRPr="00132E90">
        <w:rPr>
          <w:rFonts w:cs="Arial"/>
          <w:b/>
        </w:rPr>
        <w:t>reduce gender segregation in Australian workplaces</w:t>
      </w:r>
      <w:r>
        <w:rPr>
          <w:rFonts w:cs="Arial"/>
          <w:b/>
        </w:rPr>
        <w:t xml:space="preserve">. </w:t>
      </w:r>
    </w:p>
    <w:p w:rsidR="00BC478F" w:rsidRPr="00380D87" w:rsidRDefault="00BC478F" w:rsidP="00B63A54">
      <w:pPr>
        <w:pStyle w:val="SubmissionNormal"/>
        <w:numPr>
          <w:ilvl w:val="0"/>
          <w:numId w:val="19"/>
        </w:numPr>
        <w:spacing w:before="120" w:after="120"/>
        <w:ind w:left="426" w:hanging="357"/>
        <w:rPr>
          <w:b/>
        </w:rPr>
      </w:pPr>
      <w:r>
        <w:rPr>
          <w:b/>
        </w:rPr>
        <w:t>Information on the Australian G</w:t>
      </w:r>
      <w:bookmarkStart w:id="43" w:name="_GoBack"/>
      <w:bookmarkEnd w:id="43"/>
      <w:r>
        <w:rPr>
          <w:b/>
        </w:rPr>
        <w:t xml:space="preserve">overnment’s </w:t>
      </w:r>
      <w:r w:rsidRPr="00E71CF0">
        <w:rPr>
          <w:b/>
        </w:rPr>
        <w:t>support</w:t>
      </w:r>
      <w:r>
        <w:rPr>
          <w:b/>
        </w:rPr>
        <w:t xml:space="preserve"> for</w:t>
      </w:r>
      <w:r w:rsidRPr="00E71CF0">
        <w:rPr>
          <w:b/>
        </w:rPr>
        <w:t xml:space="preserve"> workplaces to introduce and implement </w:t>
      </w:r>
      <w:r>
        <w:rPr>
          <w:b/>
        </w:rPr>
        <w:t>FDV</w:t>
      </w:r>
      <w:r w:rsidRPr="00E71CF0">
        <w:rPr>
          <w:b/>
        </w:rPr>
        <w:t xml:space="preserve"> policies and programs.</w:t>
      </w:r>
    </w:p>
    <w:p w:rsidR="00BC478F" w:rsidRPr="00380D87" w:rsidRDefault="00BC478F" w:rsidP="00B63A54">
      <w:pPr>
        <w:pStyle w:val="SubmissionNormal"/>
        <w:numPr>
          <w:ilvl w:val="0"/>
          <w:numId w:val="19"/>
        </w:numPr>
        <w:spacing w:before="120" w:after="120"/>
        <w:ind w:left="426" w:hanging="357"/>
        <w:rPr>
          <w:b/>
        </w:rPr>
      </w:pPr>
      <w:r>
        <w:rPr>
          <w:b/>
        </w:rPr>
        <w:t>Information on including FDV leave in the National Employment Standards and modern awards.</w:t>
      </w:r>
    </w:p>
    <w:p w:rsidR="00BC478F" w:rsidRPr="00380D87" w:rsidRDefault="00BC478F" w:rsidP="00B63A54">
      <w:pPr>
        <w:pStyle w:val="SubmissionNormal"/>
        <w:numPr>
          <w:ilvl w:val="0"/>
          <w:numId w:val="19"/>
        </w:numPr>
        <w:spacing w:before="120" w:after="120"/>
        <w:ind w:left="426" w:hanging="357"/>
        <w:rPr>
          <w:b/>
        </w:rPr>
      </w:pPr>
      <w:r>
        <w:rPr>
          <w:b/>
        </w:rPr>
        <w:t>Information on recognising</w:t>
      </w:r>
      <w:r w:rsidRPr="00966DE3">
        <w:rPr>
          <w:b/>
        </w:rPr>
        <w:t xml:space="preserve"> </w:t>
      </w:r>
      <w:r>
        <w:rPr>
          <w:b/>
        </w:rPr>
        <w:t>FDV</w:t>
      </w:r>
      <w:r w:rsidRPr="00966DE3">
        <w:rPr>
          <w:b/>
        </w:rPr>
        <w:t xml:space="preserve"> as a protected attribute within existing anti-discrimination legislation and federal employment laws</w:t>
      </w:r>
      <w:r>
        <w:rPr>
          <w:b/>
        </w:rPr>
        <w:t xml:space="preserve">. </w:t>
      </w:r>
    </w:p>
    <w:p w:rsidR="00BC478F" w:rsidRDefault="00BC478F" w:rsidP="00B63A54">
      <w:pPr>
        <w:pStyle w:val="SubmissionNormal"/>
        <w:numPr>
          <w:ilvl w:val="0"/>
          <w:numId w:val="19"/>
        </w:numPr>
        <w:spacing w:before="120" w:after="120"/>
        <w:ind w:left="426" w:hanging="357"/>
        <w:rPr>
          <w:b/>
        </w:rPr>
      </w:pPr>
      <w:r w:rsidRPr="00B4064F">
        <w:rPr>
          <w:b/>
        </w:rPr>
        <w:t>Information on efforts to</w:t>
      </w:r>
      <w:r>
        <w:rPr>
          <w:b/>
        </w:rPr>
        <w:t>:</w:t>
      </w:r>
      <w:r w:rsidRPr="00B4064F">
        <w:rPr>
          <w:b/>
        </w:rPr>
        <w:t xml:space="preserve"> </w:t>
      </w:r>
    </w:p>
    <w:p w:rsidR="00BC478F" w:rsidRDefault="00BC478F" w:rsidP="00B63A54">
      <w:pPr>
        <w:pStyle w:val="SubmissionNormal"/>
        <w:numPr>
          <w:ilvl w:val="1"/>
          <w:numId w:val="19"/>
        </w:numPr>
        <w:spacing w:before="120" w:after="120"/>
        <w:ind w:left="993" w:hanging="357"/>
        <w:rPr>
          <w:b/>
        </w:rPr>
      </w:pPr>
      <w:r>
        <w:rPr>
          <w:b/>
        </w:rPr>
        <w:t>I</w:t>
      </w:r>
      <w:r w:rsidRPr="00B4064F">
        <w:rPr>
          <w:b/>
        </w:rPr>
        <w:t xml:space="preserve">mprove access to paid parental leave, including extending paid leave to fathers/partners </w:t>
      </w:r>
    </w:p>
    <w:p w:rsidR="00BC478F" w:rsidRDefault="00BC478F" w:rsidP="00B63A54">
      <w:pPr>
        <w:pStyle w:val="SubmissionNormal"/>
        <w:numPr>
          <w:ilvl w:val="1"/>
          <w:numId w:val="19"/>
        </w:numPr>
        <w:spacing w:before="120" w:after="120"/>
        <w:ind w:left="993" w:hanging="357"/>
        <w:rPr>
          <w:b/>
        </w:rPr>
      </w:pPr>
      <w:r>
        <w:rPr>
          <w:b/>
        </w:rPr>
        <w:t>Review the qualifying period for leave</w:t>
      </w:r>
    </w:p>
    <w:p w:rsidR="00BC478F" w:rsidRDefault="00BC478F" w:rsidP="00B63A54">
      <w:pPr>
        <w:pStyle w:val="SubmissionNormal"/>
        <w:numPr>
          <w:ilvl w:val="1"/>
          <w:numId w:val="19"/>
        </w:numPr>
        <w:spacing w:before="120" w:after="120"/>
        <w:ind w:left="993" w:hanging="357"/>
        <w:rPr>
          <w:b/>
        </w:rPr>
      </w:pPr>
      <w:r w:rsidRPr="00B4064F">
        <w:rPr>
          <w:b/>
        </w:rPr>
        <w:t>Provide superannuation entitlements as part of paid leave</w:t>
      </w:r>
      <w:r>
        <w:rPr>
          <w:b/>
        </w:rPr>
        <w:t xml:space="preserve">, and </w:t>
      </w:r>
    </w:p>
    <w:p w:rsidR="00BC478F" w:rsidRPr="00BC478F" w:rsidRDefault="00BC478F" w:rsidP="00B63A54">
      <w:pPr>
        <w:pStyle w:val="SubmissionNormal"/>
        <w:numPr>
          <w:ilvl w:val="1"/>
          <w:numId w:val="19"/>
        </w:numPr>
        <w:spacing w:before="120" w:after="120"/>
        <w:ind w:left="993" w:hanging="357"/>
        <w:rPr>
          <w:b/>
        </w:rPr>
      </w:pPr>
      <w:r>
        <w:rPr>
          <w:b/>
        </w:rPr>
        <w:t>Allow for greater flexibility in how and when to take the leave</w:t>
      </w:r>
      <w:r w:rsidRPr="00B4064F">
        <w:rPr>
          <w:b/>
        </w:rPr>
        <w:t xml:space="preserve">. </w:t>
      </w:r>
    </w:p>
    <w:p w:rsidR="005F344B" w:rsidRPr="00CD63B6" w:rsidRDefault="005F344B" w:rsidP="00B63A54">
      <w:pPr>
        <w:pStyle w:val="SubmissionNormal"/>
        <w:numPr>
          <w:ilvl w:val="0"/>
          <w:numId w:val="19"/>
        </w:numPr>
        <w:spacing w:before="120" w:after="120"/>
        <w:ind w:left="426" w:hanging="357"/>
        <w:rPr>
          <w:b/>
          <w:color w:val="231F20"/>
        </w:rPr>
      </w:pPr>
      <w:r w:rsidRPr="00CD63B6">
        <w:rPr>
          <w:b/>
          <w:color w:val="231F20"/>
        </w:rPr>
        <w:t>Information on the progress of</w:t>
      </w:r>
      <w:r>
        <w:rPr>
          <w:b/>
          <w:color w:val="231F20"/>
        </w:rPr>
        <w:t xml:space="preserve"> </w:t>
      </w:r>
      <w:r w:rsidRPr="00CD63B6">
        <w:rPr>
          <w:b/>
        </w:rPr>
        <w:t>cultural</w:t>
      </w:r>
      <w:r w:rsidRPr="00CD63B6">
        <w:rPr>
          <w:b/>
          <w:color w:val="231F20"/>
        </w:rPr>
        <w:t xml:space="preserve"> reform and the participation of women in the ADF</w:t>
      </w:r>
      <w:r>
        <w:rPr>
          <w:b/>
          <w:color w:val="231F20"/>
        </w:rPr>
        <w:t>, and of removing the relevant reservation to CEDAW.</w:t>
      </w:r>
    </w:p>
    <w:p w:rsidR="00EB6A76" w:rsidRPr="00BF3786" w:rsidRDefault="00EB6A76" w:rsidP="005F344B">
      <w:pPr>
        <w:rPr>
          <w:color w:val="FF0000"/>
        </w:rPr>
      </w:pPr>
    </w:p>
    <w:sectPr w:rsidR="00EB6A76" w:rsidRPr="00BF3786" w:rsidSect="00B63D24">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C7" w:rsidRDefault="00414DC7" w:rsidP="00F14C6D">
      <w:r>
        <w:separator/>
      </w:r>
    </w:p>
  </w:endnote>
  <w:endnote w:type="continuationSeparator" w:id="0">
    <w:p w:rsidR="00414DC7" w:rsidRDefault="00414DC7" w:rsidP="00F14C6D">
      <w:r>
        <w:continuationSeparator/>
      </w:r>
    </w:p>
  </w:endnote>
  <w:endnote w:id="1">
    <w:p w:rsidR="00414DC7" w:rsidRDefault="00414DC7">
      <w:pPr>
        <w:pStyle w:val="EndnoteText"/>
      </w:pPr>
      <w:r>
        <w:rPr>
          <w:rStyle w:val="EndnoteReference"/>
        </w:rPr>
        <w:endnoteRef/>
      </w:r>
      <w:r>
        <w:t xml:space="preserve"> The submission has been presented according to selected thematic issues identified in the Committee’s </w:t>
      </w:r>
      <w:r w:rsidRPr="002D75E8">
        <w:rPr>
          <w:i/>
        </w:rPr>
        <w:t>Concluding Observations on Australia’s sixth and seventh reports to the Committee</w:t>
      </w:r>
      <w:r>
        <w:t xml:space="preserve"> (UN Doc: CEDAW/C/AUL/CO/7), where they remain relevant.</w:t>
      </w:r>
    </w:p>
    <w:p w:rsidR="00414DC7" w:rsidRDefault="00414DC7">
      <w:pPr>
        <w:pStyle w:val="EndnoteText"/>
      </w:pPr>
      <w:r>
        <w:t>The Committee on the Elimination of Discrimination against Women considered the combined sixth and seventh report of Australia on the implementation of the Convention on the Elimination of All Forms of Discrimination against Women at its 935</w:t>
      </w:r>
      <w:r w:rsidRPr="00E20446">
        <w:rPr>
          <w:vertAlign w:val="superscript"/>
        </w:rPr>
        <w:t>th</w:t>
      </w:r>
      <w:r>
        <w:t xml:space="preserve"> and 936</w:t>
      </w:r>
      <w:r w:rsidRPr="00E20446">
        <w:rPr>
          <w:vertAlign w:val="superscript"/>
        </w:rPr>
        <w:t>th</w:t>
      </w:r>
      <w:r>
        <w:t xml:space="preserve"> meetings, on 20 July 2010. </w:t>
      </w:r>
    </w:p>
  </w:endnote>
  <w:endnote w:id="2">
    <w:p w:rsidR="00414DC7" w:rsidRDefault="00414DC7" w:rsidP="00466BB1">
      <w:pPr>
        <w:pStyle w:val="EndnoteText"/>
      </w:pPr>
      <w:r>
        <w:rPr>
          <w:rStyle w:val="EndnoteReference"/>
        </w:rPr>
        <w:endnoteRef/>
      </w:r>
      <w:r>
        <w:t xml:space="preserve"> In particular, the Commission draws on recommendations from the following submissions and reports: </w:t>
      </w:r>
      <w:r w:rsidRPr="00D920A1">
        <w:t xml:space="preserve">Australian Human Rights Commission, Violence against women in Australia - Submission to the Special Rapporteur on violence against women, country visit to Australia, 20 January 2017. At </w:t>
      </w:r>
      <w:hyperlink r:id="rId1" w:history="1">
        <w:r w:rsidRPr="00D920A1">
          <w:rPr>
            <w:rStyle w:val="Hyperlink"/>
          </w:rPr>
          <w:t>https://www.humanrights.gov.au/submissions/violence-against-women-australia-2017</w:t>
        </w:r>
      </w:hyperlink>
      <w:r w:rsidRPr="00D920A1">
        <w:t xml:space="preserve"> (viewed </w:t>
      </w:r>
      <w:r>
        <w:t xml:space="preserve">13 September 2017). Australian Human Rights Commission, Submission No 35 to the Senate Finance and Public Administration References Committee, </w:t>
      </w:r>
      <w:r w:rsidRPr="003D13F4">
        <w:rPr>
          <w:i/>
        </w:rPr>
        <w:t>inquiry into gender segregation in the workplace and its impact on women’s economic equality</w:t>
      </w:r>
      <w:r>
        <w:t xml:space="preserve">, 6 March 2017. At: </w:t>
      </w:r>
      <w:hyperlink r:id="rId2" w:history="1">
        <w:r w:rsidRPr="00415E6D">
          <w:rPr>
            <w:rStyle w:val="Hyperlink"/>
          </w:rPr>
          <w:t>https://www.humanrights.gov.au/submissions/gender-segregation-workplace-and-its-impact-women-s-economic-equality</w:t>
        </w:r>
      </w:hyperlink>
      <w:r>
        <w:t xml:space="preserve"> (viewed 13 September 2017). Australian Human Rights Commission, Submission No 104 to the Senate Community Affairs Legislation Committee</w:t>
      </w:r>
      <w:r w:rsidRPr="005552A3">
        <w:rPr>
          <w:i/>
        </w:rPr>
        <w:t>, Inquiry into the Fairer Paid Parental Leave Bill 2016</w:t>
      </w:r>
      <w:r>
        <w:t xml:space="preserve">, January 2017. At: </w:t>
      </w:r>
      <w:hyperlink r:id="rId3" w:history="1">
        <w:r w:rsidRPr="0003196C">
          <w:rPr>
            <w:rStyle w:val="Hyperlink"/>
          </w:rPr>
          <w:t>http://www.aph.gov.au/Parliamentary_Business/Committees/Senate/Community_Affairs/FairerParentalLeave2016/Submissions</w:t>
        </w:r>
      </w:hyperlink>
      <w:r>
        <w:t xml:space="preserve"> (viewed 18 September 2017). </w:t>
      </w:r>
      <w:r w:rsidRPr="00D920A1">
        <w:t xml:space="preserve">Australian Human Rights Commission, Submission No 41 to the Senate Finance and Public Administration References Committee, Parliament of Australia, </w:t>
      </w:r>
      <w:r w:rsidRPr="00D920A1">
        <w:rPr>
          <w:i/>
        </w:rPr>
        <w:t>Inquiry into domestic violence and gender inequality</w:t>
      </w:r>
      <w:r w:rsidRPr="00D920A1">
        <w:t xml:space="preserve">, 4 March 2016. At </w:t>
      </w:r>
      <w:hyperlink r:id="rId4" w:history="1">
        <w:r w:rsidRPr="00D920A1">
          <w:rPr>
            <w:rStyle w:val="Hyperlink"/>
          </w:rPr>
          <w:t>http://www.aph.gov.au/DocumentStore.ashx?id=616c80fd-9f8d-4f90-8e71-202e8bea67f8&amp;subId=411685</w:t>
        </w:r>
      </w:hyperlink>
      <w:r w:rsidRPr="00D920A1">
        <w:t xml:space="preserve"> (viewed </w:t>
      </w:r>
      <w:r>
        <w:t xml:space="preserve">13 September 2017). </w:t>
      </w:r>
      <w:r w:rsidRPr="00D920A1">
        <w:t xml:space="preserve">Australian Human Rights Commission, Submission No 23 to the Joint Committee on Law Enforcement, Parliament of Australia, </w:t>
      </w:r>
      <w:r w:rsidRPr="00D920A1">
        <w:rPr>
          <w:i/>
        </w:rPr>
        <w:t>Inquiry into Human Trafficking</w:t>
      </w:r>
      <w:r w:rsidRPr="00D920A1">
        <w:t>,</w:t>
      </w:r>
      <w:r w:rsidRPr="00D920A1">
        <w:rPr>
          <w:i/>
        </w:rPr>
        <w:t xml:space="preserve"> </w:t>
      </w:r>
      <w:r w:rsidRPr="00D920A1">
        <w:t xml:space="preserve">4 March 2016. At </w:t>
      </w:r>
      <w:hyperlink r:id="rId5" w:history="1">
        <w:r w:rsidRPr="00D920A1">
          <w:rPr>
            <w:rStyle w:val="Hyperlink"/>
          </w:rPr>
          <w:t>http://www.aph.gov.au/DocumentStore.ashx?id=98e7d00c-885a-46da-a50c-aaf0d19bf6ea&amp;subId=410058</w:t>
        </w:r>
      </w:hyperlink>
      <w:r w:rsidRPr="00D920A1">
        <w:t xml:space="preserve"> (viewed </w:t>
      </w:r>
      <w:r>
        <w:t xml:space="preserve">13 September 2017). </w:t>
      </w:r>
      <w:r w:rsidRPr="00D920A1">
        <w:t xml:space="preserve">Australian Human Rights Commission, Submission to the Fair Work Commission, Commonwealth of Australia, </w:t>
      </w:r>
      <w:r w:rsidRPr="00D920A1">
        <w:rPr>
          <w:i/>
        </w:rPr>
        <w:t>Four yearly review of AM2015/1 Family and domestic violence clause</w:t>
      </w:r>
      <w:r w:rsidRPr="00D920A1">
        <w:t xml:space="preserve">, 5 October 2016. At </w:t>
      </w:r>
      <w:hyperlink r:id="rId6" w:history="1">
        <w:r w:rsidRPr="00D920A1">
          <w:rPr>
            <w:rStyle w:val="Hyperlink"/>
          </w:rPr>
          <w:t>https://www.fwc.gov.au/sites/awardsmodernfouryr/common/am2051-sub-ahrc-120516.pdf</w:t>
        </w:r>
      </w:hyperlink>
      <w:r w:rsidRPr="00D920A1">
        <w:t xml:space="preserve"> (viewed </w:t>
      </w:r>
      <w:r>
        <w:t xml:space="preserve">13 September 2017). Australian Human Rights Commission, </w:t>
      </w:r>
      <w:r w:rsidRPr="006E14F0">
        <w:rPr>
          <w:rFonts w:cs="Arial"/>
          <w:i/>
        </w:rPr>
        <w:t>Change the course: National report on sexual assault and sexual harassment at Australian universities</w:t>
      </w:r>
      <w:r>
        <w:rPr>
          <w:rFonts w:cs="Arial"/>
        </w:rPr>
        <w:t>, 1 August 2017.</w:t>
      </w:r>
      <w:r>
        <w:t xml:space="preserve"> At </w:t>
      </w:r>
      <w:hyperlink r:id="rId7" w:history="1">
        <w:r w:rsidRPr="00BE4FDE">
          <w:rPr>
            <w:rStyle w:val="Hyperlink"/>
          </w:rPr>
          <w:t>https://www.humanrights.gov.au/news/stories/report-shines-light-universities</w:t>
        </w:r>
      </w:hyperlink>
      <w:r>
        <w:t xml:space="preserve"> (viewed 13 September 2017). Australian Human Rights Commission, Know the Line campaign. At: </w:t>
      </w:r>
      <w:hyperlink r:id="rId8" w:history="1">
        <w:r w:rsidRPr="0043095B">
          <w:rPr>
            <w:rStyle w:val="Hyperlink"/>
          </w:rPr>
          <w:t>http://knowtheline.humanrights.gov.au</w:t>
        </w:r>
      </w:hyperlink>
      <w:r>
        <w:t xml:space="preserve"> (viewed 7 August 2017); Australian Human Rights Commission, </w:t>
      </w:r>
      <w:r w:rsidRPr="00A142C1">
        <w:rPr>
          <w:i/>
        </w:rPr>
        <w:t>Supporting Working Parents: Pregnancy and Return to Work National Review – Report</w:t>
      </w:r>
      <w:r>
        <w:t xml:space="preserve">, 2015, At: </w:t>
      </w:r>
      <w:hyperlink r:id="rId9" w:history="1">
        <w:r w:rsidRPr="00696FEB">
          <w:rPr>
            <w:rStyle w:val="Hyperlink"/>
          </w:rPr>
          <w:t>https://www.humanrights.gov.au/our-work/sex-discrimination/publications/supporting-working-parents-pregnancy-and-return-work</w:t>
        </w:r>
      </w:hyperlink>
      <w:r>
        <w:t xml:space="preserve"> (viewed 18 September 2017); Australian Human Rights Commission, </w:t>
      </w:r>
      <w:r w:rsidRPr="002A451B">
        <w:rPr>
          <w:i/>
        </w:rPr>
        <w:t xml:space="preserve">Working without fear: Results of the Sexual Harassment National Telephone Survey </w:t>
      </w:r>
      <w:r>
        <w:t xml:space="preserve">(2012) 12. At </w:t>
      </w:r>
      <w:hyperlink r:id="rId10" w:history="1">
        <w:r w:rsidRPr="0043095B">
          <w:rPr>
            <w:rStyle w:val="Hyperlink"/>
          </w:rPr>
          <w:t>https://www.humanrights.gov.au/our-work/sex-discrimination/projects/working-without-fear-results-sexual-harassment-national</w:t>
        </w:r>
      </w:hyperlink>
      <w:r>
        <w:t xml:space="preserve"> (viewed 13 September 2017). </w:t>
      </w:r>
      <w:r w:rsidRPr="00D920A1">
        <w:t xml:space="preserve">Australian Human Rights Commission, </w:t>
      </w:r>
      <w:r w:rsidRPr="00D920A1">
        <w:rPr>
          <w:i/>
        </w:rPr>
        <w:t>Report on the Review into the Treatment of Women in the Australian Defence Force Academy: Phase 1 of the Review into the Treatment of Women</w:t>
      </w:r>
      <w:r>
        <w:rPr>
          <w:i/>
        </w:rPr>
        <w:t xml:space="preserve"> </w:t>
      </w:r>
      <w:r w:rsidRPr="00D920A1">
        <w:rPr>
          <w:i/>
        </w:rPr>
        <w:t>in the Australian Defence Force</w:t>
      </w:r>
      <w:r>
        <w:t>, 2011</w:t>
      </w:r>
      <w:r w:rsidRPr="00D920A1">
        <w:t xml:space="preserve">. At </w:t>
      </w:r>
      <w:hyperlink r:id="rId11" w:history="1">
        <w:r w:rsidRPr="00D920A1">
          <w:rPr>
            <w:rStyle w:val="Hyperlink"/>
          </w:rPr>
          <w:t>http://defencereview.humanrights.gov.au/report-review-treatment-women-australian-defence-force-academy</w:t>
        </w:r>
      </w:hyperlink>
      <w:r w:rsidRPr="00D920A1">
        <w:t xml:space="preserve"> (viewed 11 January 2017); Australian Human Rights Commission, </w:t>
      </w:r>
      <w:r w:rsidRPr="00D920A1">
        <w:rPr>
          <w:i/>
        </w:rPr>
        <w:t>Report on the Review into the Treatment of Women in the Australian Defence Force: Phase 2 of the Review into the Treatment of Women in the Australian Defence Force</w:t>
      </w:r>
      <w:r>
        <w:t>, 2012</w:t>
      </w:r>
      <w:r w:rsidRPr="00D920A1">
        <w:t xml:space="preserve">. At </w:t>
      </w:r>
      <w:hyperlink r:id="rId12" w:history="1">
        <w:r w:rsidRPr="00D920A1">
          <w:rPr>
            <w:rStyle w:val="Hyperlink"/>
          </w:rPr>
          <w:t>http://defencereview.humanrights.gov.au/report-review-treatment-women-australian-defence-force</w:t>
        </w:r>
      </w:hyperlink>
      <w:r w:rsidRPr="00D920A1">
        <w:t xml:space="preserve"> (viewed </w:t>
      </w:r>
      <w:r>
        <w:t>13 September</w:t>
      </w:r>
      <w:r w:rsidRPr="00D920A1">
        <w:t xml:space="preserve"> 2017).</w:t>
      </w:r>
      <w:r w:rsidRPr="00466BB1">
        <w:t xml:space="preserve"> </w:t>
      </w:r>
      <w:r>
        <w:t xml:space="preserve">Australian Human Rights Commission, </w:t>
      </w:r>
      <w:r w:rsidRPr="00D21C0F">
        <w:rPr>
          <w:i/>
        </w:rPr>
        <w:t xml:space="preserve">A National System for </w:t>
      </w:r>
      <w:r>
        <w:rPr>
          <w:i/>
        </w:rPr>
        <w:t>Family and domestic violence</w:t>
      </w:r>
      <w:r w:rsidRPr="00D21C0F">
        <w:rPr>
          <w:i/>
        </w:rPr>
        <w:t xml:space="preserve"> Death Review</w:t>
      </w:r>
      <w:r>
        <w:t xml:space="preserve">, December 2016. At: </w:t>
      </w:r>
      <w:hyperlink r:id="rId13" w:history="1">
        <w:r w:rsidRPr="00B61033">
          <w:rPr>
            <w:rStyle w:val="Hyperlink"/>
          </w:rPr>
          <w:t>https://www.humanrights.gov.au/our-work/family-and-domestic-violence/publications/national-system-domestic-and-family-violence</w:t>
        </w:r>
      </w:hyperlink>
      <w:r>
        <w:t xml:space="preserve"> (accessed 13 September 2017).</w:t>
      </w:r>
      <w:r w:rsidRPr="003F7F30">
        <w:t xml:space="preserve"> </w:t>
      </w:r>
      <w:r>
        <w:t xml:space="preserve">Australian Human Rights Commission, </w:t>
      </w:r>
      <w:r w:rsidRPr="001B2C3C">
        <w:rPr>
          <w:i/>
        </w:rPr>
        <w:t>A conversation in gender equality</w:t>
      </w:r>
      <w:r>
        <w:t xml:space="preserve">, March 2017. At: </w:t>
      </w:r>
      <w:hyperlink r:id="rId14" w:history="1">
        <w:r w:rsidRPr="00415E6D">
          <w:rPr>
            <w:rStyle w:val="Hyperlink"/>
          </w:rPr>
          <w:t>https://www.humanrights.gov.au/our-work/sex-discrimination/projects/conversation-gender-equality-2017</w:t>
        </w:r>
      </w:hyperlink>
      <w:r>
        <w:t xml:space="preserve"> (viewed 13 September 2017).</w:t>
      </w:r>
    </w:p>
  </w:endnote>
  <w:endnote w:id="3">
    <w:p w:rsidR="00414DC7" w:rsidRDefault="00414DC7">
      <w:pPr>
        <w:pStyle w:val="EndnoteText"/>
      </w:pPr>
      <w:r>
        <w:rPr>
          <w:rStyle w:val="EndnoteReference"/>
        </w:rPr>
        <w:endnoteRef/>
      </w:r>
      <w:r>
        <w:t xml:space="preserve"> Australian Human Rights Commission, </w:t>
      </w:r>
      <w:r w:rsidRPr="001B2C3C">
        <w:rPr>
          <w:i/>
        </w:rPr>
        <w:t>A conversation in gender equality</w:t>
      </w:r>
      <w:r>
        <w:t xml:space="preserve">, March 2017. At: </w:t>
      </w:r>
      <w:hyperlink r:id="rId15" w:history="1">
        <w:r w:rsidRPr="00415E6D">
          <w:rPr>
            <w:rStyle w:val="Hyperlink"/>
          </w:rPr>
          <w:t>https://www.humanrights.gov.au/our-work/sex-discrimination/projects/conversation-gender-equality-2017</w:t>
        </w:r>
      </w:hyperlink>
      <w:r>
        <w:t xml:space="preserve"> (viewed 13 September 2017). </w:t>
      </w:r>
    </w:p>
  </w:endnote>
  <w:endnote w:id="4">
    <w:p w:rsidR="00414DC7" w:rsidRDefault="00414DC7" w:rsidP="0005338E">
      <w:pPr>
        <w:pStyle w:val="EndnoteText"/>
      </w:pPr>
      <w:r>
        <w:rPr>
          <w:rStyle w:val="EndnoteReference"/>
        </w:rPr>
        <w:endnoteRef/>
      </w:r>
      <w:r>
        <w:t xml:space="preserve"> Australian Bureau of Statistics, Personal Safety Survey, 2012. At: </w:t>
      </w:r>
      <w:hyperlink r:id="rId16" w:history="1">
        <w:r w:rsidRPr="00415E6D">
          <w:rPr>
            <w:rStyle w:val="Hyperlink"/>
          </w:rPr>
          <w:t>http://www.abs.gov.au/ausstats/abs@.nsf/mf/4906.0</w:t>
        </w:r>
      </w:hyperlink>
      <w:r>
        <w:t xml:space="preserve"> (viewed 13 September 2017). See also factsheet at: </w:t>
      </w:r>
      <w:hyperlink r:id="rId17" w:history="1">
        <w:r w:rsidRPr="00ED565C">
          <w:rPr>
            <w:rStyle w:val="Hyperlink"/>
          </w:rPr>
          <w:t>https://anrows.org.au/publications/fast-facts-0/violence-against-women-key-statistics%20</w:t>
        </w:r>
      </w:hyperlink>
      <w:r>
        <w:t xml:space="preserve"> </w:t>
      </w:r>
    </w:p>
  </w:endnote>
  <w:endnote w:id="5">
    <w:p w:rsidR="00414DC7" w:rsidRPr="00594F72" w:rsidRDefault="00414DC7" w:rsidP="003E5316">
      <w:pPr>
        <w:pStyle w:val="EndnoteText"/>
        <w:rPr>
          <w:rFonts w:cs="Arial"/>
          <w:color w:val="000000" w:themeColor="text1"/>
        </w:rPr>
      </w:pPr>
      <w:r w:rsidRPr="00594F72">
        <w:rPr>
          <w:rStyle w:val="EndnoteReference"/>
          <w:rFonts w:cs="Arial"/>
        </w:rPr>
        <w:endnoteRef/>
      </w:r>
      <w:r w:rsidRPr="00594F72">
        <w:rPr>
          <w:rFonts w:cs="Arial"/>
        </w:rPr>
        <w:t xml:space="preserve"> </w:t>
      </w:r>
      <w:r>
        <w:t xml:space="preserve">Workplace Gender Equality Agency, ‘What is the gender pay gap?’ At: </w:t>
      </w:r>
      <w:hyperlink r:id="rId18" w:history="1">
        <w:r w:rsidRPr="00BD7B15">
          <w:rPr>
            <w:rStyle w:val="Hyperlink"/>
          </w:rPr>
          <w:t>https://www.wgea.gov.au/addressing-pay-equity/what-gender-pay-gap</w:t>
        </w:r>
      </w:hyperlink>
      <w:r>
        <w:t xml:space="preserve"> (viewed 12 September 2017).</w:t>
      </w:r>
    </w:p>
  </w:endnote>
  <w:endnote w:id="6">
    <w:p w:rsidR="00414DC7" w:rsidRDefault="00414DC7" w:rsidP="006E0B70">
      <w:pPr>
        <w:pStyle w:val="EndnoteText"/>
      </w:pPr>
      <w:r>
        <w:rPr>
          <w:rStyle w:val="EndnoteReference"/>
        </w:rPr>
        <w:endnoteRef/>
      </w:r>
      <w:r>
        <w:t xml:space="preserve"> Australian Bureau of Statistics, </w:t>
      </w:r>
      <w:r>
        <w:rPr>
          <w:i/>
        </w:rPr>
        <w:t>Gender Indicators, Australia</w:t>
      </w:r>
      <w:r>
        <w:t xml:space="preserve">, 23 February 2016. At: </w:t>
      </w:r>
      <w:hyperlink r:id="rId19" w:history="1">
        <w:r>
          <w:rPr>
            <w:rStyle w:val="Hyperlink"/>
          </w:rPr>
          <w:t>http://www.abs.gov.au/ausstats/abs@.nsf/Lookup/by%20Subject/4125.0~August%202016~Main%20Features~In%20This%20Issue%20~1</w:t>
        </w:r>
      </w:hyperlink>
      <w:r>
        <w:t xml:space="preserve"> </w:t>
      </w:r>
      <w:r w:rsidRPr="0016309C">
        <w:rPr>
          <w:rFonts w:cs="Arial"/>
        </w:rPr>
        <w:t>(viewed 12 September 2017).</w:t>
      </w:r>
    </w:p>
  </w:endnote>
  <w:endnote w:id="7">
    <w:p w:rsidR="00414DC7" w:rsidRDefault="00414DC7" w:rsidP="0016309C">
      <w:pPr>
        <w:pStyle w:val="EndnoteText"/>
      </w:pPr>
      <w:r>
        <w:rPr>
          <w:rStyle w:val="EndnoteReference"/>
        </w:rPr>
        <w:endnoteRef/>
      </w:r>
      <w:r>
        <w:t xml:space="preserve"> </w:t>
      </w:r>
      <w:r w:rsidRPr="0016309C">
        <w:rPr>
          <w:rFonts w:cs="Arial"/>
        </w:rPr>
        <w:t>Australian Bureau of Statistics, 2016 Cens</w:t>
      </w:r>
      <w:r w:rsidR="00594EE8">
        <w:rPr>
          <w:rFonts w:cs="Arial"/>
        </w:rPr>
        <w:t>us Community Profiles Australia.</w:t>
      </w:r>
      <w:r w:rsidRPr="0016309C">
        <w:rPr>
          <w:rFonts w:cs="Arial"/>
        </w:rPr>
        <w:t xml:space="preserve"> At: </w:t>
      </w:r>
      <w:hyperlink r:id="rId20" w:tgtFrame="_blank" w:history="1">
        <w:r w:rsidRPr="0016309C">
          <w:rPr>
            <w:rStyle w:val="Hyperlink"/>
            <w:rFonts w:cs="Arial"/>
            <w:shd w:val="clear" w:color="auto" w:fill="FFFFFF"/>
          </w:rPr>
          <w:t>http://www.censusdata.abs.gov.au/census_services/getproduct/census/2016/communityprofile/036?opendocument</w:t>
        </w:r>
      </w:hyperlink>
      <w:r w:rsidRPr="0016309C">
        <w:rPr>
          <w:rFonts w:cs="Arial"/>
        </w:rPr>
        <w:t xml:space="preserve"> (viewed 12 September 2017).</w:t>
      </w:r>
    </w:p>
  </w:endnote>
  <w:endnote w:id="8">
    <w:p w:rsidR="00414DC7" w:rsidRDefault="00414DC7">
      <w:pPr>
        <w:pStyle w:val="EndnoteText"/>
      </w:pPr>
      <w:r>
        <w:rPr>
          <w:rStyle w:val="EndnoteReference"/>
        </w:rPr>
        <w:endnoteRef/>
      </w:r>
      <w:r>
        <w:t xml:space="preserve"> Australian Bureau of Statistics</w:t>
      </w:r>
      <w:r w:rsidR="00A05487">
        <w:t>,</w:t>
      </w:r>
      <w:r>
        <w:t xml:space="preserve"> </w:t>
      </w:r>
      <w:r w:rsidRPr="00E177FA">
        <w:rPr>
          <w:i/>
        </w:rPr>
        <w:t>Gender Indicators, Australia</w:t>
      </w:r>
      <w:r>
        <w:t xml:space="preserve">, 23 February 2016. At: </w:t>
      </w:r>
      <w:hyperlink r:id="rId21" w:history="1">
        <w:r w:rsidRPr="002A00DD">
          <w:rPr>
            <w:rStyle w:val="Hyperlink"/>
          </w:rPr>
          <w:t>http://www.abs.gov.au/ausstats/abs@.nsf/Lookup/by%20Subject/4125.0~August%202016~Main%20Features~In%20This%20Issue%20~1</w:t>
        </w:r>
      </w:hyperlink>
      <w:r>
        <w:rPr>
          <w:rStyle w:val="Hyperlink"/>
        </w:rPr>
        <w:t xml:space="preserve"> (viewed 13 September 2017). </w:t>
      </w:r>
    </w:p>
  </w:endnote>
  <w:endnote w:id="9">
    <w:p w:rsidR="00414DC7" w:rsidRPr="00594F72" w:rsidRDefault="00414DC7" w:rsidP="00137CA5">
      <w:pPr>
        <w:pStyle w:val="EndnoteText"/>
        <w:rPr>
          <w:rFonts w:cs="Arial"/>
        </w:rPr>
      </w:pPr>
      <w:r w:rsidRPr="00594F72">
        <w:rPr>
          <w:rStyle w:val="EndnoteReference"/>
          <w:rFonts w:cs="Arial"/>
        </w:rPr>
        <w:endnoteRef/>
      </w:r>
      <w:r w:rsidRPr="00594F72">
        <w:rPr>
          <w:rFonts w:cs="Arial"/>
        </w:rPr>
        <w:t xml:space="preserve"> Workplace Gender Equality Agency, </w:t>
      </w:r>
      <w:r w:rsidRPr="00594F72">
        <w:rPr>
          <w:rFonts w:cs="Arial"/>
          <w:i/>
          <w:iCs/>
        </w:rPr>
        <w:t>Australia’s Gender Equality Scorecard: Key Results from the Workpla</w:t>
      </w:r>
      <w:r>
        <w:rPr>
          <w:rFonts w:cs="Arial"/>
          <w:i/>
          <w:iCs/>
        </w:rPr>
        <w:t xml:space="preserve">ce Gender Equality Agency’s 2015-16 Reporting Data, </w:t>
      </w:r>
      <w:r>
        <w:rPr>
          <w:rFonts w:cs="Arial"/>
        </w:rPr>
        <w:t>November 2016</w:t>
      </w:r>
      <w:r w:rsidRPr="00594F72">
        <w:rPr>
          <w:rFonts w:cs="Arial"/>
        </w:rPr>
        <w:t xml:space="preserve">, 4. </w:t>
      </w:r>
      <w:proofErr w:type="gramStart"/>
      <w:r w:rsidRPr="00594F72">
        <w:rPr>
          <w:rFonts w:cs="Arial"/>
        </w:rPr>
        <w:t>At</w:t>
      </w:r>
      <w:proofErr w:type="gramEnd"/>
      <w:r w:rsidRPr="00594F72">
        <w:rPr>
          <w:rFonts w:cs="Arial"/>
        </w:rPr>
        <w:t xml:space="preserve"> </w:t>
      </w:r>
      <w:hyperlink r:id="rId22" w:history="1">
        <w:r w:rsidRPr="00415E6D">
          <w:rPr>
            <w:rStyle w:val="Hyperlink"/>
          </w:rPr>
          <w:t>https://www.wgea.gov.au/sites/default/.../80653_2015-16-gender-equality-scorecard.pdf</w:t>
        </w:r>
      </w:hyperlink>
      <w:r>
        <w:t xml:space="preserve"> </w:t>
      </w:r>
      <w:r w:rsidRPr="00594F72">
        <w:rPr>
          <w:rStyle w:val="Hyperlink"/>
          <w:rFonts w:cs="Arial"/>
          <w:color w:val="000000" w:themeColor="text1"/>
          <w:u w:val="none"/>
        </w:rPr>
        <w:t xml:space="preserve">(viewed </w:t>
      </w:r>
      <w:r>
        <w:rPr>
          <w:rStyle w:val="Hyperlink"/>
          <w:rFonts w:cs="Arial"/>
          <w:color w:val="000000" w:themeColor="text1"/>
          <w:u w:val="none"/>
        </w:rPr>
        <w:t>13 September 2017</w:t>
      </w:r>
      <w:r w:rsidRPr="00594F72">
        <w:rPr>
          <w:rStyle w:val="Hyperlink"/>
          <w:rFonts w:cs="Arial"/>
          <w:color w:val="000000" w:themeColor="text1"/>
          <w:u w:val="none"/>
        </w:rPr>
        <w:t>).</w:t>
      </w:r>
      <w:r w:rsidRPr="00594F72">
        <w:rPr>
          <w:rFonts w:cs="Arial"/>
          <w:color w:val="000000" w:themeColor="text1"/>
        </w:rPr>
        <w:t xml:space="preserve">    </w:t>
      </w:r>
    </w:p>
  </w:endnote>
  <w:endnote w:id="10">
    <w:p w:rsidR="00414DC7" w:rsidRDefault="00414DC7">
      <w:pPr>
        <w:pStyle w:val="EndnoteText"/>
      </w:pPr>
      <w:r>
        <w:rPr>
          <w:rStyle w:val="EndnoteReference"/>
        </w:rPr>
        <w:endnoteRef/>
      </w:r>
      <w:r>
        <w:t xml:space="preserve"> </w:t>
      </w:r>
      <w:r w:rsidRPr="00594F72">
        <w:rPr>
          <w:rFonts w:cs="Arial"/>
        </w:rPr>
        <w:t xml:space="preserve">Workplace Gender Equality Agency, </w:t>
      </w:r>
      <w:r w:rsidRPr="00594F72">
        <w:rPr>
          <w:rFonts w:cs="Arial"/>
          <w:i/>
          <w:iCs/>
        </w:rPr>
        <w:t>Australia’s Gender Equality Scorecard: Key Results from the Workpla</w:t>
      </w:r>
      <w:r>
        <w:rPr>
          <w:rFonts w:cs="Arial"/>
          <w:i/>
          <w:iCs/>
        </w:rPr>
        <w:t xml:space="preserve">ce Gender Equality Agency’s 2015-16 Reporting Data, </w:t>
      </w:r>
      <w:r>
        <w:rPr>
          <w:rFonts w:cs="Arial"/>
        </w:rPr>
        <w:t>November 2016</w:t>
      </w:r>
      <w:r w:rsidRPr="00594F72">
        <w:rPr>
          <w:rFonts w:cs="Arial"/>
        </w:rPr>
        <w:t xml:space="preserve">, 4. </w:t>
      </w:r>
      <w:proofErr w:type="gramStart"/>
      <w:r w:rsidRPr="00594F72">
        <w:rPr>
          <w:rFonts w:cs="Arial"/>
        </w:rPr>
        <w:t>At</w:t>
      </w:r>
      <w:proofErr w:type="gramEnd"/>
      <w:r w:rsidRPr="00594F72">
        <w:rPr>
          <w:rFonts w:cs="Arial"/>
        </w:rPr>
        <w:t xml:space="preserve"> </w:t>
      </w:r>
      <w:hyperlink r:id="rId23" w:history="1">
        <w:r w:rsidRPr="00415E6D">
          <w:rPr>
            <w:rStyle w:val="Hyperlink"/>
          </w:rPr>
          <w:t>https://www.wgea.gov.au/sites/default/.../80653_2015-16-gender-equality-scorecard.pdf</w:t>
        </w:r>
      </w:hyperlink>
      <w:r>
        <w:t xml:space="preserve"> </w:t>
      </w:r>
      <w:r w:rsidRPr="00594F72">
        <w:rPr>
          <w:rStyle w:val="Hyperlink"/>
          <w:rFonts w:cs="Arial"/>
          <w:color w:val="000000" w:themeColor="text1"/>
          <w:u w:val="none"/>
        </w:rPr>
        <w:t xml:space="preserve">(viewed </w:t>
      </w:r>
      <w:r>
        <w:rPr>
          <w:rStyle w:val="Hyperlink"/>
          <w:rFonts w:cs="Arial"/>
          <w:color w:val="000000" w:themeColor="text1"/>
          <w:u w:val="none"/>
        </w:rPr>
        <w:t>13 September 2017</w:t>
      </w:r>
      <w:r w:rsidRPr="00594F72">
        <w:rPr>
          <w:rStyle w:val="Hyperlink"/>
          <w:rFonts w:cs="Arial"/>
          <w:color w:val="000000" w:themeColor="text1"/>
          <w:u w:val="none"/>
        </w:rPr>
        <w:t>).</w:t>
      </w:r>
      <w:r w:rsidRPr="00594F72">
        <w:rPr>
          <w:rFonts w:cs="Arial"/>
          <w:color w:val="000000" w:themeColor="text1"/>
        </w:rPr>
        <w:t xml:space="preserve">    </w:t>
      </w:r>
    </w:p>
  </w:endnote>
  <w:endnote w:id="11">
    <w:p w:rsidR="00414DC7" w:rsidRPr="00892424" w:rsidRDefault="00414DC7" w:rsidP="00C07289">
      <w:pPr>
        <w:pStyle w:val="EndnoteText"/>
        <w:contextualSpacing/>
        <w:rPr>
          <w:rFonts w:cs="Arial"/>
        </w:rPr>
      </w:pPr>
      <w:r w:rsidRPr="00892424">
        <w:rPr>
          <w:rStyle w:val="EndnoteReference"/>
          <w:rFonts w:cs="Arial"/>
        </w:rPr>
        <w:endnoteRef/>
      </w:r>
      <w:r w:rsidRPr="00892424">
        <w:rPr>
          <w:rFonts w:cs="Arial"/>
        </w:rPr>
        <w:t xml:space="preserve"> </w:t>
      </w:r>
      <w:r>
        <w:rPr>
          <w:rFonts w:cs="Arial"/>
        </w:rPr>
        <w:t xml:space="preserve">The National Plan is </w:t>
      </w:r>
      <w:r w:rsidRPr="00FF6BDC">
        <w:t>a twelve-year plan which aims to coordinate actions across Australian jurisdictions to reduce levels of violence against women</w:t>
      </w:r>
      <w:r>
        <w:t xml:space="preserve"> and children</w:t>
      </w:r>
      <w:r>
        <w:rPr>
          <w:rFonts w:cs="Arial"/>
        </w:rPr>
        <w:t xml:space="preserve">. See </w:t>
      </w:r>
      <w:r w:rsidRPr="00892424">
        <w:rPr>
          <w:rFonts w:cs="Arial"/>
        </w:rPr>
        <w:t xml:space="preserve">Council of Australian Governments, </w:t>
      </w:r>
      <w:r w:rsidRPr="00892424">
        <w:rPr>
          <w:rFonts w:cs="Arial"/>
          <w:i/>
        </w:rPr>
        <w:t>The National Plan to Reduce Violence against Women and their Children 2010–2022</w:t>
      </w:r>
      <w:r>
        <w:rPr>
          <w:rFonts w:cs="Arial"/>
        </w:rPr>
        <w:t>, 2011</w:t>
      </w:r>
      <w:r w:rsidRPr="00892424">
        <w:rPr>
          <w:rFonts w:cs="Arial"/>
        </w:rPr>
        <w:t xml:space="preserve">. At </w:t>
      </w:r>
      <w:hyperlink r:id="rId24" w:history="1">
        <w:r w:rsidRPr="00892424">
          <w:rPr>
            <w:rStyle w:val="Hyperlink"/>
            <w:rFonts w:cs="Arial"/>
          </w:rPr>
          <w:t>https://www.dss.gov.au/sites/default/files/documents/08_2014/national_plan_accessible.pdf</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w:t>
      </w:r>
    </w:p>
  </w:endnote>
  <w:endnote w:id="12">
    <w:p w:rsidR="00414DC7" w:rsidRPr="00892424" w:rsidRDefault="00414DC7" w:rsidP="00C07289">
      <w:pPr>
        <w:spacing w:before="0" w:after="0"/>
        <w:contextualSpacing/>
        <w:rPr>
          <w:rFonts w:cs="Arial"/>
          <w:color w:val="343434"/>
          <w:sz w:val="20"/>
          <w:szCs w:val="20"/>
        </w:rPr>
      </w:pPr>
      <w:r w:rsidRPr="00892424">
        <w:rPr>
          <w:rStyle w:val="EndnoteReference"/>
          <w:rFonts w:cs="Arial"/>
          <w:szCs w:val="20"/>
        </w:rPr>
        <w:endnoteRef/>
      </w:r>
      <w:r w:rsidRPr="00892424">
        <w:rPr>
          <w:rFonts w:cs="Arial"/>
          <w:sz w:val="20"/>
          <w:szCs w:val="20"/>
        </w:rPr>
        <w:t xml:space="preserve"> Council of Australian Governments, </w:t>
      </w:r>
      <w:r w:rsidRPr="00892424">
        <w:rPr>
          <w:rFonts w:cs="Arial"/>
          <w:i/>
          <w:sz w:val="20"/>
          <w:szCs w:val="20"/>
        </w:rPr>
        <w:t>Communique</w:t>
      </w:r>
      <w:r w:rsidRPr="00892424">
        <w:rPr>
          <w:rFonts w:cs="Arial"/>
          <w:sz w:val="20"/>
          <w:szCs w:val="20"/>
        </w:rPr>
        <w:t xml:space="preserve">, April 2015. At </w:t>
      </w:r>
      <w:hyperlink r:id="rId25" w:history="1">
        <w:r w:rsidRPr="00940AAC">
          <w:rPr>
            <w:rStyle w:val="Hyperlink"/>
            <w:rFonts w:cs="Arial"/>
            <w:sz w:val="20"/>
            <w:szCs w:val="20"/>
          </w:rPr>
          <w:t>https://www.coag.gov.au/meeting-outcomes/coag-meeting-communiqu%C3%A9-17-april-2015</w:t>
        </w:r>
      </w:hyperlink>
      <w:r>
        <w:rPr>
          <w:rFonts w:cs="Arial"/>
          <w:sz w:val="20"/>
          <w:szCs w:val="20"/>
        </w:rPr>
        <w:t xml:space="preserve"> </w:t>
      </w:r>
      <w:r w:rsidRPr="000B4558">
        <w:rPr>
          <w:rStyle w:val="Hyperlink"/>
          <w:rFonts w:cs="Arial"/>
          <w:color w:val="auto"/>
          <w:sz w:val="20"/>
          <w:szCs w:val="20"/>
          <w:u w:val="none"/>
        </w:rPr>
        <w:t xml:space="preserve">(viewed 22 February 2016); </w:t>
      </w:r>
      <w:r w:rsidRPr="00892424">
        <w:rPr>
          <w:rStyle w:val="Hyperlink"/>
          <w:rFonts w:cs="Arial"/>
          <w:color w:val="000000" w:themeColor="text1"/>
          <w:sz w:val="20"/>
          <w:szCs w:val="20"/>
          <w:u w:val="none"/>
        </w:rPr>
        <w:t>Malcolm Turnbull, Media Release:</w:t>
      </w:r>
      <w:r w:rsidRPr="00892424">
        <w:rPr>
          <w:rStyle w:val="Hyperlink"/>
          <w:rFonts w:cs="Arial"/>
          <w:color w:val="000000" w:themeColor="text1"/>
          <w:sz w:val="20"/>
          <w:szCs w:val="20"/>
        </w:rPr>
        <w:t xml:space="preserve"> </w:t>
      </w:r>
      <w:r w:rsidRPr="00892424">
        <w:rPr>
          <w:rFonts w:cs="Arial"/>
          <w:i/>
          <w:color w:val="343434"/>
          <w:sz w:val="20"/>
          <w:szCs w:val="20"/>
        </w:rPr>
        <w:t>Women’s Safety Package to #</w:t>
      </w:r>
      <w:proofErr w:type="spellStart"/>
      <w:r w:rsidRPr="00892424">
        <w:rPr>
          <w:rFonts w:cs="Arial"/>
          <w:i/>
          <w:color w:val="343434"/>
          <w:sz w:val="20"/>
          <w:szCs w:val="20"/>
        </w:rPr>
        <w:t>StoptheViolence</w:t>
      </w:r>
      <w:proofErr w:type="spellEnd"/>
      <w:r w:rsidRPr="00892424">
        <w:rPr>
          <w:rFonts w:cs="Arial"/>
          <w:i/>
          <w:color w:val="343434"/>
          <w:sz w:val="20"/>
          <w:szCs w:val="20"/>
        </w:rPr>
        <w:t>,</w:t>
      </w:r>
      <w:r>
        <w:rPr>
          <w:rFonts w:cs="Arial"/>
          <w:color w:val="343434"/>
          <w:sz w:val="20"/>
          <w:szCs w:val="20"/>
        </w:rPr>
        <w:t xml:space="preserve"> 24 September 2015</w:t>
      </w:r>
      <w:r w:rsidRPr="00892424">
        <w:rPr>
          <w:rFonts w:cs="Arial"/>
          <w:color w:val="343434"/>
          <w:sz w:val="20"/>
          <w:szCs w:val="20"/>
        </w:rPr>
        <w:t xml:space="preserve">. At </w:t>
      </w:r>
      <w:hyperlink r:id="rId26" w:history="1">
        <w:r w:rsidRPr="00892424">
          <w:rPr>
            <w:rStyle w:val="Hyperlink"/>
            <w:rFonts w:cs="Arial"/>
            <w:sz w:val="20"/>
            <w:szCs w:val="20"/>
          </w:rPr>
          <w:t>http://www.malcolmturnbull.com.au/media/release-womens-safety-package-to-stoptheviolence</w:t>
        </w:r>
      </w:hyperlink>
      <w:r w:rsidRPr="00892424">
        <w:rPr>
          <w:rFonts w:cs="Arial"/>
          <w:color w:val="343434"/>
          <w:sz w:val="20"/>
          <w:szCs w:val="20"/>
        </w:rPr>
        <w:t xml:space="preserve">  (</w:t>
      </w:r>
      <w:r w:rsidRPr="00242AC2">
        <w:rPr>
          <w:rFonts w:cs="Arial"/>
          <w:color w:val="343434"/>
          <w:sz w:val="20"/>
          <w:szCs w:val="20"/>
        </w:rPr>
        <w:t>viewed 11 September 2017</w:t>
      </w:r>
      <w:r w:rsidRPr="00892424">
        <w:rPr>
          <w:rFonts w:cs="Arial"/>
          <w:color w:val="343434"/>
          <w:sz w:val="20"/>
          <w:szCs w:val="20"/>
        </w:rPr>
        <w:t>)</w:t>
      </w:r>
      <w:r>
        <w:rPr>
          <w:rFonts w:cs="Arial"/>
          <w:color w:val="343434"/>
          <w:sz w:val="20"/>
          <w:szCs w:val="20"/>
        </w:rPr>
        <w:t>.</w:t>
      </w:r>
    </w:p>
  </w:endnote>
  <w:endnote w:id="13">
    <w:p w:rsidR="00414DC7" w:rsidRDefault="00414DC7" w:rsidP="00C07289">
      <w:pPr>
        <w:pStyle w:val="EndnoteText"/>
        <w:contextualSpacing/>
      </w:pPr>
      <w:r>
        <w:rPr>
          <w:rStyle w:val="EndnoteReference"/>
        </w:rPr>
        <w:endnoteRef/>
      </w:r>
      <w:r>
        <w:t xml:space="preserve"> Australian Human Rights Commission, </w:t>
      </w:r>
      <w:r>
        <w:rPr>
          <w:i/>
        </w:rPr>
        <w:t>A National System for Domestic and Family Violence Death Review</w:t>
      </w:r>
      <w:r>
        <w:t xml:space="preserve">, 2017, 12. At </w:t>
      </w:r>
      <w:hyperlink r:id="rId27" w:history="1">
        <w:r w:rsidRPr="00C42601">
          <w:rPr>
            <w:rStyle w:val="Hyperlink"/>
          </w:rPr>
          <w:t>https://www.humanrights.gov.au/sites/default/files/document/publication/AHRC_2016_12_19_Expanding_DV_Death_Review.pdf</w:t>
        </w:r>
      </w:hyperlink>
      <w:r>
        <w:t xml:space="preserve"> (</w:t>
      </w:r>
      <w:r w:rsidRPr="00242AC2">
        <w:t>viewed 11 September 2017</w:t>
      </w:r>
      <w:r>
        <w:t>).</w:t>
      </w:r>
    </w:p>
  </w:endnote>
  <w:endnote w:id="14">
    <w:p w:rsidR="00414DC7" w:rsidRPr="00892424" w:rsidRDefault="00414DC7" w:rsidP="00C07289">
      <w:pPr>
        <w:pStyle w:val="EndnoteText"/>
        <w:contextualSpacing/>
        <w:rPr>
          <w:rFonts w:cs="Arial"/>
          <w:b/>
        </w:rPr>
      </w:pPr>
      <w:r w:rsidRPr="00892424">
        <w:rPr>
          <w:rStyle w:val="EndnoteReference"/>
          <w:rFonts w:cs="Arial"/>
        </w:rPr>
        <w:endnoteRef/>
      </w:r>
      <w:r w:rsidRPr="00892424">
        <w:rPr>
          <w:rFonts w:cs="Arial"/>
        </w:rPr>
        <w:t xml:space="preserve"> VicHealth, </w:t>
      </w:r>
      <w:r w:rsidRPr="00892424">
        <w:rPr>
          <w:rFonts w:cs="Arial"/>
          <w:i/>
          <w:iCs/>
        </w:rPr>
        <w:t xml:space="preserve">Preventing Violence against Women in Australia: Research Summary, </w:t>
      </w:r>
      <w:r w:rsidRPr="00892424">
        <w:rPr>
          <w:rFonts w:cs="Arial"/>
        </w:rPr>
        <w:t>Victori</w:t>
      </w:r>
      <w:r>
        <w:rPr>
          <w:rFonts w:cs="Arial"/>
        </w:rPr>
        <w:t>an Health Promotion Foundation, 2011</w:t>
      </w:r>
      <w:r w:rsidRPr="00892424">
        <w:rPr>
          <w:rFonts w:cs="Arial"/>
        </w:rPr>
        <w:t xml:space="preserve">. At </w:t>
      </w:r>
      <w:hyperlink r:id="rId28" w:history="1">
        <w:r w:rsidRPr="00940AAC">
          <w:rPr>
            <w:rStyle w:val="Hyperlink"/>
          </w:rPr>
          <w:t>https://www.vichealth.vic.gov.au/media-and-resources/publications/violence-against-women-in-australia-research-summary</w:t>
        </w:r>
      </w:hyperlink>
      <w:r>
        <w:t xml:space="preserve"> </w:t>
      </w:r>
      <w:r w:rsidRPr="00892424">
        <w:rPr>
          <w:rFonts w:cs="Arial"/>
        </w:rPr>
        <w:t xml:space="preserve">(viewed </w:t>
      </w:r>
      <w:r>
        <w:rPr>
          <w:rFonts w:cs="Arial"/>
        </w:rPr>
        <w:t>11 September 2017</w:t>
      </w:r>
      <w:r w:rsidRPr="00892424">
        <w:rPr>
          <w:rFonts w:cs="Arial"/>
        </w:rPr>
        <w:t xml:space="preserve">).  </w:t>
      </w:r>
      <w:r w:rsidRPr="007B6632">
        <w:rPr>
          <w:rFonts w:cs="Arial"/>
        </w:rPr>
        <w:t xml:space="preserve">Our Watch, Australia’s National Research Organisation for Women’s Safety (ANROWS) and VicHealth, </w:t>
      </w:r>
      <w:r w:rsidRPr="007B6632">
        <w:rPr>
          <w:rFonts w:cs="Arial"/>
          <w:i/>
        </w:rPr>
        <w:t>Framework foundations 2: Think pieces, stakeholder consultations, issues, implications and approach Companion document to Change the Story: A shared framework for the primary prevention of violence against women and their children in Australia</w:t>
      </w:r>
      <w:r w:rsidRPr="007B6632">
        <w:rPr>
          <w:rFonts w:cs="Arial"/>
        </w:rPr>
        <w:t xml:space="preserve">, </w:t>
      </w:r>
      <w:r>
        <w:rPr>
          <w:rFonts w:cs="Arial"/>
        </w:rPr>
        <w:t>2015, 14</w:t>
      </w:r>
      <w:r w:rsidRPr="007B6632">
        <w:rPr>
          <w:rFonts w:cs="Arial"/>
        </w:rPr>
        <w:t>.</w:t>
      </w:r>
      <w:r>
        <w:rPr>
          <w:rFonts w:cs="Arial"/>
        </w:rPr>
        <w:t xml:space="preserve"> At: </w:t>
      </w:r>
      <w:hyperlink r:id="rId29" w:history="1">
        <w:r w:rsidRPr="004E0396">
          <w:rPr>
            <w:rStyle w:val="Hyperlink"/>
            <w:rFonts w:cs="Arial"/>
            <w:shd w:val="clear" w:color="auto" w:fill="FFFFFF"/>
          </w:rPr>
          <w:t>https://www.ourwatch.org.au/.../Change-the-story-framework-foundations-2.pdf.aspx</w:t>
        </w:r>
      </w:hyperlink>
      <w:r>
        <w:rPr>
          <w:rFonts w:cs="Arial"/>
          <w:color w:val="006621"/>
          <w:shd w:val="clear" w:color="auto" w:fill="FFFFFF"/>
        </w:rPr>
        <w:t xml:space="preserve"> </w:t>
      </w:r>
      <w:r>
        <w:rPr>
          <w:rFonts w:cs="Arial"/>
        </w:rPr>
        <w:t>(viewed 18 September 2017)</w:t>
      </w:r>
    </w:p>
  </w:endnote>
  <w:endnote w:id="15">
    <w:p w:rsidR="00414DC7" w:rsidRPr="00892424" w:rsidRDefault="00414DC7" w:rsidP="00D97BE1">
      <w:pPr>
        <w:pStyle w:val="EndnoteText"/>
        <w:rPr>
          <w:rFonts w:cs="Arial"/>
        </w:rPr>
      </w:pPr>
      <w:r w:rsidRPr="00892424">
        <w:rPr>
          <w:rStyle w:val="EndnoteReference"/>
          <w:rFonts w:cs="Arial"/>
        </w:rPr>
        <w:endnoteRef/>
      </w:r>
      <w:r w:rsidRPr="00892424">
        <w:rPr>
          <w:rFonts w:cs="Arial"/>
        </w:rPr>
        <w:t xml:space="preserve"> The Commission has reported to the UN on violence against Aboriginal and Torres Strait Islander women and to </w:t>
      </w:r>
      <w:r w:rsidRPr="00C6719E">
        <w:rPr>
          <w:rFonts w:cs="Arial"/>
        </w:rPr>
        <w:t xml:space="preserve">Commonwealth Inquiries. See Australian Human Rights Commission, </w:t>
      </w:r>
      <w:r w:rsidRPr="00C6719E">
        <w:rPr>
          <w:rFonts w:cs="Arial"/>
          <w:i/>
          <w:lang w:val="en"/>
        </w:rPr>
        <w:t xml:space="preserve">Australia's Universal Periodic Review on human rights – Annual </w:t>
      </w:r>
      <w:r w:rsidRPr="00840969">
        <w:rPr>
          <w:rStyle w:val="EndnoteReference"/>
          <w:rFonts w:cs="Arial"/>
          <w:i/>
          <w:vertAlign w:val="baseline"/>
        </w:rPr>
        <w:t>Progress</w:t>
      </w:r>
      <w:r w:rsidRPr="00C6719E">
        <w:rPr>
          <w:rFonts w:cs="Arial"/>
          <w:i/>
          <w:lang w:val="en"/>
        </w:rPr>
        <w:t xml:space="preserve"> Reports</w:t>
      </w:r>
      <w:r w:rsidRPr="00C6719E">
        <w:rPr>
          <w:rFonts w:cs="Arial"/>
          <w:lang w:val="en"/>
        </w:rPr>
        <w:t xml:space="preserve">. At </w:t>
      </w:r>
      <w:hyperlink r:id="rId30" w:history="1">
        <w:r w:rsidRPr="00C6719E">
          <w:rPr>
            <w:rStyle w:val="Hyperlink"/>
            <w:rFonts w:cs="Arial"/>
            <w:lang w:val="en"/>
          </w:rPr>
          <w:t>https://www.humanrights.gov.au/australias-universal-periodic-review-human-rights</w:t>
        </w:r>
      </w:hyperlink>
      <w:r w:rsidRPr="00C6719E">
        <w:rPr>
          <w:rFonts w:cs="Arial"/>
          <w:lang w:val="en"/>
        </w:rPr>
        <w:t xml:space="preserve"> (</w:t>
      </w:r>
      <w:r w:rsidRPr="00BF602B">
        <w:rPr>
          <w:rFonts w:cs="Arial"/>
        </w:rPr>
        <w:t xml:space="preserve">viewed </w:t>
      </w:r>
      <w:r>
        <w:rPr>
          <w:rFonts w:cs="Arial"/>
        </w:rPr>
        <w:t>11 September 2017</w:t>
      </w:r>
      <w:r w:rsidRPr="00C6719E">
        <w:rPr>
          <w:rFonts w:cs="Arial"/>
          <w:lang w:val="en"/>
        </w:rPr>
        <w:t>).</w:t>
      </w:r>
      <w:r w:rsidRPr="00C6719E">
        <w:rPr>
          <w:rFonts w:cs="Arial"/>
        </w:rPr>
        <w:t xml:space="preserve"> Australian Human Rights Commission, Submission No 57 to Senate Standing Committee on Community Affairs, Parliament of Australia, </w:t>
      </w:r>
      <w:r w:rsidRPr="00C6719E">
        <w:rPr>
          <w:rFonts w:cs="Arial"/>
          <w:i/>
        </w:rPr>
        <w:t xml:space="preserve">Inquiry into violence, abuse and neglect against people </w:t>
      </w:r>
      <w:r w:rsidRPr="00B87A0E">
        <w:rPr>
          <w:rFonts w:cs="Arial"/>
          <w:i/>
        </w:rPr>
        <w:t xml:space="preserve">with </w:t>
      </w:r>
      <w:r w:rsidRPr="00B87A0E">
        <w:rPr>
          <w:rStyle w:val="EndnoteReference"/>
          <w:rFonts w:cs="Arial"/>
          <w:i/>
          <w:vertAlign w:val="baseline"/>
        </w:rPr>
        <w:t>disability</w:t>
      </w:r>
      <w:r w:rsidRPr="00C6719E">
        <w:rPr>
          <w:rFonts w:cs="Arial"/>
          <w:i/>
        </w:rPr>
        <w:t xml:space="preserve"> in institutional and residential settings</w:t>
      </w:r>
      <w:r w:rsidRPr="00892424">
        <w:rPr>
          <w:rFonts w:cs="Arial"/>
        </w:rPr>
        <w:t xml:space="preserve">, 11 February 2015, 3. At </w:t>
      </w:r>
      <w:hyperlink r:id="rId31" w:history="1">
        <w:r w:rsidRPr="00892424">
          <w:rPr>
            <w:rStyle w:val="Hyperlink"/>
            <w:rFonts w:cs="Arial"/>
          </w:rPr>
          <w:t>http://www.aph.gov.au/Parliamentary_Business/Committees/Senate/Community_Affairs/Violence_abuse_neglect</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Australian Human Rights Commission, Submission </w:t>
      </w:r>
      <w:r>
        <w:rPr>
          <w:rFonts w:cs="Arial"/>
        </w:rPr>
        <w:t xml:space="preserve">No </w:t>
      </w:r>
      <w:r w:rsidRPr="00892424">
        <w:rPr>
          <w:rFonts w:cs="Arial"/>
        </w:rPr>
        <w:t xml:space="preserve">41 to the Senate Finance and Public Administration Reference Committee, Inquiry into Domestic Violence and Gender Inequality, 4 April 2016. At </w:t>
      </w:r>
      <w:hyperlink r:id="rId32" w:history="1">
        <w:r w:rsidRPr="00892424">
          <w:rPr>
            <w:rStyle w:val="Hyperlink"/>
            <w:rFonts w:cs="Arial"/>
          </w:rPr>
          <w:t>http://www.aph.gov.au/Parliamentary_Business/Committees/Senate/Finance_and_Public_Administration/DV_and_Gender_Inequality</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6">
    <w:p w:rsidR="00414DC7" w:rsidRPr="004A2C04" w:rsidRDefault="00414DC7" w:rsidP="00D97BE1">
      <w:pPr>
        <w:pStyle w:val="EndnoteText"/>
        <w:rPr>
          <w:rFonts w:cs="Arial"/>
          <w:lang w:val="en-US"/>
        </w:rPr>
      </w:pPr>
      <w:r w:rsidRPr="00892424">
        <w:rPr>
          <w:rStyle w:val="EndnoteReference"/>
          <w:rFonts w:cs="Arial"/>
        </w:rPr>
        <w:endnoteRef/>
      </w:r>
      <w:r w:rsidRPr="00892424">
        <w:rPr>
          <w:rFonts w:cs="Arial"/>
        </w:rPr>
        <w:t xml:space="preserve"> </w:t>
      </w:r>
      <w:r>
        <w:t xml:space="preserve">Commonwealth of Australia, Department of the Prime Minister and Cabinet, </w:t>
      </w:r>
      <w:r>
        <w:rPr>
          <w:i/>
        </w:rPr>
        <w:t>Closing the Gap Prime Minister’s Report 2017</w:t>
      </w:r>
      <w:r>
        <w:t xml:space="preserve">, 95. At </w:t>
      </w:r>
      <w:hyperlink r:id="rId33" w:history="1">
        <w:r w:rsidRPr="004B0EA1">
          <w:rPr>
            <w:rStyle w:val="Hyperlink"/>
          </w:rPr>
          <w:t>http://closingthegap.pmc.gov.au/sites/default/files/ctg-report-2017.pdf</w:t>
        </w:r>
      </w:hyperlink>
      <w:r>
        <w:t xml:space="preserve"> </w:t>
      </w:r>
      <w:r w:rsidRPr="00E122EC">
        <w:t>(viewed 11 September 2017).</w:t>
      </w:r>
    </w:p>
  </w:endnote>
  <w:endnote w:id="17">
    <w:p w:rsidR="00414DC7" w:rsidRPr="00E122EC" w:rsidRDefault="00414DC7" w:rsidP="00D97BE1">
      <w:pPr>
        <w:pStyle w:val="EndnoteText"/>
      </w:pPr>
      <w:r>
        <w:rPr>
          <w:rStyle w:val="EndnoteReference"/>
        </w:rPr>
        <w:endnoteRef/>
      </w:r>
      <w:r>
        <w:t xml:space="preserve"> Council of Australian Governments, </w:t>
      </w:r>
      <w:r>
        <w:rPr>
          <w:i/>
        </w:rPr>
        <w:t>National Plan to reduce violence against women and their children</w:t>
      </w:r>
      <w:r>
        <w:t xml:space="preserve">, 2011, 7. At </w:t>
      </w:r>
      <w:hyperlink r:id="rId34" w:history="1">
        <w:r w:rsidRPr="00A248BB">
          <w:rPr>
            <w:rStyle w:val="Hyperlink"/>
          </w:rPr>
          <w:t>https://www.dss.gov.au/women/programs-services/reducing-violence/the-national-plan-to-reduce-violence-against-women-and-their-children-2010-2022</w:t>
        </w:r>
      </w:hyperlink>
      <w:r>
        <w:t xml:space="preserve"> (viewed 11 September 2017). See also Commonwealth of Australia, Department of the Prime Minister and Cabinet, </w:t>
      </w:r>
      <w:r>
        <w:rPr>
          <w:i/>
        </w:rPr>
        <w:t>Closing the Gap Prime Minister’s Report 2017</w:t>
      </w:r>
      <w:r>
        <w:t xml:space="preserve">, 95-96. At </w:t>
      </w:r>
      <w:r w:rsidRPr="00E122EC">
        <w:t>http://closingthegap.pmc.gov.au/sites/default/files/ctg-report-2017.pdf (viewed 11 September 2017).</w:t>
      </w:r>
    </w:p>
  </w:endnote>
  <w:endnote w:id="18">
    <w:p w:rsidR="00414DC7" w:rsidRPr="00892424" w:rsidRDefault="00414DC7" w:rsidP="00A3167B">
      <w:pPr>
        <w:pStyle w:val="EndnoteText"/>
        <w:rPr>
          <w:rFonts w:cs="Arial"/>
        </w:rPr>
      </w:pPr>
      <w:r w:rsidRPr="00F57A03">
        <w:rPr>
          <w:rStyle w:val="EndnoteReference"/>
          <w:rFonts w:cs="Arial"/>
        </w:rPr>
        <w:endnoteRef/>
      </w:r>
      <w:r w:rsidRPr="00F57A03">
        <w:rPr>
          <w:rFonts w:cs="Arial"/>
        </w:rPr>
        <w:t xml:space="preserve"> Australian Human Rights Commission, </w:t>
      </w:r>
      <w:r w:rsidRPr="00F57A03">
        <w:rPr>
          <w:rFonts w:cs="Arial"/>
          <w:i/>
        </w:rPr>
        <w:t>Shaping our future: discussions on disability rights</w:t>
      </w:r>
      <w:r>
        <w:rPr>
          <w:rFonts w:cs="Arial"/>
        </w:rPr>
        <w:t xml:space="preserve">, </w:t>
      </w:r>
      <w:r w:rsidRPr="00F57A03">
        <w:rPr>
          <w:rFonts w:cs="Arial"/>
        </w:rPr>
        <w:t>2017</w:t>
      </w:r>
      <w:r w:rsidRPr="00892424">
        <w:rPr>
          <w:rFonts w:cs="Arial"/>
        </w:rPr>
        <w:t xml:space="preserve">. At </w:t>
      </w:r>
      <w:hyperlink r:id="rId35" w:history="1">
        <w:r w:rsidRPr="00892424">
          <w:rPr>
            <w:rStyle w:val="Hyperlink"/>
            <w:rFonts w:cs="Arial"/>
          </w:rPr>
          <w:t>http://www.humanrights.gov.au/our-work/disability-rights/projects/shaping-our-future-discussions-disability-rights</w:t>
        </w:r>
      </w:hyperlink>
      <w:r w:rsidRPr="00892424">
        <w:rPr>
          <w:rFonts w:cs="Arial"/>
        </w:rPr>
        <w:t xml:space="preserve"> (</w:t>
      </w:r>
      <w:r w:rsidRPr="00BF602B">
        <w:rPr>
          <w:rFonts w:cs="Arial"/>
        </w:rPr>
        <w:t xml:space="preserve">viewed </w:t>
      </w:r>
      <w:r>
        <w:rPr>
          <w:rFonts w:cs="Arial"/>
        </w:rPr>
        <w:t>11 September 2017</w:t>
      </w:r>
      <w:r w:rsidRPr="00892424">
        <w:rPr>
          <w:rFonts w:cs="Arial"/>
        </w:rPr>
        <w:t xml:space="preserve">); Australian Human Rights Commission, </w:t>
      </w:r>
      <w:r w:rsidRPr="00892424">
        <w:rPr>
          <w:rFonts w:cs="Arial"/>
          <w:i/>
        </w:rPr>
        <w:t>A Conversation in Gender Equality</w:t>
      </w:r>
      <w:r>
        <w:rPr>
          <w:rFonts w:cs="Arial"/>
        </w:rPr>
        <w:t>, 2017</w:t>
      </w:r>
      <w:r w:rsidRPr="00892424">
        <w:rPr>
          <w:rFonts w:cs="Arial"/>
        </w:rPr>
        <w:t xml:space="preserve">. At </w:t>
      </w:r>
      <w:hyperlink r:id="rId36" w:history="1">
        <w:r w:rsidRPr="00892424">
          <w:rPr>
            <w:rStyle w:val="Hyperlink"/>
            <w:rFonts w:cs="Arial"/>
          </w:rPr>
          <w:t>http://www.humanrights.gov.au/our-work/sex-discrimination/publications/conversation-gender-equality-2017</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19">
    <w:p w:rsidR="00414DC7" w:rsidRPr="009E2321" w:rsidRDefault="00414DC7" w:rsidP="009E2321">
      <w:pPr>
        <w:pStyle w:val="EndnoteText"/>
      </w:pPr>
      <w:r>
        <w:rPr>
          <w:rStyle w:val="EndnoteReference"/>
        </w:rPr>
        <w:endnoteRef/>
      </w:r>
      <w:r>
        <w:t xml:space="preserve"> </w:t>
      </w:r>
      <w:r w:rsidRPr="009E2321">
        <w:t xml:space="preserve">Commonwealth of Australia, </w:t>
      </w:r>
      <w:r w:rsidRPr="009A50BB">
        <w:rPr>
          <w:i/>
        </w:rPr>
        <w:t xml:space="preserve">COAG Advisory Panel on Reducing Violence </w:t>
      </w:r>
      <w:proofErr w:type="gramStart"/>
      <w:r w:rsidRPr="009A50BB">
        <w:rPr>
          <w:i/>
        </w:rPr>
        <w:t>Against</w:t>
      </w:r>
      <w:proofErr w:type="gramEnd"/>
      <w:r w:rsidRPr="009A50BB">
        <w:rPr>
          <w:i/>
        </w:rPr>
        <w:t xml:space="preserve"> Women and their Children – Final Report</w:t>
      </w:r>
      <w:r w:rsidRPr="009E2321">
        <w:t xml:space="preserve"> (2016), available at </w:t>
      </w:r>
      <w:hyperlink r:id="rId37" w:history="1">
        <w:r w:rsidRPr="00696FEB">
          <w:rPr>
            <w:rStyle w:val="Hyperlink"/>
          </w:rPr>
          <w:t>http://www.coag.gov.au/sites/default/files/communique/COAGAdvisoryPanelonReducingViolenceagainstWomenandtheirChildren-FinalReport.pdf</w:t>
        </w:r>
      </w:hyperlink>
      <w:r>
        <w:t xml:space="preserve"> </w:t>
      </w:r>
      <w:r w:rsidRPr="009E2321">
        <w:t>(accessed 18 September 2017).</w:t>
      </w:r>
    </w:p>
  </w:endnote>
  <w:endnote w:id="20">
    <w:p w:rsidR="00414DC7" w:rsidRPr="00892424" w:rsidRDefault="00414DC7" w:rsidP="00A3167B">
      <w:pPr>
        <w:pStyle w:val="EndnoteText"/>
        <w:rPr>
          <w:rFonts w:cs="Arial"/>
        </w:rPr>
      </w:pPr>
      <w:r w:rsidRPr="00892424">
        <w:rPr>
          <w:rStyle w:val="EndnoteReference"/>
          <w:rFonts w:cs="Arial"/>
        </w:rPr>
        <w:endnoteRef/>
      </w:r>
      <w:r w:rsidRPr="00892424">
        <w:rPr>
          <w:rFonts w:cs="Arial"/>
        </w:rPr>
        <w:t xml:space="preserve"> Australian Government Department of Social Services</w:t>
      </w:r>
      <w:r w:rsidRPr="00892424">
        <w:rPr>
          <w:rFonts w:cs="Arial"/>
          <w:i/>
        </w:rPr>
        <w:t>, Third Action Plan 2016-19 of the National Plan to Reduce Violence Against Women and their Children 2010-2022</w:t>
      </w:r>
      <w:r>
        <w:rPr>
          <w:rFonts w:cs="Arial"/>
        </w:rPr>
        <w:t>, 2016</w:t>
      </w:r>
      <w:r w:rsidRPr="00892424">
        <w:rPr>
          <w:rFonts w:cs="Arial"/>
        </w:rPr>
        <w:t xml:space="preserve">. At </w:t>
      </w:r>
      <w:hyperlink r:id="rId38" w:history="1">
        <w:r w:rsidRPr="00892424">
          <w:rPr>
            <w:rStyle w:val="Hyperlink"/>
            <w:rFonts w:cs="Arial"/>
          </w:rPr>
          <w:t>https://www.dss.gov.au/women/programs-services/reducing-violence/third-action-plan</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 w:id="21">
    <w:p w:rsidR="00414DC7" w:rsidRPr="00892424" w:rsidRDefault="00414DC7" w:rsidP="009A3DF5">
      <w:pPr>
        <w:pStyle w:val="EndnoteText"/>
        <w:rPr>
          <w:rFonts w:cs="Arial"/>
        </w:rPr>
      </w:pPr>
      <w:r w:rsidRPr="00892424">
        <w:rPr>
          <w:rStyle w:val="EndnoteReference"/>
          <w:rFonts w:cs="Arial"/>
        </w:rPr>
        <w:endnoteRef/>
      </w:r>
      <w:r w:rsidRPr="00892424">
        <w:rPr>
          <w:rFonts w:cs="Arial"/>
        </w:rPr>
        <w:t xml:space="preserve"> Such as violence in institutions and residential settings, sexual and reproductive rights violations, including forced sterilisation and forced abortion, restrictive practices, seclusion and restraint. See Carolyn Frohmader, </w:t>
      </w:r>
      <w:r w:rsidRPr="00892424">
        <w:rPr>
          <w:rFonts w:cs="Arial"/>
          <w:i/>
        </w:rPr>
        <w:t>Violence Against Women with Disabilities</w:t>
      </w:r>
      <w:r>
        <w:rPr>
          <w:rFonts w:cs="Arial"/>
        </w:rPr>
        <w:t>, 2014</w:t>
      </w:r>
      <w:r w:rsidRPr="00892424">
        <w:rPr>
          <w:rFonts w:cs="Arial"/>
        </w:rPr>
        <w:t xml:space="preserve">. At </w:t>
      </w:r>
      <w:hyperlink r:id="rId39" w:history="1">
        <w:r w:rsidRPr="00892424">
          <w:rPr>
            <w:rStyle w:val="Hyperlink"/>
            <w:rFonts w:cs="Arial"/>
          </w:rPr>
          <w:t>https://www.pwd.org.au/ documents/temp/FS_Violence_WWD's.pdf</w:t>
        </w:r>
      </w:hyperlink>
      <w:r>
        <w:rPr>
          <w:rFonts w:cs="Arial"/>
        </w:rPr>
        <w:t xml:space="preserve"> (</w:t>
      </w:r>
      <w:r w:rsidRPr="00BF602B">
        <w:rPr>
          <w:rFonts w:cs="Arial"/>
        </w:rPr>
        <w:t xml:space="preserve">viewed </w:t>
      </w:r>
      <w:r>
        <w:rPr>
          <w:rFonts w:cs="Arial"/>
        </w:rPr>
        <w:t>11 September 2017).</w:t>
      </w:r>
    </w:p>
  </w:endnote>
  <w:endnote w:id="22">
    <w:p w:rsidR="00414DC7" w:rsidRPr="00892424" w:rsidRDefault="00414DC7" w:rsidP="00C21640">
      <w:pPr>
        <w:pStyle w:val="EndnoteText"/>
        <w:rPr>
          <w:rFonts w:cs="Arial"/>
        </w:rPr>
      </w:pPr>
      <w:r w:rsidRPr="00892424">
        <w:rPr>
          <w:rStyle w:val="EndnoteReference"/>
          <w:rFonts w:cs="Arial"/>
        </w:rPr>
        <w:endnoteRef/>
      </w:r>
      <w:r w:rsidRPr="00892424">
        <w:rPr>
          <w:rFonts w:cs="Arial"/>
        </w:rPr>
        <w:t xml:space="preserve"> Carolyn Frohmader, </w:t>
      </w:r>
      <w:r w:rsidRPr="00892424">
        <w:rPr>
          <w:rFonts w:cs="Arial"/>
          <w:i/>
        </w:rPr>
        <w:t xml:space="preserve">Violence </w:t>
      </w:r>
      <w:proofErr w:type="gramStart"/>
      <w:r w:rsidRPr="00892424">
        <w:rPr>
          <w:rFonts w:cs="Arial"/>
          <w:i/>
        </w:rPr>
        <w:t>Against</w:t>
      </w:r>
      <w:proofErr w:type="gramEnd"/>
      <w:r w:rsidRPr="00892424">
        <w:rPr>
          <w:rFonts w:cs="Arial"/>
          <w:i/>
        </w:rPr>
        <w:t xml:space="preserve"> Women with Disabilities</w:t>
      </w:r>
      <w:r w:rsidRPr="00892424">
        <w:rPr>
          <w:rFonts w:cs="Arial"/>
        </w:rPr>
        <w:t xml:space="preserve"> (2014). At </w:t>
      </w:r>
      <w:hyperlink r:id="rId40" w:history="1">
        <w:r w:rsidRPr="00A248BB">
          <w:rPr>
            <w:rStyle w:val="Hyperlink"/>
          </w:rPr>
          <w:t>https://www.pwd.org.au/documents/temp/FS_Violence_WWD's.pdf</w:t>
        </w:r>
      </w:hyperlink>
      <w:r>
        <w:t xml:space="preserve"> </w:t>
      </w:r>
      <w:r>
        <w:rPr>
          <w:rFonts w:cs="Arial"/>
        </w:rPr>
        <w:t>(</w:t>
      </w:r>
      <w:r w:rsidRPr="00BF602B">
        <w:rPr>
          <w:rFonts w:cs="Arial"/>
        </w:rPr>
        <w:t xml:space="preserve">viewed </w:t>
      </w:r>
      <w:r>
        <w:rPr>
          <w:rFonts w:cs="Arial"/>
        </w:rPr>
        <w:t>11 September 2017).</w:t>
      </w:r>
    </w:p>
  </w:endnote>
  <w:endnote w:id="23">
    <w:p w:rsidR="00414DC7" w:rsidRPr="00A007A3" w:rsidRDefault="00414DC7" w:rsidP="006A521F">
      <w:pPr>
        <w:pStyle w:val="EndnoteText"/>
      </w:pPr>
      <w:r>
        <w:rPr>
          <w:rStyle w:val="EndnoteReference"/>
        </w:rPr>
        <w:endnoteRef/>
      </w:r>
      <w:r>
        <w:t xml:space="preserve"> </w:t>
      </w:r>
      <w:r w:rsidRPr="00A007A3">
        <w:t xml:space="preserve">Parliament of Australia, Senate Community Affairs Reference Committee, </w:t>
      </w:r>
      <w:r w:rsidRPr="00814714">
        <w:rPr>
          <w:i/>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t>, 25 November 2015</w:t>
      </w:r>
      <w:r w:rsidRPr="00A007A3">
        <w:t>, at x</w:t>
      </w:r>
      <w:r>
        <w:t>xiii [10.68], Recommendation 24.</w:t>
      </w:r>
      <w:r w:rsidRPr="00A007A3">
        <w:t xml:space="preserve"> </w:t>
      </w:r>
      <w:r>
        <w:t>A</w:t>
      </w:r>
      <w:r w:rsidRPr="00A007A3">
        <w:t xml:space="preserve">t </w:t>
      </w:r>
      <w:hyperlink r:id="rId41" w:history="1">
        <w:r w:rsidRPr="00696FEB">
          <w:rPr>
            <w:rStyle w:val="Hyperlink"/>
          </w:rPr>
          <w:t>http://www.aph.gov.au/Parliamentary_Business/Committees/Senate/Community_Affairs/Violence_abuse_neglect/Report</w:t>
        </w:r>
      </w:hyperlink>
      <w:r>
        <w:t xml:space="preserve"> </w:t>
      </w:r>
      <w:r w:rsidRPr="00A007A3">
        <w:t>(accessed 18 September 2017).</w:t>
      </w:r>
    </w:p>
  </w:endnote>
  <w:endnote w:id="24">
    <w:p w:rsidR="00414DC7" w:rsidRPr="006C7D82" w:rsidRDefault="00414DC7" w:rsidP="006A521F">
      <w:pPr>
        <w:pStyle w:val="EndnoteText"/>
      </w:pPr>
      <w:r>
        <w:rPr>
          <w:rStyle w:val="EndnoteReference"/>
        </w:rPr>
        <w:endnoteRef/>
      </w:r>
      <w:r>
        <w:t xml:space="preserve"> </w:t>
      </w:r>
      <w:r w:rsidRPr="006C7D82">
        <w:t xml:space="preserve">Australian Government, </w:t>
      </w:r>
      <w:r w:rsidRPr="00CA7A1F">
        <w:rPr>
          <w:i/>
        </w:rPr>
        <w:t>Australian Government Response to the Senate Community Affairs Reference Committee Report: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t>, 2 March 2017, at 40.</w:t>
      </w:r>
      <w:r w:rsidRPr="006C7D82">
        <w:t xml:space="preserve"> </w:t>
      </w:r>
      <w:r>
        <w:t>A</w:t>
      </w:r>
      <w:r w:rsidRPr="006C7D82">
        <w:t xml:space="preserve">t </w:t>
      </w:r>
      <w:hyperlink r:id="rId42" w:history="1">
        <w:r w:rsidRPr="00696FEB">
          <w:rPr>
            <w:rStyle w:val="Hyperlink"/>
          </w:rPr>
          <w:t>http://www.aph.gov.au/DocumentStore.ashx?id=b31da34f-51e6-4382-8c7e-db3f54e2cd96</w:t>
        </w:r>
      </w:hyperlink>
      <w:r>
        <w:t xml:space="preserve"> </w:t>
      </w:r>
      <w:r w:rsidRPr="006C7D82">
        <w:t>(accessed 18 September 2017).</w:t>
      </w:r>
    </w:p>
  </w:endnote>
  <w:endnote w:id="25">
    <w:p w:rsidR="00414DC7" w:rsidRDefault="00414DC7">
      <w:pPr>
        <w:pStyle w:val="EndnoteText"/>
      </w:pPr>
      <w:r>
        <w:rPr>
          <w:rStyle w:val="EndnoteReference"/>
        </w:rPr>
        <w:endnoteRef/>
      </w:r>
      <w:r>
        <w:t xml:space="preserve"> Women with Disabilities Australia, People with Disability Australia and University of New South Wales, Background Paper: National Symposium on Violence Against Women and Girls with Disabilities, 25 October 2013. At: wwda.org.au/wp-</w:t>
      </w:r>
      <w:r w:rsidRPr="002332D2">
        <w:t>content/uploads/2013/12/STV_Background_Paper_FINAL.pdf</w:t>
      </w:r>
      <w:r>
        <w:t xml:space="preserve"> (viewed 14 September 2017). See also: </w:t>
      </w:r>
      <w:hyperlink r:id="rId43" w:history="1">
        <w:r w:rsidRPr="004B0EA1">
          <w:rPr>
            <w:rStyle w:val="Hyperlink"/>
          </w:rPr>
          <w:t>http://www.stvp.org.au/Resource-Compendium.html</w:t>
        </w:r>
      </w:hyperlink>
      <w:r>
        <w:t xml:space="preserve"> </w:t>
      </w:r>
    </w:p>
  </w:endnote>
  <w:endnote w:id="26">
    <w:p w:rsidR="00414DC7" w:rsidRPr="00941488" w:rsidRDefault="00414DC7" w:rsidP="00A3167B">
      <w:pPr>
        <w:pStyle w:val="EndnoteText"/>
      </w:pPr>
      <w:r>
        <w:rPr>
          <w:rStyle w:val="EndnoteReference"/>
        </w:rPr>
        <w:endnoteRef/>
      </w:r>
      <w:r>
        <w:t xml:space="preserve"> Senate Standing Committee on Community Affairs, Parliament of Australia, </w:t>
      </w:r>
      <w:r>
        <w:rPr>
          <w:i/>
        </w:rPr>
        <w:t xml:space="preserve">Involuntary or coerced sterilisation of people with disability in Australia, </w:t>
      </w:r>
      <w:r>
        <w:t xml:space="preserve">2013. At </w:t>
      </w:r>
      <w:hyperlink r:id="rId44" w:history="1">
        <w:r w:rsidRPr="008D5AA8">
          <w:rPr>
            <w:rStyle w:val="Hyperlink"/>
          </w:rPr>
          <w:t>http://www.aph.gov.au/Parliamentary_Business/Committees/Senate/Community_Affairs/Involuntary_Sterilisation/~/media/Committees/Senate/committee/clac_ctte/involuntary_sterilisation/first_report/report.ashx</w:t>
        </w:r>
      </w:hyperlink>
      <w:r>
        <w:t xml:space="preserve"> (</w:t>
      </w:r>
      <w:r w:rsidRPr="00BF602B">
        <w:rPr>
          <w:rFonts w:cs="Arial"/>
        </w:rPr>
        <w:t xml:space="preserve">viewed </w:t>
      </w:r>
      <w:r>
        <w:rPr>
          <w:rFonts w:cs="Arial"/>
        </w:rPr>
        <w:t>11 September 2017</w:t>
      </w:r>
      <w:r>
        <w:t xml:space="preserve">); Australian Human Rights Commission, Submission No 5 to Senate Standing Committee on Community Affairs, </w:t>
      </w:r>
      <w:r>
        <w:rPr>
          <w:i/>
        </w:rPr>
        <w:t xml:space="preserve">Involuntary or coerced sterilisation of people with disability in Australia, </w:t>
      </w:r>
      <w:r>
        <w:t xml:space="preserve">20 November 2012. At </w:t>
      </w:r>
      <w:hyperlink r:id="rId45" w:history="1">
        <w:r w:rsidRPr="008D5AA8">
          <w:rPr>
            <w:rStyle w:val="Hyperlink"/>
          </w:rPr>
          <w:t>http://www.aph.gov.au/DocumentStore.ashx?id=3d3c9b64-7a59-4e30-bd96-e38d52fe85c8&amp;subId=16108</w:t>
        </w:r>
      </w:hyperlink>
      <w:r>
        <w:t xml:space="preserve"> (</w:t>
      </w:r>
      <w:r w:rsidRPr="00BF602B">
        <w:rPr>
          <w:rFonts w:cs="Arial"/>
        </w:rPr>
        <w:t xml:space="preserve">viewed </w:t>
      </w:r>
      <w:r>
        <w:rPr>
          <w:rFonts w:cs="Arial"/>
        </w:rPr>
        <w:t>11 September 2017</w:t>
      </w:r>
      <w:r>
        <w:t xml:space="preserve">). </w:t>
      </w:r>
    </w:p>
  </w:endnote>
  <w:endnote w:id="27">
    <w:p w:rsidR="00414DC7" w:rsidRDefault="00414DC7" w:rsidP="009E6C7D">
      <w:pPr>
        <w:pStyle w:val="EndnoteText"/>
      </w:pPr>
      <w:r>
        <w:rPr>
          <w:rStyle w:val="EndnoteReference"/>
        </w:rPr>
        <w:endnoteRef/>
      </w:r>
      <w:r>
        <w:t xml:space="preserve"> Australian Human Rights Commission, </w:t>
      </w:r>
      <w:r w:rsidRPr="002A451B">
        <w:rPr>
          <w:i/>
        </w:rPr>
        <w:t>Working without fear: Results of the Sexual Haras</w:t>
      </w:r>
      <w:r>
        <w:rPr>
          <w:i/>
        </w:rPr>
        <w:t xml:space="preserve">sment National Telephone Survey, </w:t>
      </w:r>
      <w:r>
        <w:t xml:space="preserve">2012, 12. At </w:t>
      </w:r>
      <w:hyperlink r:id="rId46" w:history="1">
        <w:r w:rsidRPr="0043095B">
          <w:rPr>
            <w:rStyle w:val="Hyperlink"/>
          </w:rPr>
          <w:t>https://www.humanrights.gov.au/our-work/sex-discrimination/projects/working-without-fear-results-sexual-harassment-national</w:t>
        </w:r>
      </w:hyperlink>
      <w:r>
        <w:t xml:space="preserve"> (</w:t>
      </w:r>
      <w:r w:rsidRPr="00BF602B">
        <w:rPr>
          <w:rFonts w:cs="Arial"/>
        </w:rPr>
        <w:t xml:space="preserve">viewed </w:t>
      </w:r>
      <w:r>
        <w:rPr>
          <w:rFonts w:cs="Arial"/>
        </w:rPr>
        <w:t>11 September 2017</w:t>
      </w:r>
      <w:r>
        <w:t xml:space="preserve">). </w:t>
      </w:r>
    </w:p>
  </w:endnote>
  <w:endnote w:id="28">
    <w:p w:rsidR="00414DC7" w:rsidRDefault="00414DC7" w:rsidP="009E6C7D">
      <w:pPr>
        <w:pStyle w:val="EndnoteText"/>
      </w:pPr>
      <w:r>
        <w:rPr>
          <w:rStyle w:val="EndnoteReference"/>
        </w:rPr>
        <w:endnoteRef/>
      </w:r>
      <w:r>
        <w:t xml:space="preserve"> Australian Human Rights Commission, </w:t>
      </w:r>
      <w:r w:rsidRPr="002A451B">
        <w:rPr>
          <w:i/>
        </w:rPr>
        <w:t>Working without fear: Results of the Sexual Harassment Nation</w:t>
      </w:r>
      <w:r>
        <w:rPr>
          <w:i/>
        </w:rPr>
        <w:t xml:space="preserve">al Telephone Survey, </w:t>
      </w:r>
      <w:r>
        <w:t xml:space="preserve">2012, 12. At </w:t>
      </w:r>
      <w:hyperlink r:id="rId47" w:history="1">
        <w:r w:rsidRPr="0043095B">
          <w:rPr>
            <w:rStyle w:val="Hyperlink"/>
          </w:rPr>
          <w:t>https://www.humanrights.gov.au/our-work/sex-discrimination/projects/working-without-fear-results-sexual-harassment-national</w:t>
        </w:r>
      </w:hyperlink>
      <w:r>
        <w:t xml:space="preserve"> (</w:t>
      </w:r>
      <w:r w:rsidRPr="00BF602B">
        <w:rPr>
          <w:rFonts w:cs="Arial"/>
        </w:rPr>
        <w:t xml:space="preserve">viewed </w:t>
      </w:r>
      <w:r>
        <w:rPr>
          <w:rFonts w:cs="Arial"/>
        </w:rPr>
        <w:t>11 September 2017)</w:t>
      </w:r>
      <w:r>
        <w:t>.</w:t>
      </w:r>
    </w:p>
  </w:endnote>
  <w:endnote w:id="29">
    <w:p w:rsidR="00414DC7" w:rsidRPr="006D668E" w:rsidRDefault="00414DC7" w:rsidP="009E6C7D">
      <w:pPr>
        <w:pStyle w:val="EndnoteText"/>
        <w:rPr>
          <w:rFonts w:cs="Arial"/>
          <w:i/>
        </w:rPr>
      </w:pPr>
      <w:r w:rsidRPr="006D668E">
        <w:rPr>
          <w:rStyle w:val="EndnoteReference"/>
          <w:rFonts w:cs="Arial"/>
        </w:rPr>
        <w:endnoteRef/>
      </w:r>
      <w:r w:rsidRPr="006D668E">
        <w:rPr>
          <w:rFonts w:cs="Arial"/>
        </w:rPr>
        <w:t xml:space="preserve"> Australian</w:t>
      </w:r>
      <w:r>
        <w:rPr>
          <w:rFonts w:cs="Arial"/>
        </w:rPr>
        <w:t xml:space="preserve"> Human Rights Commission, </w:t>
      </w:r>
      <w:r>
        <w:rPr>
          <w:rFonts w:cs="Arial"/>
          <w:i/>
        </w:rPr>
        <w:t xml:space="preserve">Change </w:t>
      </w:r>
      <w:r w:rsidR="00A05487">
        <w:rPr>
          <w:rFonts w:cs="Arial"/>
          <w:i/>
        </w:rPr>
        <w:t>the</w:t>
      </w:r>
      <w:r>
        <w:rPr>
          <w:rFonts w:cs="Arial"/>
          <w:i/>
        </w:rPr>
        <w:t xml:space="preserve"> Course: National Report on Sexual Assault and Sexual Harassment at Australia Universities, </w:t>
      </w:r>
      <w:r>
        <w:rPr>
          <w:rFonts w:cs="Arial"/>
        </w:rPr>
        <w:t xml:space="preserve">2017, 3. </w:t>
      </w:r>
      <w:proofErr w:type="gramStart"/>
      <w:r>
        <w:rPr>
          <w:rFonts w:cs="Arial"/>
        </w:rPr>
        <w:t>At</w:t>
      </w:r>
      <w:proofErr w:type="gramEnd"/>
      <w:r>
        <w:rPr>
          <w:rFonts w:cs="Arial"/>
        </w:rPr>
        <w:t xml:space="preserve"> </w:t>
      </w:r>
      <w:hyperlink r:id="rId48" w:history="1">
        <w:r w:rsidRPr="00C42601">
          <w:rPr>
            <w:rStyle w:val="Hyperlink"/>
            <w:rFonts w:cs="Arial"/>
          </w:rPr>
          <w:t>https://www.humanrights.gov.au/sites/default/files/document/publication/AHRC_2017_ChangeTheCourse_UniversityReport.pdf</w:t>
        </w:r>
      </w:hyperlink>
      <w:r>
        <w:rPr>
          <w:rFonts w:cs="Arial"/>
        </w:rPr>
        <w:t xml:space="preserve"> (</w:t>
      </w:r>
      <w:r w:rsidRPr="00BF602B">
        <w:rPr>
          <w:rFonts w:cs="Arial"/>
        </w:rPr>
        <w:t xml:space="preserve">viewed </w:t>
      </w:r>
      <w:r>
        <w:rPr>
          <w:rFonts w:cs="Arial"/>
        </w:rPr>
        <w:t>11 September 2017).</w:t>
      </w:r>
    </w:p>
  </w:endnote>
  <w:endnote w:id="30">
    <w:p w:rsidR="004F2851" w:rsidRDefault="004F2851" w:rsidP="004F2851">
      <w:pPr>
        <w:pStyle w:val="EndnoteText"/>
      </w:pPr>
      <w:r>
        <w:rPr>
          <w:rStyle w:val="EndnoteReference"/>
        </w:rPr>
        <w:endnoteRef/>
      </w:r>
      <w:r>
        <w:t xml:space="preserve"> Australian Bureau of Statistics, </w:t>
      </w:r>
      <w:r>
        <w:rPr>
          <w:i/>
          <w:iCs/>
        </w:rPr>
        <w:t>Causes of Death, Australia, 2015 – Suicide in Australia</w:t>
      </w:r>
      <w:r>
        <w:t xml:space="preserve">. At </w:t>
      </w:r>
      <w:hyperlink r:id="rId49" w:history="1">
        <w:r>
          <w:rPr>
            <w:rStyle w:val="Hyperlink"/>
          </w:rPr>
          <w:t>http://www.abs.gov.au/ausstats/abs@.nsf/Lookup/by%20Subject/3303.0~2015~Main%20Features~Intentional%20self-harm:%20key%20characteristics~8</w:t>
        </w:r>
      </w:hyperlink>
      <w:r>
        <w:rPr>
          <w:color w:val="1F497D"/>
        </w:rPr>
        <w:t xml:space="preserve"> </w:t>
      </w:r>
      <w:r>
        <w:t>(viewed 26 September 2017).</w:t>
      </w:r>
    </w:p>
  </w:endnote>
  <w:endnote w:id="31">
    <w:p w:rsidR="00194B77" w:rsidRDefault="00194B77">
      <w:pPr>
        <w:pStyle w:val="EndnoteText"/>
      </w:pPr>
      <w:r>
        <w:rPr>
          <w:rStyle w:val="EndnoteReference"/>
        </w:rPr>
        <w:endnoteRef/>
      </w:r>
      <w:r>
        <w:t xml:space="preserve"> The Department of Social Services’ </w:t>
      </w:r>
      <w:r>
        <w:rPr>
          <w:i/>
          <w:iCs/>
        </w:rPr>
        <w:t>Baseline Valuation Report</w:t>
      </w:r>
      <w:r>
        <w:t xml:space="preserve"> stated that about 1,500 females entered the system as young parents between the ages of 14 and 18 during 2015. This group is estimated to have an average lifetime welfare cost of approximately $540,000. See Department of Social Services: </w:t>
      </w:r>
      <w:r>
        <w:rPr>
          <w:i/>
          <w:iCs/>
        </w:rPr>
        <w:t>Baseline Valuation – Final Report,</w:t>
      </w:r>
      <w:r>
        <w:t xml:space="preserve"> 2016, 114.</w:t>
      </w:r>
    </w:p>
  </w:endnote>
  <w:endnote w:id="32">
    <w:p w:rsidR="00C239F9" w:rsidRDefault="00C239F9">
      <w:pPr>
        <w:pStyle w:val="EndnoteText"/>
      </w:pPr>
      <w:r>
        <w:rPr>
          <w:rStyle w:val="EndnoteReference"/>
        </w:rPr>
        <w:endnoteRef/>
      </w:r>
      <w:r>
        <w:t xml:space="preserve"> Kate Butler et al, Institute of Child Protection Studies, Australian Catholic University, </w:t>
      </w:r>
      <w:r>
        <w:rPr>
          <w:i/>
          <w:iCs/>
        </w:rPr>
        <w:t>Experiences and Aspirations of Younger Mothers</w:t>
      </w:r>
      <w:r>
        <w:t>, 2010, 40.</w:t>
      </w:r>
    </w:p>
  </w:endnote>
  <w:endnote w:id="33">
    <w:p w:rsidR="005468C8" w:rsidRDefault="005468C8">
      <w:pPr>
        <w:pStyle w:val="EndnoteText"/>
      </w:pPr>
      <w:r>
        <w:rPr>
          <w:rStyle w:val="EndnoteReference"/>
        </w:rPr>
        <w:endnoteRef/>
      </w:r>
      <w:r>
        <w:t xml:space="preserve"> The Association of Women Educators, </w:t>
      </w:r>
      <w:r>
        <w:rPr>
          <w:i/>
          <w:iCs/>
        </w:rPr>
        <w:t xml:space="preserve">What it </w:t>
      </w:r>
      <w:proofErr w:type="gramStart"/>
      <w:r>
        <w:rPr>
          <w:i/>
          <w:iCs/>
        </w:rPr>
        <w:t>Takes</w:t>
      </w:r>
      <w:proofErr w:type="gramEnd"/>
      <w:r>
        <w:rPr>
          <w:i/>
          <w:iCs/>
        </w:rPr>
        <w:t>: Supporting pregnant and parenting young people</w:t>
      </w:r>
      <w:r>
        <w:t xml:space="preserve">, 2010, 29. At </w:t>
      </w:r>
      <w:hyperlink r:id="rId50" w:history="1">
        <w:r>
          <w:rPr>
            <w:rStyle w:val="Hyperlink"/>
          </w:rPr>
          <w:t>http://www.awe.asn.au/drupal/sites/default/files/what_it_takes.pdf</w:t>
        </w:r>
      </w:hyperlink>
      <w:r>
        <w:t xml:space="preserve"> (viewed 26 September 2017).</w:t>
      </w:r>
    </w:p>
  </w:endnote>
  <w:endnote w:id="34">
    <w:p w:rsidR="003772A5" w:rsidRPr="00892424" w:rsidRDefault="003772A5" w:rsidP="003772A5">
      <w:pPr>
        <w:pStyle w:val="EndnoteText"/>
        <w:rPr>
          <w:rFonts w:cs="Arial"/>
        </w:rPr>
      </w:pPr>
      <w:r w:rsidRPr="00892424">
        <w:rPr>
          <w:rStyle w:val="EndnoteReference"/>
          <w:rFonts w:cs="Arial"/>
        </w:rPr>
        <w:endnoteRef/>
      </w:r>
      <w:r w:rsidRPr="00892424">
        <w:rPr>
          <w:rFonts w:cs="Arial"/>
        </w:rPr>
        <w:t xml:space="preserve"> Australian Human Rights Commission, </w:t>
      </w:r>
      <w:r w:rsidRPr="00892424">
        <w:rPr>
          <w:rFonts w:cs="Arial"/>
          <w:i/>
          <w:iCs/>
        </w:rPr>
        <w:t>Resilient Individuals: Sexual Orientation Gender Identity &amp; Intersex Rights 2015</w:t>
      </w:r>
      <w:r w:rsidRPr="00892424">
        <w:rPr>
          <w:rFonts w:cs="Arial"/>
        </w:rPr>
        <w:t xml:space="preserve">, 57. At </w:t>
      </w:r>
      <w:hyperlink r:id="rId51" w:history="1">
        <w:r w:rsidRPr="00892424">
          <w:rPr>
            <w:rStyle w:val="Hyperlink"/>
            <w:rFonts w:cs="Arial"/>
          </w:rPr>
          <w:t>https://www.humanrights.gov.au/our-work/sexual-orientation-sex-gender-identity/publications/resilient-individuals-sexual</w:t>
        </w:r>
      </w:hyperlink>
      <w:r w:rsidRPr="00892424">
        <w:rPr>
          <w:rFonts w:cs="Arial"/>
        </w:rPr>
        <w:t xml:space="preserve"> (viewed 5 May 2017).</w:t>
      </w:r>
      <w:r>
        <w:rPr>
          <w:rFonts w:cs="Arial"/>
        </w:rPr>
        <w:t xml:space="preserve"> See, for example, </w:t>
      </w:r>
      <w:r w:rsidRPr="00350B28">
        <w:rPr>
          <w:i/>
        </w:rPr>
        <w:t>Re</w:t>
      </w:r>
      <w:r w:rsidRPr="00350B28">
        <w:rPr>
          <w:rFonts w:cs="Arial"/>
          <w:i/>
        </w:rPr>
        <w:t>: </w:t>
      </w:r>
      <w:r w:rsidRPr="00350B28">
        <w:rPr>
          <w:i/>
        </w:rPr>
        <w:t>Carla</w:t>
      </w:r>
      <w:r w:rsidRPr="00350B28">
        <w:rPr>
          <w:rFonts w:cs="Arial"/>
          <w:i/>
        </w:rPr>
        <w:t> (Medical Procedure)</w:t>
      </w:r>
      <w:r w:rsidRPr="00350B28">
        <w:rPr>
          <w:rFonts w:cs="Arial"/>
        </w:rPr>
        <w:t xml:space="preserve"> [2016] </w:t>
      </w:r>
      <w:proofErr w:type="spellStart"/>
      <w:r w:rsidRPr="00350B28">
        <w:rPr>
          <w:rFonts w:cs="Arial"/>
        </w:rPr>
        <w:t>FamCA</w:t>
      </w:r>
      <w:proofErr w:type="spellEnd"/>
      <w:r w:rsidRPr="00350B28">
        <w:rPr>
          <w:rFonts w:cs="Arial"/>
        </w:rPr>
        <w:t xml:space="preserve"> 7.</w:t>
      </w:r>
    </w:p>
  </w:endnote>
  <w:endnote w:id="35">
    <w:p w:rsidR="003772A5" w:rsidRDefault="003772A5" w:rsidP="003772A5">
      <w:pPr>
        <w:pStyle w:val="EndnoteText"/>
      </w:pPr>
      <w:r>
        <w:rPr>
          <w:rStyle w:val="EndnoteReference"/>
        </w:rPr>
        <w:endnoteRef/>
      </w:r>
      <w:r>
        <w:t xml:space="preserve"> Senate Standing Committee on Community Affairs, </w:t>
      </w:r>
      <w:r w:rsidRPr="00A6611A">
        <w:rPr>
          <w:i/>
        </w:rPr>
        <w:t>Involuntary or coerced sterilisation of intersex people in Australia</w:t>
      </w:r>
      <w:r>
        <w:t xml:space="preserve"> (2013). At </w:t>
      </w:r>
      <w:hyperlink r:id="rId52" w:history="1">
        <w:r w:rsidRPr="00247612">
          <w:rPr>
            <w:rStyle w:val="Hyperlink"/>
          </w:rPr>
          <w:t>http://www.aph.gov.au/Parliamentary_Business/Committees/Senate/Community_Affairs/Involuntary_Sterilisation/Sec_Report/index</w:t>
        </w:r>
      </w:hyperlink>
      <w:r>
        <w:t xml:space="preserve"> (viewed 20 June 2016). </w:t>
      </w:r>
    </w:p>
  </w:endnote>
  <w:endnote w:id="36">
    <w:p w:rsidR="00414DC7" w:rsidRPr="007F1182" w:rsidRDefault="00414DC7" w:rsidP="009A4F9D">
      <w:pPr>
        <w:pStyle w:val="EndnoteText"/>
        <w:rPr>
          <w:rFonts w:cs="Arial"/>
          <w:sz w:val="21"/>
          <w:szCs w:val="21"/>
          <w:shd w:val="clear" w:color="auto" w:fill="FFFFFF"/>
        </w:rPr>
      </w:pPr>
      <w:r>
        <w:rPr>
          <w:rStyle w:val="EndnoteReference"/>
        </w:rPr>
        <w:endnoteRef/>
      </w:r>
      <w:r>
        <w:t xml:space="preserve"> </w:t>
      </w:r>
      <w:r w:rsidRPr="00543B35">
        <w:t xml:space="preserve">Dr </w:t>
      </w:r>
      <w:proofErr w:type="spellStart"/>
      <w:r w:rsidRPr="00543B35">
        <w:t>Derya</w:t>
      </w:r>
      <w:proofErr w:type="spellEnd"/>
      <w:r w:rsidRPr="00543B35">
        <w:t xml:space="preserve"> </w:t>
      </w:r>
      <w:proofErr w:type="spellStart"/>
      <w:r w:rsidRPr="00543B35">
        <w:t>Iner</w:t>
      </w:r>
      <w:proofErr w:type="spellEnd"/>
      <w:r w:rsidRPr="00543B35">
        <w:t xml:space="preserve">, </w:t>
      </w:r>
      <w:r w:rsidRPr="00543B35">
        <w:rPr>
          <w:i/>
        </w:rPr>
        <w:t>Islamophobia in Australia</w:t>
      </w:r>
      <w:r w:rsidRPr="00543B35">
        <w:t xml:space="preserve">, 10 July 2017, 5. At: </w:t>
      </w:r>
      <w:hyperlink r:id="rId53" w:history="1">
        <w:r w:rsidRPr="00543B35">
          <w:rPr>
            <w:rStyle w:val="Hyperlink"/>
            <w:rFonts w:cs="Arial"/>
            <w:shd w:val="clear" w:color="auto" w:fill="FFFFFF"/>
          </w:rPr>
          <w:t>https://www.isra.org.au/site/user-assets/Islamophobia%20in%20Australia.pdf</w:t>
        </w:r>
      </w:hyperlink>
      <w:r w:rsidRPr="00543B35">
        <w:rPr>
          <w:rFonts w:cs="Arial"/>
          <w:color w:val="006621"/>
          <w:shd w:val="clear" w:color="auto" w:fill="FFFFFF"/>
        </w:rPr>
        <w:t xml:space="preserve"> </w:t>
      </w:r>
      <w:r w:rsidRPr="00543B35">
        <w:rPr>
          <w:rFonts w:cs="Arial"/>
          <w:shd w:val="clear" w:color="auto" w:fill="FFFFFF"/>
        </w:rPr>
        <w:t xml:space="preserve">(viewed 21 September 2017); Professor Kevin Dunn, Ms Rosalie </w:t>
      </w:r>
      <w:proofErr w:type="spellStart"/>
      <w:r w:rsidRPr="00543B35">
        <w:rPr>
          <w:rFonts w:cs="Arial"/>
          <w:shd w:val="clear" w:color="auto" w:fill="FFFFFF"/>
        </w:rPr>
        <w:t>Atie</w:t>
      </w:r>
      <w:proofErr w:type="spellEnd"/>
      <w:r w:rsidRPr="00543B35">
        <w:rPr>
          <w:rFonts w:cs="Arial"/>
          <w:shd w:val="clear" w:color="auto" w:fill="FFFFFF"/>
        </w:rPr>
        <w:t xml:space="preserve">, Dr Virginia </w:t>
      </w:r>
      <w:proofErr w:type="spellStart"/>
      <w:r w:rsidRPr="00543B35">
        <w:rPr>
          <w:rFonts w:cs="Arial"/>
          <w:shd w:val="clear" w:color="auto" w:fill="FFFFFF"/>
        </w:rPr>
        <w:t>Mapedzahama</w:t>
      </w:r>
      <w:proofErr w:type="spellEnd"/>
      <w:r w:rsidRPr="00543B35">
        <w:rPr>
          <w:rFonts w:cs="Arial"/>
          <w:shd w:val="clear" w:color="auto" w:fill="FFFFFF"/>
        </w:rPr>
        <w:t xml:space="preserve">, Associate Professor Mehmet </w:t>
      </w:r>
      <w:proofErr w:type="spellStart"/>
      <w:r w:rsidRPr="00543B35">
        <w:rPr>
          <w:rFonts w:cs="Arial"/>
          <w:shd w:val="clear" w:color="auto" w:fill="FFFFFF"/>
        </w:rPr>
        <w:t>Ozalp</w:t>
      </w:r>
      <w:proofErr w:type="spellEnd"/>
      <w:r w:rsidRPr="00543B35">
        <w:rPr>
          <w:rFonts w:cs="Arial"/>
          <w:shd w:val="clear" w:color="auto" w:fill="FFFFFF"/>
        </w:rPr>
        <w:t xml:space="preserve">, Dr </w:t>
      </w:r>
      <w:proofErr w:type="spellStart"/>
      <w:r w:rsidRPr="00543B35">
        <w:rPr>
          <w:rFonts w:cs="Arial"/>
          <w:shd w:val="clear" w:color="auto" w:fill="FFFFFF"/>
        </w:rPr>
        <w:t>Adem</w:t>
      </w:r>
      <w:proofErr w:type="spellEnd"/>
      <w:r w:rsidRPr="00543B35">
        <w:rPr>
          <w:rFonts w:cs="Arial"/>
          <w:shd w:val="clear" w:color="auto" w:fill="FFFFFF"/>
        </w:rPr>
        <w:t xml:space="preserve"> F. </w:t>
      </w:r>
      <w:proofErr w:type="spellStart"/>
      <w:r w:rsidRPr="00543B35">
        <w:rPr>
          <w:rFonts w:cs="Arial"/>
          <w:shd w:val="clear" w:color="auto" w:fill="FFFFFF"/>
        </w:rPr>
        <w:t>Aydogan</w:t>
      </w:r>
      <w:proofErr w:type="spellEnd"/>
      <w:r w:rsidRPr="00543B35">
        <w:rPr>
          <w:rFonts w:cs="Arial"/>
          <w:shd w:val="clear" w:color="auto" w:fill="FFFFFF"/>
        </w:rPr>
        <w:t xml:space="preserve">, </w:t>
      </w:r>
      <w:r w:rsidRPr="00543B35">
        <w:rPr>
          <w:rFonts w:cs="Arial"/>
          <w:i/>
          <w:shd w:val="clear" w:color="auto" w:fill="FFFFFF"/>
        </w:rPr>
        <w:t>The resilience and ordinariness of Australian Muslims: Attitudes and experiences of Muslims Report</w:t>
      </w:r>
      <w:r w:rsidRPr="00543B35">
        <w:rPr>
          <w:rFonts w:cs="Arial"/>
          <w:shd w:val="clear" w:color="auto" w:fill="FFFFFF"/>
        </w:rPr>
        <w:t xml:space="preserve">, November 2015. At: </w:t>
      </w:r>
      <w:hyperlink r:id="rId54" w:history="1">
        <w:r w:rsidRPr="00543B35">
          <w:rPr>
            <w:rStyle w:val="Hyperlink"/>
          </w:rPr>
          <w:t>https://www.westernsydney.edu.au/__data/assets/pdf_file/0008/988793/12441_text_challenging_racism_WEB.pdf</w:t>
        </w:r>
      </w:hyperlink>
      <w:r w:rsidRPr="00543B35">
        <w:rPr>
          <w:color w:val="1F497D"/>
        </w:rPr>
        <w:t xml:space="preserve"> </w:t>
      </w:r>
      <w:r w:rsidRPr="00543B35">
        <w:rPr>
          <w:rFonts w:cs="Arial"/>
          <w:shd w:val="clear" w:color="auto" w:fill="FFFFFF"/>
        </w:rPr>
        <w:t>(Viewed 21 September 2017).</w:t>
      </w:r>
      <w:r>
        <w:rPr>
          <w:rFonts w:cs="Arial"/>
          <w:sz w:val="21"/>
          <w:szCs w:val="21"/>
          <w:shd w:val="clear" w:color="auto" w:fill="FFFFFF"/>
        </w:rPr>
        <w:t xml:space="preserve"> </w:t>
      </w:r>
    </w:p>
  </w:endnote>
  <w:endnote w:id="37">
    <w:p w:rsidR="00414DC7" w:rsidRDefault="00414DC7">
      <w:pPr>
        <w:pStyle w:val="EndnoteText"/>
      </w:pPr>
      <w:r>
        <w:rPr>
          <w:rStyle w:val="EndnoteReference"/>
        </w:rPr>
        <w:endnoteRef/>
      </w:r>
      <w:r>
        <w:t xml:space="preserve"> Australian Human Rights Commission, </w:t>
      </w:r>
      <w:r w:rsidRPr="003D0235">
        <w:rPr>
          <w:i/>
        </w:rPr>
        <w:t>Isma - Listen: National consultations on eliminating prejudice against Arab and Muslim Australians</w:t>
      </w:r>
      <w:r>
        <w:t xml:space="preserve">, 2002, 3. At: </w:t>
      </w:r>
      <w:hyperlink r:id="rId55" w:history="1">
        <w:r w:rsidRPr="004E0396">
          <w:rPr>
            <w:rStyle w:val="Hyperlink"/>
          </w:rPr>
          <w:t>https://www.humanrights.gov.au/our-work/race-discrimination/projects/isma-listen-national-consultations-eliminating-prejudice</w:t>
        </w:r>
      </w:hyperlink>
      <w:r>
        <w:t xml:space="preserve"> (viewed 21 September 2017). </w:t>
      </w:r>
    </w:p>
  </w:endnote>
  <w:endnote w:id="38">
    <w:p w:rsidR="00414DC7" w:rsidRDefault="00414DC7" w:rsidP="00012355">
      <w:pPr>
        <w:pStyle w:val="EndnoteText"/>
      </w:pPr>
      <w:r>
        <w:rPr>
          <w:rStyle w:val="EndnoteReference"/>
        </w:rPr>
        <w:endnoteRef/>
      </w:r>
      <w:r>
        <w:t xml:space="preserve"> Australian Human Rights Commission, </w:t>
      </w:r>
      <w:r w:rsidRPr="003D0235">
        <w:rPr>
          <w:i/>
        </w:rPr>
        <w:t>Isma - Listen: National consultations on eliminating prejudice against Arab and Muslim Australians</w:t>
      </w:r>
      <w:r>
        <w:t xml:space="preserve">, 2002, 78. At: </w:t>
      </w:r>
      <w:hyperlink r:id="rId56" w:history="1">
        <w:r w:rsidRPr="004E0396">
          <w:rPr>
            <w:rStyle w:val="Hyperlink"/>
          </w:rPr>
          <w:t>https://www.humanrights.gov.au/our-work/race-discrimination/projects/isma-listen-national-consultations-eliminating-prejudice</w:t>
        </w:r>
      </w:hyperlink>
      <w:r>
        <w:t xml:space="preserve"> (viewed 21 September 2017).</w:t>
      </w:r>
    </w:p>
  </w:endnote>
  <w:endnote w:id="39">
    <w:p w:rsidR="00414DC7" w:rsidRDefault="00414DC7" w:rsidP="00004207">
      <w:pPr>
        <w:pStyle w:val="EndnoteText"/>
      </w:pPr>
      <w:r>
        <w:rPr>
          <w:rStyle w:val="EndnoteReference"/>
        </w:rPr>
        <w:endnoteRef/>
      </w:r>
      <w:r>
        <w:t xml:space="preserve"> Australian Human Rights Commission, </w:t>
      </w:r>
      <w:r w:rsidRPr="001B2C3C">
        <w:rPr>
          <w:i/>
        </w:rPr>
        <w:t>A conversation in gender equality</w:t>
      </w:r>
      <w:r>
        <w:t xml:space="preserve">, March 2017. At: </w:t>
      </w:r>
      <w:hyperlink r:id="rId57" w:history="1">
        <w:r w:rsidRPr="00415E6D">
          <w:rPr>
            <w:rStyle w:val="Hyperlink"/>
          </w:rPr>
          <w:t>https://www.humanrights.gov.au/our-work/sex-discrimination/projects/conversation-gender-equality-2017</w:t>
        </w:r>
      </w:hyperlink>
      <w:r>
        <w:t xml:space="preserve"> (viewed 13 September 2017). </w:t>
      </w:r>
    </w:p>
  </w:endnote>
  <w:endnote w:id="40">
    <w:p w:rsidR="00414DC7" w:rsidRDefault="00414DC7" w:rsidP="00004207">
      <w:pPr>
        <w:pStyle w:val="EndnoteText"/>
      </w:pPr>
      <w:r>
        <w:rPr>
          <w:rStyle w:val="EndnoteReference"/>
        </w:rPr>
        <w:endnoteRef/>
      </w:r>
      <w:r>
        <w:t xml:space="preserve"> Australian Human Rights Commission, </w:t>
      </w:r>
      <w:r w:rsidRPr="001B2C3C">
        <w:rPr>
          <w:i/>
        </w:rPr>
        <w:t>A conversation in gender equality</w:t>
      </w:r>
      <w:r>
        <w:t xml:space="preserve">, March 2017, 18. At: </w:t>
      </w:r>
      <w:hyperlink r:id="rId58" w:history="1">
        <w:r w:rsidRPr="00415E6D">
          <w:rPr>
            <w:rStyle w:val="Hyperlink"/>
          </w:rPr>
          <w:t>https://www.humanrights.gov.au/our-work/sex-discrimination/projects/conversation-gender-equality-2017</w:t>
        </w:r>
      </w:hyperlink>
      <w:r>
        <w:t xml:space="preserve"> (viewed 13 September 2017).</w:t>
      </w:r>
    </w:p>
  </w:endnote>
  <w:endnote w:id="41">
    <w:p w:rsidR="00414DC7" w:rsidRDefault="00414DC7">
      <w:pPr>
        <w:pStyle w:val="EndnoteText"/>
      </w:pPr>
      <w:r>
        <w:rPr>
          <w:rStyle w:val="EndnoteReference"/>
        </w:rPr>
        <w:endnoteRef/>
      </w:r>
      <w:r>
        <w:t xml:space="preserve"> Australian Human Rights Commission, </w:t>
      </w:r>
      <w:r w:rsidRPr="001B2C3C">
        <w:rPr>
          <w:i/>
        </w:rPr>
        <w:t>A conversation in gender equality</w:t>
      </w:r>
      <w:r>
        <w:t xml:space="preserve">, March 2017, 18. At: </w:t>
      </w:r>
      <w:hyperlink r:id="rId59" w:history="1">
        <w:r w:rsidRPr="00415E6D">
          <w:rPr>
            <w:rStyle w:val="Hyperlink"/>
          </w:rPr>
          <w:t>https://www.humanrights.gov.au/our-work/sex-discrimination/projects/conversation-gender-equality-2017</w:t>
        </w:r>
      </w:hyperlink>
      <w:r>
        <w:t xml:space="preserve"> (viewed 13 September 2017).</w:t>
      </w:r>
    </w:p>
  </w:endnote>
  <w:endnote w:id="42">
    <w:p w:rsidR="00414DC7" w:rsidRPr="00892424" w:rsidRDefault="00414DC7" w:rsidP="00A06245">
      <w:pPr>
        <w:pStyle w:val="EndnoteText"/>
        <w:rPr>
          <w:rFonts w:cs="Arial"/>
          <w:lang w:val="en-US"/>
        </w:rPr>
      </w:pPr>
      <w:r w:rsidRPr="00892424">
        <w:rPr>
          <w:rStyle w:val="EndnoteReference"/>
          <w:rFonts w:cs="Arial"/>
        </w:rPr>
        <w:endnoteRef/>
      </w:r>
      <w:r w:rsidRPr="00892424">
        <w:rPr>
          <w:rFonts w:cs="Arial"/>
        </w:rPr>
        <w:t xml:space="preserve"> </w:t>
      </w:r>
      <w:r w:rsidRPr="00892424">
        <w:rPr>
          <w:rFonts w:cs="Arial"/>
          <w:lang w:val="en-US"/>
        </w:rPr>
        <w:t xml:space="preserve">Australian Human Rights Commission, </w:t>
      </w:r>
      <w:r w:rsidRPr="00892424">
        <w:rPr>
          <w:rFonts w:cs="Arial"/>
          <w:i/>
          <w:lang w:val="en-US"/>
        </w:rPr>
        <w:t xml:space="preserve">Willing to Work: National Inquiry into Employment Discrimination Against Older Australians </w:t>
      </w:r>
      <w:r>
        <w:rPr>
          <w:rFonts w:cs="Arial"/>
          <w:i/>
          <w:lang w:val="en-US"/>
        </w:rPr>
        <w:t xml:space="preserve">and Australians with Disability, </w:t>
      </w:r>
      <w:r>
        <w:rPr>
          <w:rFonts w:eastAsia="Times New Roman" w:cs="Arial"/>
          <w:color w:val="000000"/>
        </w:rPr>
        <w:t>2 May 2016</w:t>
      </w:r>
      <w:r w:rsidRPr="00892424">
        <w:rPr>
          <w:rFonts w:cs="Arial"/>
          <w:lang w:val="en-US"/>
        </w:rPr>
        <w:t xml:space="preserve">. At </w:t>
      </w:r>
      <w:hyperlink r:id="rId60" w:history="1">
        <w:r w:rsidRPr="00892424">
          <w:rPr>
            <w:rStyle w:val="Hyperlink"/>
            <w:rFonts w:cs="Arial"/>
          </w:rPr>
          <w:t>https://www.humanrights.gov.au/our-work/disability-rights/publications/willing-work-national-inquiry-employment-discrimination</w:t>
        </w:r>
      </w:hyperlink>
      <w:r w:rsidRPr="00892424">
        <w:rPr>
          <w:rFonts w:cs="Arial"/>
        </w:rPr>
        <w:t xml:space="preserve"> </w:t>
      </w:r>
      <w:r w:rsidRPr="00892424">
        <w:rPr>
          <w:rFonts w:cs="Arial"/>
          <w:lang w:val="en-US"/>
        </w:rPr>
        <w:t xml:space="preserve"> (</w:t>
      </w:r>
      <w:r w:rsidRPr="00BF602B">
        <w:rPr>
          <w:rFonts w:cs="Arial"/>
        </w:rPr>
        <w:t xml:space="preserve">viewed </w:t>
      </w:r>
      <w:r>
        <w:rPr>
          <w:rFonts w:cs="Arial"/>
        </w:rPr>
        <w:t>11 September 2017</w:t>
      </w:r>
      <w:r w:rsidRPr="00892424">
        <w:rPr>
          <w:rFonts w:cs="Arial"/>
          <w:lang w:val="en-US"/>
        </w:rPr>
        <w:t>).</w:t>
      </w:r>
    </w:p>
  </w:endnote>
  <w:endnote w:id="43">
    <w:p w:rsidR="00414DC7" w:rsidRDefault="00414DC7">
      <w:pPr>
        <w:pStyle w:val="EndnoteText"/>
      </w:pPr>
      <w:r>
        <w:rPr>
          <w:rStyle w:val="EndnoteReference"/>
        </w:rPr>
        <w:endnoteRef/>
      </w:r>
      <w:r>
        <w:t xml:space="preserve"> </w:t>
      </w:r>
      <w:r w:rsidRPr="00892424">
        <w:rPr>
          <w:rFonts w:cs="Arial"/>
          <w:lang w:val="en-US"/>
        </w:rPr>
        <w:t xml:space="preserve">Australian Human Rights Commission, </w:t>
      </w:r>
      <w:r w:rsidRPr="00892424">
        <w:rPr>
          <w:rFonts w:cs="Arial"/>
          <w:i/>
          <w:lang w:val="en-US"/>
        </w:rPr>
        <w:t xml:space="preserve">Willing to Work: National Inquiry into Employment Discrimination </w:t>
      </w:r>
      <w:proofErr w:type="gramStart"/>
      <w:r w:rsidRPr="00892424">
        <w:rPr>
          <w:rFonts w:cs="Arial"/>
          <w:i/>
          <w:lang w:val="en-US"/>
        </w:rPr>
        <w:t>Against</w:t>
      </w:r>
      <w:proofErr w:type="gramEnd"/>
      <w:r w:rsidRPr="00892424">
        <w:rPr>
          <w:rFonts w:cs="Arial"/>
          <w:i/>
          <w:lang w:val="en-US"/>
        </w:rPr>
        <w:t xml:space="preserve"> Older Australians </w:t>
      </w:r>
      <w:r>
        <w:rPr>
          <w:rFonts w:cs="Arial"/>
          <w:i/>
          <w:lang w:val="en-US"/>
        </w:rPr>
        <w:t xml:space="preserve">and Australians with Disability, </w:t>
      </w:r>
      <w:r>
        <w:rPr>
          <w:rFonts w:eastAsia="Times New Roman" w:cs="Arial"/>
          <w:color w:val="000000"/>
        </w:rPr>
        <w:t>2 May 2016, 11</w:t>
      </w:r>
      <w:r w:rsidRPr="00892424">
        <w:rPr>
          <w:rFonts w:cs="Arial"/>
          <w:lang w:val="en-US"/>
        </w:rPr>
        <w:t xml:space="preserve">. At </w:t>
      </w:r>
      <w:hyperlink r:id="rId61" w:history="1">
        <w:r w:rsidRPr="00892424">
          <w:rPr>
            <w:rStyle w:val="Hyperlink"/>
            <w:rFonts w:cs="Arial"/>
          </w:rPr>
          <w:t>https://www.humanrights.gov.au/our-work/disability-rights/publications/willing-work-national-inquiry-employment-discrimination</w:t>
        </w:r>
      </w:hyperlink>
      <w:r w:rsidRPr="00892424">
        <w:rPr>
          <w:rFonts w:cs="Arial"/>
        </w:rPr>
        <w:t xml:space="preserve"> </w:t>
      </w:r>
      <w:r w:rsidRPr="00892424">
        <w:rPr>
          <w:rFonts w:cs="Arial"/>
          <w:lang w:val="en-US"/>
        </w:rPr>
        <w:t xml:space="preserve"> (</w:t>
      </w:r>
      <w:r w:rsidRPr="00BF602B">
        <w:rPr>
          <w:rFonts w:cs="Arial"/>
        </w:rPr>
        <w:t xml:space="preserve">viewed </w:t>
      </w:r>
      <w:r>
        <w:rPr>
          <w:rFonts w:cs="Arial"/>
        </w:rPr>
        <w:t>11 September 2017</w:t>
      </w:r>
      <w:r w:rsidRPr="00892424">
        <w:rPr>
          <w:rFonts w:cs="Arial"/>
          <w:lang w:val="en-US"/>
        </w:rPr>
        <w:t>).</w:t>
      </w:r>
    </w:p>
  </w:endnote>
  <w:endnote w:id="44">
    <w:p w:rsidR="00414DC7" w:rsidRDefault="00414DC7">
      <w:pPr>
        <w:pStyle w:val="EndnoteText"/>
      </w:pPr>
      <w:r>
        <w:rPr>
          <w:rStyle w:val="EndnoteReference"/>
        </w:rPr>
        <w:endnoteRef/>
      </w:r>
      <w:r>
        <w:t xml:space="preserve"> </w:t>
      </w:r>
      <w:r w:rsidRPr="00013E75">
        <w:t>Wesley Mission Brisbane and Council of the Ageing (COTA) Queensland, a</w:t>
      </w:r>
      <w:r>
        <w:t xml:space="preserve">nd Urbis ‘Doing it Tough’, 2015. At: </w:t>
      </w:r>
      <w:hyperlink r:id="rId62" w:history="1">
        <w:r w:rsidRPr="004B0EA1">
          <w:rPr>
            <w:rStyle w:val="Hyperlink"/>
          </w:rPr>
          <w:t>https://urbis.com.au/insights-news/wesley-mission-report-reveals-queenslands-older-women-poverty-experiences/</w:t>
        </w:r>
      </w:hyperlink>
      <w:r>
        <w:t xml:space="preserve"> (viewed 14 September 2017).</w:t>
      </w:r>
    </w:p>
  </w:endnote>
  <w:endnote w:id="45">
    <w:p w:rsidR="00414DC7" w:rsidRDefault="00414DC7">
      <w:pPr>
        <w:pStyle w:val="EndnoteText"/>
      </w:pPr>
      <w:r>
        <w:rPr>
          <w:rStyle w:val="EndnoteReference"/>
        </w:rPr>
        <w:endnoteRef/>
      </w:r>
      <w:r>
        <w:t xml:space="preserve"> Dr Kay Patterson, ‘Ageing and Advocacy’, (Speech delivered at the Annual David Simmons Address, </w:t>
      </w:r>
      <w:r w:rsidRPr="008312E9">
        <w:t>Austral</w:t>
      </w:r>
      <w:r>
        <w:t xml:space="preserve">ian Association of Gerontology </w:t>
      </w:r>
      <w:r w:rsidRPr="008312E9">
        <w:t>and Nat</w:t>
      </w:r>
      <w:r>
        <w:t xml:space="preserve">ional Ageing Research Institute, 31 August 2017). At: </w:t>
      </w:r>
      <w:hyperlink r:id="rId63" w:history="1">
        <w:r w:rsidRPr="004B0EA1">
          <w:rPr>
            <w:rStyle w:val="Hyperlink"/>
          </w:rPr>
          <w:t>http://www.humanrights.gov.au/news/speeches/annual-david-simmons-address</w:t>
        </w:r>
      </w:hyperlink>
      <w:r>
        <w:t xml:space="preserve"> </w:t>
      </w:r>
      <w:r w:rsidRPr="009A3722">
        <w:t xml:space="preserve"> </w:t>
      </w:r>
      <w:r>
        <w:t xml:space="preserve">(viewed 14 September 2017). </w:t>
      </w:r>
    </w:p>
  </w:endnote>
  <w:endnote w:id="46">
    <w:p w:rsidR="00414DC7" w:rsidRPr="00C6719E" w:rsidRDefault="00414DC7" w:rsidP="00574C8E">
      <w:pPr>
        <w:autoSpaceDE w:val="0"/>
        <w:autoSpaceDN w:val="0"/>
        <w:adjustRightInd w:val="0"/>
        <w:spacing w:before="0" w:after="0"/>
        <w:rPr>
          <w:rFonts w:eastAsia="Times New Roman" w:cs="Arial"/>
          <w:color w:val="000000"/>
          <w:sz w:val="20"/>
          <w:szCs w:val="20"/>
        </w:rPr>
      </w:pPr>
      <w:r w:rsidRPr="00892424">
        <w:rPr>
          <w:rStyle w:val="EndnoteReference"/>
          <w:rFonts w:cs="Arial"/>
          <w:szCs w:val="20"/>
        </w:rPr>
        <w:endnoteRef/>
      </w:r>
      <w:r w:rsidRPr="00892424">
        <w:rPr>
          <w:rFonts w:cs="Arial"/>
          <w:sz w:val="20"/>
          <w:szCs w:val="20"/>
        </w:rPr>
        <w:t xml:space="preserve"> </w:t>
      </w:r>
      <w:r w:rsidRPr="00892424">
        <w:rPr>
          <w:rFonts w:eastAsia="Times New Roman" w:cs="Arial"/>
          <w:color w:val="000000"/>
          <w:sz w:val="20"/>
          <w:szCs w:val="20"/>
        </w:rPr>
        <w:t xml:space="preserve">Australian Law Reform Commission, </w:t>
      </w:r>
      <w:r w:rsidRPr="00892424">
        <w:rPr>
          <w:rFonts w:eastAsia="Times New Roman" w:cs="Arial"/>
          <w:i/>
          <w:iCs/>
          <w:color w:val="000000"/>
          <w:sz w:val="20"/>
          <w:szCs w:val="20"/>
        </w:rPr>
        <w:t>Elder Abuse Discussion Paper</w:t>
      </w:r>
      <w:r w:rsidRPr="00892424">
        <w:rPr>
          <w:rFonts w:eastAsia="Times New Roman" w:cs="Arial"/>
          <w:color w:val="000000"/>
          <w:sz w:val="20"/>
          <w:szCs w:val="20"/>
        </w:rPr>
        <w:t>, Discussion Paper No 83 (2016</w:t>
      </w:r>
      <w:r w:rsidRPr="00C6719E">
        <w:rPr>
          <w:rFonts w:eastAsia="Times New Roman" w:cs="Arial"/>
          <w:color w:val="000000"/>
          <w:sz w:val="20"/>
          <w:szCs w:val="20"/>
        </w:rPr>
        <w:t xml:space="preserve">) 17 [1.13]. At </w:t>
      </w:r>
      <w:r w:rsidRPr="00C6719E">
        <w:rPr>
          <w:rFonts w:eastAsia="Times New Roman" w:cs="Arial"/>
          <w:color w:val="0000FF"/>
          <w:sz w:val="20"/>
          <w:szCs w:val="20"/>
        </w:rPr>
        <w:t xml:space="preserve">https://www.alrc.gov.au/publications/elder-abuse-dp83 </w:t>
      </w:r>
      <w:r w:rsidRPr="00C6719E">
        <w:rPr>
          <w:rFonts w:eastAsia="Times New Roman" w:cs="Arial"/>
          <w:color w:val="000000"/>
          <w:sz w:val="20"/>
          <w:szCs w:val="20"/>
        </w:rPr>
        <w:t>(</w:t>
      </w:r>
      <w:r w:rsidRPr="00242AC2">
        <w:rPr>
          <w:rFonts w:eastAsia="Times New Roman" w:cs="Arial"/>
          <w:color w:val="000000"/>
          <w:sz w:val="20"/>
          <w:szCs w:val="20"/>
        </w:rPr>
        <w:t>viewed 11 September 2017</w:t>
      </w:r>
      <w:r w:rsidRPr="00C6719E">
        <w:rPr>
          <w:rFonts w:eastAsia="Times New Roman" w:cs="Arial"/>
          <w:color w:val="000000"/>
          <w:sz w:val="20"/>
          <w:szCs w:val="20"/>
        </w:rPr>
        <w:t>).</w:t>
      </w:r>
    </w:p>
  </w:endnote>
  <w:endnote w:id="47">
    <w:p w:rsidR="00414DC7" w:rsidRPr="00B21157" w:rsidRDefault="00414DC7" w:rsidP="00574C8E">
      <w:pPr>
        <w:autoSpaceDE w:val="0"/>
        <w:autoSpaceDN w:val="0"/>
        <w:adjustRightInd w:val="0"/>
        <w:spacing w:before="0" w:after="0"/>
        <w:rPr>
          <w:rFonts w:eastAsia="Times New Roman" w:cs="Arial"/>
          <w:color w:val="000000"/>
          <w:sz w:val="20"/>
          <w:szCs w:val="20"/>
        </w:rPr>
      </w:pPr>
      <w:r w:rsidRPr="00892424">
        <w:rPr>
          <w:rStyle w:val="EndnoteReference"/>
          <w:rFonts w:cs="Arial"/>
          <w:szCs w:val="20"/>
        </w:rPr>
        <w:endnoteRef/>
      </w:r>
      <w:r w:rsidRPr="00892424">
        <w:rPr>
          <w:rFonts w:cs="Arial"/>
          <w:sz w:val="20"/>
          <w:szCs w:val="20"/>
        </w:rPr>
        <w:t xml:space="preserve"> </w:t>
      </w:r>
      <w:r w:rsidRPr="00892424">
        <w:rPr>
          <w:rFonts w:eastAsia="Times New Roman" w:cs="Arial"/>
          <w:color w:val="000000"/>
          <w:sz w:val="20"/>
          <w:szCs w:val="20"/>
        </w:rPr>
        <w:t xml:space="preserve">Australian </w:t>
      </w:r>
      <w:r w:rsidRPr="00B21157">
        <w:rPr>
          <w:rFonts w:eastAsia="Times New Roman" w:cs="Arial"/>
          <w:color w:val="000000"/>
          <w:sz w:val="20"/>
          <w:szCs w:val="20"/>
        </w:rPr>
        <w:t xml:space="preserve">Law Reform Commission, </w:t>
      </w:r>
      <w:r w:rsidRPr="00B21157">
        <w:rPr>
          <w:rFonts w:eastAsia="Times New Roman" w:cs="Arial"/>
          <w:i/>
          <w:iCs/>
          <w:color w:val="000000"/>
          <w:sz w:val="20"/>
          <w:szCs w:val="20"/>
        </w:rPr>
        <w:t>Elder Abuse Discussion Paper</w:t>
      </w:r>
      <w:r w:rsidRPr="00B21157">
        <w:rPr>
          <w:rFonts w:eastAsia="Times New Roman" w:cs="Arial"/>
          <w:color w:val="000000"/>
          <w:sz w:val="20"/>
          <w:szCs w:val="20"/>
        </w:rPr>
        <w:t>, Discussion Paper No 83</w:t>
      </w:r>
    </w:p>
    <w:p w:rsidR="00414DC7" w:rsidRPr="00A05487" w:rsidRDefault="00414DC7" w:rsidP="00574C8E">
      <w:pPr>
        <w:autoSpaceDE w:val="0"/>
        <w:autoSpaceDN w:val="0"/>
        <w:adjustRightInd w:val="0"/>
        <w:spacing w:before="0" w:after="0"/>
        <w:rPr>
          <w:rFonts w:eastAsia="Times New Roman" w:cs="Arial"/>
          <w:i/>
          <w:iCs/>
          <w:color w:val="000000"/>
          <w:sz w:val="20"/>
          <w:szCs w:val="20"/>
        </w:rPr>
      </w:pPr>
      <w:r w:rsidRPr="00B21157">
        <w:rPr>
          <w:rFonts w:eastAsia="Times New Roman" w:cs="Arial"/>
          <w:color w:val="000000"/>
          <w:sz w:val="20"/>
          <w:szCs w:val="20"/>
        </w:rPr>
        <w:t xml:space="preserve">(2016) 22 [1.36], 30 [1.73], 128 [7.6]. At </w:t>
      </w:r>
      <w:r w:rsidRPr="00B21157">
        <w:rPr>
          <w:rFonts w:eastAsia="Times New Roman" w:cs="Arial"/>
          <w:color w:val="0000FF"/>
          <w:sz w:val="20"/>
          <w:szCs w:val="20"/>
        </w:rPr>
        <w:t xml:space="preserve">https://www.alrc.gov.au/publications/elder-abuse-dp83 </w:t>
      </w:r>
      <w:r w:rsidRPr="00B21157">
        <w:rPr>
          <w:rFonts w:eastAsia="Times New Roman" w:cs="Arial"/>
          <w:color w:val="000000"/>
          <w:sz w:val="20"/>
          <w:szCs w:val="20"/>
        </w:rPr>
        <w:t>(</w:t>
      </w:r>
      <w:r w:rsidRPr="00242AC2">
        <w:rPr>
          <w:rFonts w:eastAsia="Times New Roman" w:cs="Arial"/>
          <w:color w:val="000000"/>
          <w:sz w:val="20"/>
          <w:szCs w:val="20"/>
        </w:rPr>
        <w:t>viewed 11 September 2017</w:t>
      </w:r>
      <w:r w:rsidRPr="00B21157">
        <w:rPr>
          <w:rFonts w:eastAsia="Times New Roman" w:cs="Arial"/>
          <w:color w:val="000000"/>
          <w:sz w:val="20"/>
          <w:szCs w:val="20"/>
        </w:rPr>
        <w:t xml:space="preserve">); Australian Institute of Family Studies, </w:t>
      </w:r>
      <w:r w:rsidRPr="00B21157">
        <w:rPr>
          <w:rFonts w:eastAsia="Times New Roman" w:cs="Arial"/>
          <w:i/>
          <w:iCs/>
          <w:color w:val="000000"/>
          <w:sz w:val="20"/>
          <w:szCs w:val="20"/>
        </w:rPr>
        <w:t>Elder Abuse: Understanding issues, frameworks and</w:t>
      </w:r>
      <w:r w:rsidR="00A05487">
        <w:rPr>
          <w:rFonts w:eastAsia="Times New Roman" w:cs="Arial"/>
          <w:i/>
          <w:iCs/>
          <w:color w:val="000000"/>
          <w:sz w:val="20"/>
          <w:szCs w:val="20"/>
        </w:rPr>
        <w:t xml:space="preserve"> </w:t>
      </w:r>
      <w:r w:rsidRPr="00B2471B">
        <w:rPr>
          <w:rFonts w:eastAsia="Times New Roman" w:cs="Arial"/>
          <w:i/>
          <w:iCs/>
          <w:color w:val="000000"/>
          <w:sz w:val="20"/>
          <w:szCs w:val="20"/>
        </w:rPr>
        <w:t>responses</w:t>
      </w:r>
      <w:r w:rsidRPr="00B2471B">
        <w:rPr>
          <w:rFonts w:eastAsia="Times New Roman" w:cs="Arial"/>
          <w:color w:val="000000"/>
          <w:sz w:val="20"/>
          <w:szCs w:val="20"/>
        </w:rPr>
        <w:t xml:space="preserve">, Research Report No 35 (2016). At </w:t>
      </w:r>
      <w:hyperlink r:id="rId64" w:history="1">
        <w:r w:rsidRPr="00940AAC">
          <w:rPr>
            <w:rStyle w:val="Hyperlink"/>
            <w:rFonts w:eastAsia="Times New Roman" w:cs="Arial"/>
            <w:sz w:val="20"/>
            <w:szCs w:val="20"/>
          </w:rPr>
          <w:t>https://aifs.gov.au/publications/elder-abuse/2-whatelder-abuse</w:t>
        </w:r>
      </w:hyperlink>
      <w:r>
        <w:rPr>
          <w:rFonts w:eastAsia="Times New Roman" w:cs="Arial"/>
          <w:color w:val="0000FF"/>
          <w:sz w:val="20"/>
          <w:szCs w:val="20"/>
        </w:rPr>
        <w:t xml:space="preserve"> </w:t>
      </w:r>
      <w:r w:rsidRPr="00892424">
        <w:rPr>
          <w:rFonts w:eastAsia="Times New Roman" w:cs="Arial"/>
          <w:color w:val="000000"/>
          <w:sz w:val="20"/>
          <w:szCs w:val="20"/>
        </w:rPr>
        <w:t>(</w:t>
      </w:r>
      <w:r w:rsidRPr="00242AC2">
        <w:rPr>
          <w:rFonts w:eastAsia="Times New Roman" w:cs="Arial"/>
          <w:color w:val="000000"/>
          <w:sz w:val="20"/>
          <w:szCs w:val="20"/>
        </w:rPr>
        <w:t>viewed 11 September 2017</w:t>
      </w:r>
      <w:r w:rsidRPr="00892424">
        <w:rPr>
          <w:rFonts w:eastAsia="Times New Roman" w:cs="Arial"/>
          <w:color w:val="000000"/>
          <w:sz w:val="20"/>
          <w:szCs w:val="20"/>
        </w:rPr>
        <w:t>).</w:t>
      </w:r>
    </w:p>
  </w:endnote>
  <w:endnote w:id="48">
    <w:p w:rsidR="00414DC7" w:rsidRPr="00892424" w:rsidRDefault="00414DC7" w:rsidP="00574C8E">
      <w:pPr>
        <w:pStyle w:val="EndnoteText"/>
        <w:rPr>
          <w:rFonts w:cs="Arial"/>
        </w:rPr>
      </w:pPr>
      <w:r w:rsidRPr="00892424">
        <w:rPr>
          <w:rStyle w:val="EndnoteReference"/>
          <w:rFonts w:cs="Arial"/>
        </w:rPr>
        <w:endnoteRef/>
      </w:r>
      <w:r w:rsidRPr="00892424">
        <w:rPr>
          <w:rFonts w:cs="Arial"/>
        </w:rPr>
        <w:t> </w:t>
      </w:r>
      <w:r w:rsidRPr="002C64C1">
        <w:t xml:space="preserve">The report also provided recommendations in a number of specific areas including aged care, enduring documents, family agreements, superannuation, wills, banking, </w:t>
      </w:r>
      <w:proofErr w:type="gramStart"/>
      <w:r w:rsidRPr="002C64C1">
        <w:t>tribunal</w:t>
      </w:r>
      <w:proofErr w:type="gramEnd"/>
      <w:r w:rsidRPr="002C64C1">
        <w:t xml:space="preserve"> appointed guardians and administrators, social security, health and criminal justice responses</w:t>
      </w:r>
      <w:r>
        <w:t xml:space="preserve">. See Australian Law Reform Commission, </w:t>
      </w:r>
      <w:r>
        <w:rPr>
          <w:i/>
        </w:rPr>
        <w:t>Elder Abuse – A National Legal Response (Final Report)</w:t>
      </w:r>
      <w:r>
        <w:t xml:space="preserve">, Report No 131 (31 May 2017). At </w:t>
      </w:r>
      <w:hyperlink r:id="rId65" w:history="1">
        <w:r w:rsidRPr="00940AAC">
          <w:rPr>
            <w:rStyle w:val="Hyperlink"/>
            <w:rFonts w:cs="Arial"/>
          </w:rPr>
          <w:t>https://www.alrc.gov.au/sites/default/files/pdfs/publications/elder_abuse_131_final_report_31_may_2017.pdf</w:t>
        </w:r>
      </w:hyperlink>
      <w:r>
        <w:rPr>
          <w:rFonts w:cs="Arial"/>
        </w:rPr>
        <w:t xml:space="preserve"> (</w:t>
      </w:r>
      <w:r w:rsidRPr="00BF602B">
        <w:rPr>
          <w:rFonts w:cs="Arial"/>
        </w:rPr>
        <w:t xml:space="preserve">viewed </w:t>
      </w:r>
      <w:r>
        <w:rPr>
          <w:rFonts w:cs="Arial"/>
        </w:rPr>
        <w:t xml:space="preserve">11 September 2017). </w:t>
      </w:r>
    </w:p>
  </w:endnote>
  <w:endnote w:id="49">
    <w:p w:rsidR="00414DC7" w:rsidRPr="00782160" w:rsidRDefault="00414DC7" w:rsidP="00574C8E">
      <w:pPr>
        <w:autoSpaceDE w:val="0"/>
        <w:autoSpaceDN w:val="0"/>
        <w:adjustRightInd w:val="0"/>
        <w:spacing w:before="0" w:after="0"/>
        <w:rPr>
          <w:rFonts w:eastAsia="Times New Roman" w:cs="Arial"/>
          <w:i/>
          <w:iCs/>
          <w:color w:val="000000"/>
          <w:sz w:val="20"/>
          <w:szCs w:val="20"/>
        </w:rPr>
      </w:pPr>
      <w:r w:rsidRPr="00892424">
        <w:rPr>
          <w:rStyle w:val="EndnoteReference"/>
          <w:rFonts w:cs="Arial"/>
          <w:szCs w:val="20"/>
        </w:rPr>
        <w:endnoteRef/>
      </w:r>
      <w:r w:rsidRPr="00892424">
        <w:rPr>
          <w:rFonts w:cs="Arial"/>
          <w:sz w:val="20"/>
          <w:szCs w:val="20"/>
        </w:rPr>
        <w:t xml:space="preserve"> See </w:t>
      </w:r>
      <w:r w:rsidRPr="00892424">
        <w:rPr>
          <w:rFonts w:eastAsia="Times New Roman" w:cs="Arial"/>
          <w:color w:val="000000"/>
          <w:sz w:val="20"/>
          <w:szCs w:val="20"/>
        </w:rPr>
        <w:t xml:space="preserve">Australian Institute of Family Studies, </w:t>
      </w:r>
      <w:r w:rsidRPr="00892424">
        <w:rPr>
          <w:rFonts w:eastAsia="Times New Roman" w:cs="Arial"/>
          <w:i/>
          <w:iCs/>
          <w:color w:val="000000"/>
          <w:sz w:val="20"/>
          <w:szCs w:val="20"/>
        </w:rPr>
        <w:t>Elder Abuse: Understanding issues, frameworks and</w:t>
      </w:r>
      <w:r w:rsidR="00782160">
        <w:rPr>
          <w:rFonts w:eastAsia="Times New Roman" w:cs="Arial"/>
          <w:i/>
          <w:iCs/>
          <w:color w:val="000000"/>
          <w:sz w:val="20"/>
          <w:szCs w:val="20"/>
        </w:rPr>
        <w:t xml:space="preserve"> </w:t>
      </w:r>
      <w:r w:rsidRPr="00892424">
        <w:rPr>
          <w:rFonts w:eastAsia="Times New Roman" w:cs="Arial"/>
          <w:i/>
          <w:iCs/>
          <w:color w:val="000000"/>
          <w:sz w:val="20"/>
          <w:szCs w:val="20"/>
        </w:rPr>
        <w:t>responses</w:t>
      </w:r>
      <w:r w:rsidRPr="00892424">
        <w:rPr>
          <w:rFonts w:eastAsia="Times New Roman" w:cs="Arial"/>
          <w:color w:val="000000"/>
          <w:sz w:val="20"/>
          <w:szCs w:val="20"/>
        </w:rPr>
        <w:t xml:space="preserve">, Research Report No 35 (2016). At </w:t>
      </w:r>
      <w:hyperlink r:id="rId66" w:history="1">
        <w:r w:rsidRPr="000A5C86">
          <w:rPr>
            <w:rStyle w:val="Hyperlink"/>
            <w:rFonts w:eastAsia="Times New Roman" w:cs="Arial"/>
            <w:sz w:val="20"/>
            <w:szCs w:val="20"/>
          </w:rPr>
          <w:t>https://aifs.gov.au/publications/elder-abuse/2-whatelder-abuse</w:t>
        </w:r>
      </w:hyperlink>
      <w:r>
        <w:rPr>
          <w:rFonts w:eastAsia="Times New Roman" w:cs="Arial"/>
          <w:color w:val="0000FF"/>
          <w:sz w:val="20"/>
          <w:szCs w:val="20"/>
        </w:rPr>
        <w:t xml:space="preserve"> </w:t>
      </w:r>
      <w:r w:rsidRPr="00892424">
        <w:rPr>
          <w:rFonts w:eastAsia="Times New Roman" w:cs="Arial"/>
          <w:color w:val="000000"/>
          <w:sz w:val="20"/>
          <w:szCs w:val="20"/>
        </w:rPr>
        <w:t>(</w:t>
      </w:r>
      <w:r w:rsidRPr="00242AC2">
        <w:rPr>
          <w:rFonts w:eastAsia="Times New Roman" w:cs="Arial"/>
          <w:color w:val="000000"/>
          <w:sz w:val="20"/>
          <w:szCs w:val="20"/>
        </w:rPr>
        <w:t>viewed 11 September 2017</w:t>
      </w:r>
      <w:r w:rsidRPr="00892424">
        <w:rPr>
          <w:rFonts w:eastAsia="Times New Roman" w:cs="Arial"/>
          <w:color w:val="000000"/>
          <w:sz w:val="20"/>
          <w:szCs w:val="20"/>
        </w:rPr>
        <w:t xml:space="preserve">); Queensland 55th Parliament, </w:t>
      </w:r>
      <w:r w:rsidRPr="00892424">
        <w:rPr>
          <w:rFonts w:eastAsia="Times New Roman" w:cs="Arial"/>
          <w:i/>
          <w:iCs/>
          <w:color w:val="000000"/>
          <w:sz w:val="20"/>
          <w:szCs w:val="20"/>
        </w:rPr>
        <w:t>‘Inquiry into the adequacy of existing protections for Queensland’s</w:t>
      </w:r>
    </w:p>
    <w:p w:rsidR="00414DC7" w:rsidRPr="00892424" w:rsidRDefault="00414DC7" w:rsidP="00574C8E">
      <w:pPr>
        <w:autoSpaceDE w:val="0"/>
        <w:autoSpaceDN w:val="0"/>
        <w:adjustRightInd w:val="0"/>
        <w:spacing w:before="0" w:after="0"/>
        <w:rPr>
          <w:rFonts w:eastAsia="Times New Roman" w:cs="Arial"/>
          <w:color w:val="000000"/>
          <w:sz w:val="20"/>
          <w:szCs w:val="20"/>
        </w:rPr>
      </w:pPr>
      <w:r w:rsidRPr="00892424">
        <w:rPr>
          <w:rFonts w:eastAsia="Times New Roman" w:cs="Arial"/>
          <w:i/>
          <w:iCs/>
          <w:color w:val="000000"/>
          <w:sz w:val="20"/>
          <w:szCs w:val="20"/>
        </w:rPr>
        <w:t>seniors’</w:t>
      </w:r>
      <w:r w:rsidRPr="00892424">
        <w:rPr>
          <w:rFonts w:eastAsia="Times New Roman" w:cs="Arial"/>
          <w:color w:val="000000"/>
          <w:sz w:val="20"/>
          <w:szCs w:val="20"/>
        </w:rPr>
        <w:t>, Communities, Disability Services and Domestic and Family Violence Prevention Committee</w:t>
      </w:r>
    </w:p>
    <w:p w:rsidR="00414DC7" w:rsidRPr="00892424" w:rsidRDefault="00414DC7" w:rsidP="00574C8E">
      <w:pPr>
        <w:autoSpaceDE w:val="0"/>
        <w:autoSpaceDN w:val="0"/>
        <w:adjustRightInd w:val="0"/>
        <w:spacing w:before="0" w:after="0"/>
        <w:rPr>
          <w:rFonts w:eastAsia="Times New Roman" w:cs="Arial"/>
          <w:color w:val="000000"/>
          <w:sz w:val="20"/>
          <w:szCs w:val="20"/>
        </w:rPr>
      </w:pPr>
      <w:r w:rsidRPr="00892424">
        <w:rPr>
          <w:rFonts w:eastAsia="Times New Roman" w:cs="Arial"/>
          <w:color w:val="000000"/>
          <w:sz w:val="20"/>
          <w:szCs w:val="20"/>
        </w:rPr>
        <w:t>Report No. 2. August 2015. At</w:t>
      </w:r>
    </w:p>
    <w:p w:rsidR="00414DC7" w:rsidRPr="00F31CBB" w:rsidRDefault="00EF6027" w:rsidP="00574C8E">
      <w:pPr>
        <w:autoSpaceDE w:val="0"/>
        <w:autoSpaceDN w:val="0"/>
        <w:adjustRightInd w:val="0"/>
        <w:spacing w:before="0" w:after="0"/>
        <w:rPr>
          <w:rFonts w:eastAsia="Times New Roman" w:cs="Arial"/>
          <w:i/>
          <w:iCs/>
          <w:color w:val="000000"/>
          <w:sz w:val="20"/>
          <w:szCs w:val="20"/>
        </w:rPr>
      </w:pPr>
      <w:hyperlink r:id="rId67" w:history="1">
        <w:r w:rsidR="00414DC7" w:rsidRPr="00940AAC">
          <w:rPr>
            <w:rStyle w:val="Hyperlink"/>
            <w:rFonts w:eastAsia="Times New Roman" w:cs="Arial"/>
            <w:sz w:val="20"/>
            <w:szCs w:val="20"/>
          </w:rPr>
          <w:t>http://www.parliament.qld.gov.au/documents/tableOffice/TabledPapers/2015/5515T876.pdf</w:t>
        </w:r>
      </w:hyperlink>
      <w:r w:rsidR="00414DC7">
        <w:rPr>
          <w:rFonts w:eastAsia="Times New Roman" w:cs="Arial"/>
          <w:color w:val="0000FF"/>
          <w:sz w:val="20"/>
          <w:szCs w:val="20"/>
        </w:rPr>
        <w:t xml:space="preserve"> </w:t>
      </w:r>
      <w:r w:rsidR="00414DC7" w:rsidRPr="00892424">
        <w:rPr>
          <w:rFonts w:eastAsia="Times New Roman" w:cs="Arial"/>
          <w:color w:val="000000"/>
          <w:sz w:val="20"/>
          <w:szCs w:val="20"/>
        </w:rPr>
        <w:t>(</w:t>
      </w:r>
      <w:r w:rsidR="00414DC7" w:rsidRPr="00242AC2">
        <w:rPr>
          <w:rFonts w:eastAsia="Times New Roman" w:cs="Arial"/>
          <w:color w:val="000000"/>
          <w:sz w:val="20"/>
          <w:szCs w:val="20"/>
        </w:rPr>
        <w:t>viewed 11 September 2017</w:t>
      </w:r>
      <w:r w:rsidR="00414DC7" w:rsidRPr="00892424">
        <w:rPr>
          <w:rFonts w:eastAsia="Times New Roman" w:cs="Arial"/>
          <w:color w:val="000000"/>
          <w:sz w:val="20"/>
          <w:szCs w:val="20"/>
        </w:rPr>
        <w:t xml:space="preserve">); NSW Legislative Council, General Purpose Standing Committee No 2, </w:t>
      </w:r>
      <w:r w:rsidR="00414DC7" w:rsidRPr="00892424">
        <w:rPr>
          <w:rFonts w:eastAsia="Times New Roman" w:cs="Arial"/>
          <w:i/>
          <w:iCs/>
          <w:color w:val="000000"/>
          <w:sz w:val="20"/>
          <w:szCs w:val="20"/>
        </w:rPr>
        <w:t xml:space="preserve">Inquiry into </w:t>
      </w:r>
      <w:r w:rsidR="00414DC7" w:rsidRPr="00892424">
        <w:rPr>
          <w:rFonts w:eastAsia="Times New Roman" w:cs="Arial"/>
          <w:color w:val="000000"/>
          <w:sz w:val="20"/>
          <w:szCs w:val="20"/>
        </w:rPr>
        <w:t>e</w:t>
      </w:r>
      <w:r w:rsidR="00414DC7">
        <w:rPr>
          <w:rFonts w:eastAsia="Times New Roman" w:cs="Arial"/>
          <w:i/>
          <w:iCs/>
          <w:color w:val="000000"/>
          <w:sz w:val="20"/>
          <w:szCs w:val="20"/>
        </w:rPr>
        <w:t xml:space="preserve">lder abuse in </w:t>
      </w:r>
      <w:r w:rsidR="00414DC7" w:rsidRPr="00892424">
        <w:rPr>
          <w:rFonts w:eastAsia="Times New Roman" w:cs="Arial"/>
          <w:i/>
          <w:iCs/>
          <w:color w:val="000000"/>
          <w:sz w:val="20"/>
          <w:szCs w:val="20"/>
        </w:rPr>
        <w:t>New South Wales</w:t>
      </w:r>
      <w:r w:rsidR="00414DC7" w:rsidRPr="00892424">
        <w:rPr>
          <w:rFonts w:eastAsia="Times New Roman" w:cs="Arial"/>
          <w:color w:val="000000"/>
          <w:sz w:val="20"/>
          <w:szCs w:val="20"/>
        </w:rPr>
        <w:t>, Report 44 (2016). At</w:t>
      </w:r>
    </w:p>
    <w:p w:rsidR="00414DC7" w:rsidRPr="00F31CBB" w:rsidRDefault="00EF6027" w:rsidP="00574C8E">
      <w:pPr>
        <w:autoSpaceDE w:val="0"/>
        <w:autoSpaceDN w:val="0"/>
        <w:adjustRightInd w:val="0"/>
        <w:spacing w:before="0" w:after="0"/>
        <w:rPr>
          <w:rFonts w:eastAsia="Times New Roman" w:cs="Arial"/>
          <w:color w:val="0000FF"/>
          <w:sz w:val="20"/>
          <w:szCs w:val="20"/>
        </w:rPr>
      </w:pPr>
      <w:hyperlink r:id="rId68" w:anchor="tabreports" w:history="1">
        <w:r w:rsidR="00414DC7" w:rsidRPr="000A5C86">
          <w:rPr>
            <w:rStyle w:val="Hyperlink"/>
            <w:rFonts w:eastAsia="Times New Roman" w:cs="Arial"/>
            <w:sz w:val="20"/>
            <w:szCs w:val="20"/>
          </w:rPr>
          <w:t>https://www.parliament.nsw.gov.au/committees/inquiries/Pages/inquiry-details.aspx?pk=2387#tabreports</w:t>
        </w:r>
      </w:hyperlink>
      <w:r w:rsidR="00414DC7">
        <w:rPr>
          <w:rFonts w:eastAsia="Times New Roman" w:cs="Arial"/>
          <w:color w:val="0000FF"/>
          <w:sz w:val="20"/>
          <w:szCs w:val="20"/>
        </w:rPr>
        <w:t xml:space="preserve"> </w:t>
      </w:r>
      <w:r w:rsidR="00414DC7" w:rsidRPr="00892424">
        <w:rPr>
          <w:rFonts w:eastAsia="Times New Roman" w:cs="Arial"/>
          <w:color w:val="000000"/>
          <w:sz w:val="20"/>
          <w:szCs w:val="20"/>
        </w:rPr>
        <w:t>(</w:t>
      </w:r>
      <w:r w:rsidR="00414DC7" w:rsidRPr="00242AC2">
        <w:rPr>
          <w:rFonts w:eastAsia="Times New Roman" w:cs="Arial"/>
          <w:color w:val="000000"/>
          <w:sz w:val="20"/>
          <w:szCs w:val="20"/>
        </w:rPr>
        <w:t>viewed 11 September 2017</w:t>
      </w:r>
      <w:r w:rsidR="00414DC7" w:rsidRPr="00892424">
        <w:rPr>
          <w:rFonts w:eastAsia="Times New Roman" w:cs="Arial"/>
          <w:color w:val="000000"/>
          <w:sz w:val="20"/>
          <w:szCs w:val="20"/>
        </w:rPr>
        <w:t xml:space="preserve">); and Victorian Government, </w:t>
      </w:r>
      <w:r w:rsidR="00414DC7" w:rsidRPr="00892424">
        <w:rPr>
          <w:rFonts w:eastAsia="Times New Roman" w:cs="Arial"/>
          <w:i/>
          <w:iCs/>
          <w:color w:val="000000"/>
          <w:sz w:val="20"/>
          <w:szCs w:val="20"/>
        </w:rPr>
        <w:t>Royal Commission into Family Violence</w:t>
      </w:r>
      <w:r w:rsidR="00414DC7" w:rsidRPr="00892424">
        <w:rPr>
          <w:rFonts w:eastAsia="Times New Roman" w:cs="Arial"/>
          <w:color w:val="000000"/>
          <w:sz w:val="20"/>
          <w:szCs w:val="20"/>
        </w:rPr>
        <w:t>, Report (2016). At</w:t>
      </w:r>
    </w:p>
    <w:p w:rsidR="00414DC7" w:rsidRPr="00892424" w:rsidRDefault="00EF6027" w:rsidP="00574C8E">
      <w:pPr>
        <w:pStyle w:val="EndnoteText"/>
        <w:rPr>
          <w:rFonts w:cs="Arial"/>
        </w:rPr>
      </w:pPr>
      <w:hyperlink r:id="rId69" w:history="1">
        <w:r w:rsidR="00414DC7" w:rsidRPr="00940AAC">
          <w:rPr>
            <w:rStyle w:val="Hyperlink"/>
            <w:rFonts w:eastAsia="Times New Roman" w:cs="Arial"/>
          </w:rPr>
          <w:t>http://www.rcfv.com.au/Report-Recommendations</w:t>
        </w:r>
      </w:hyperlink>
      <w:r w:rsidR="00414DC7">
        <w:rPr>
          <w:rFonts w:eastAsia="Times New Roman" w:cs="Arial"/>
          <w:color w:val="0000FF"/>
        </w:rPr>
        <w:t xml:space="preserve"> </w:t>
      </w:r>
      <w:r w:rsidR="00414DC7" w:rsidRPr="00892424">
        <w:rPr>
          <w:rFonts w:eastAsia="Times New Roman" w:cs="Arial"/>
          <w:color w:val="000000"/>
        </w:rPr>
        <w:t>(</w:t>
      </w:r>
      <w:r w:rsidR="00414DC7" w:rsidRPr="00242AC2">
        <w:rPr>
          <w:rFonts w:eastAsia="Times New Roman" w:cs="Arial"/>
          <w:color w:val="000000"/>
        </w:rPr>
        <w:t>viewed 11 September 2017</w:t>
      </w:r>
      <w:r w:rsidR="00414DC7" w:rsidRPr="00892424">
        <w:rPr>
          <w:rFonts w:eastAsia="Times New Roman" w:cs="Arial"/>
          <w:color w:val="000000"/>
        </w:rPr>
        <w:t>).</w:t>
      </w:r>
    </w:p>
  </w:endnote>
  <w:endnote w:id="50">
    <w:p w:rsidR="00414DC7" w:rsidRPr="00892424" w:rsidRDefault="00414DC7" w:rsidP="00574C8E">
      <w:pPr>
        <w:autoSpaceDE w:val="0"/>
        <w:autoSpaceDN w:val="0"/>
        <w:adjustRightInd w:val="0"/>
        <w:spacing w:before="0" w:after="0"/>
        <w:rPr>
          <w:rFonts w:eastAsia="Times New Roman" w:cs="Arial"/>
          <w:i/>
          <w:iCs/>
          <w:color w:val="000000"/>
          <w:sz w:val="20"/>
          <w:szCs w:val="20"/>
        </w:rPr>
      </w:pPr>
      <w:r w:rsidRPr="00892424">
        <w:rPr>
          <w:rStyle w:val="EndnoteReference"/>
          <w:rFonts w:cs="Arial"/>
          <w:szCs w:val="20"/>
        </w:rPr>
        <w:endnoteRef/>
      </w:r>
      <w:r w:rsidRPr="00892424">
        <w:rPr>
          <w:rFonts w:cs="Arial"/>
          <w:sz w:val="20"/>
          <w:szCs w:val="20"/>
        </w:rPr>
        <w:t xml:space="preserve"> </w:t>
      </w:r>
      <w:r w:rsidRPr="00892424">
        <w:rPr>
          <w:rFonts w:eastAsia="Times New Roman" w:cs="Arial"/>
          <w:color w:val="000000"/>
          <w:sz w:val="20"/>
          <w:szCs w:val="20"/>
        </w:rPr>
        <w:t xml:space="preserve">As announced in the Liberal Party of Australia, </w:t>
      </w:r>
      <w:r w:rsidRPr="00892424">
        <w:rPr>
          <w:rFonts w:eastAsia="Times New Roman" w:cs="Arial"/>
          <w:i/>
          <w:iCs/>
          <w:color w:val="000000"/>
          <w:sz w:val="20"/>
          <w:szCs w:val="20"/>
        </w:rPr>
        <w:t>The Coalition’s Policy to Protect the Rights of Older</w:t>
      </w:r>
    </w:p>
    <w:p w:rsidR="00414DC7" w:rsidRPr="00892424" w:rsidRDefault="00414DC7" w:rsidP="00574C8E">
      <w:pPr>
        <w:autoSpaceDE w:val="0"/>
        <w:autoSpaceDN w:val="0"/>
        <w:adjustRightInd w:val="0"/>
        <w:spacing w:before="0" w:after="0"/>
        <w:rPr>
          <w:rFonts w:cs="Arial"/>
        </w:rPr>
      </w:pPr>
      <w:r w:rsidRPr="00892424">
        <w:rPr>
          <w:rFonts w:eastAsia="Times New Roman" w:cs="Arial"/>
          <w:i/>
          <w:iCs/>
          <w:color w:val="000000"/>
          <w:sz w:val="20"/>
          <w:szCs w:val="20"/>
        </w:rPr>
        <w:t xml:space="preserve">Australians </w:t>
      </w:r>
      <w:r w:rsidRPr="00892424">
        <w:rPr>
          <w:rFonts w:eastAsia="Times New Roman" w:cs="Arial"/>
          <w:color w:val="000000"/>
          <w:sz w:val="20"/>
          <w:szCs w:val="20"/>
        </w:rPr>
        <w:t xml:space="preserve">(2016). At </w:t>
      </w:r>
      <w:hyperlink r:id="rId70" w:history="1">
        <w:r w:rsidRPr="00940AAC">
          <w:rPr>
            <w:rStyle w:val="Hyperlink"/>
            <w:rFonts w:eastAsia="Times New Roman" w:cs="Arial"/>
            <w:sz w:val="20"/>
            <w:szCs w:val="20"/>
          </w:rPr>
          <w:t>www.liberal.org.au/coalitions-policy-protect-rights-older-australians</w:t>
        </w:r>
      </w:hyperlink>
      <w:r>
        <w:rPr>
          <w:rFonts w:eastAsia="Times New Roman" w:cs="Arial"/>
          <w:color w:val="0000FF"/>
          <w:sz w:val="20"/>
          <w:szCs w:val="20"/>
        </w:rPr>
        <w:t xml:space="preserve"> </w:t>
      </w:r>
      <w:r w:rsidRPr="00892424">
        <w:rPr>
          <w:rFonts w:eastAsia="Times New Roman" w:cs="Arial"/>
          <w:color w:val="000000"/>
          <w:sz w:val="20"/>
          <w:szCs w:val="20"/>
        </w:rPr>
        <w:t>(</w:t>
      </w:r>
      <w:r w:rsidRPr="00242AC2">
        <w:rPr>
          <w:rFonts w:eastAsia="Times New Roman" w:cs="Arial"/>
          <w:color w:val="000000"/>
          <w:sz w:val="20"/>
          <w:szCs w:val="20"/>
        </w:rPr>
        <w:t>viewed 11 September 2017</w:t>
      </w:r>
      <w:r w:rsidRPr="00892424">
        <w:rPr>
          <w:rFonts w:eastAsia="Times New Roman" w:cs="Arial"/>
          <w:color w:val="000000"/>
        </w:rPr>
        <w:t>).</w:t>
      </w:r>
    </w:p>
  </w:endnote>
  <w:endnote w:id="51">
    <w:p w:rsidR="00414DC7" w:rsidRPr="00892424" w:rsidRDefault="00414DC7" w:rsidP="008C4D4C">
      <w:pPr>
        <w:pStyle w:val="EndnoteText"/>
        <w:rPr>
          <w:rFonts w:cs="Arial"/>
          <w:lang w:val="en-US"/>
        </w:rPr>
      </w:pPr>
      <w:r w:rsidRPr="00892424">
        <w:rPr>
          <w:rStyle w:val="EndnoteReference"/>
          <w:rFonts w:cs="Arial"/>
        </w:rPr>
        <w:endnoteRef/>
      </w:r>
      <w:r w:rsidRPr="00892424">
        <w:rPr>
          <w:rFonts w:cs="Arial"/>
        </w:rPr>
        <w:t xml:space="preserve"> Attorney-General’s Department, </w:t>
      </w:r>
      <w:r w:rsidRPr="00892424">
        <w:rPr>
          <w:rFonts w:cs="Arial"/>
          <w:i/>
        </w:rPr>
        <w:t>National Action Plan to Combat Human Trafficking and Slavery 2015–2019</w:t>
      </w:r>
      <w:r w:rsidRPr="00892424">
        <w:rPr>
          <w:rFonts w:cs="Arial"/>
        </w:rPr>
        <w:t xml:space="preserve"> (2014). At </w:t>
      </w:r>
      <w:hyperlink r:id="rId71" w:history="1">
        <w:r w:rsidRPr="00892424">
          <w:rPr>
            <w:rStyle w:val="Hyperlink"/>
            <w:rFonts w:cs="Arial"/>
          </w:rPr>
          <w:t>http://www.ag.gov.au/CrimeAndCorruption/HumanTrafficking/Pages/Australiasresponsetohumantrafficking.aspx</w:t>
        </w:r>
      </w:hyperlink>
      <w:r w:rsidRPr="00892424">
        <w:rPr>
          <w:rFonts w:cs="Arial"/>
        </w:rPr>
        <w:t xml:space="preserve"> (</w:t>
      </w:r>
      <w:r w:rsidRPr="00F94784">
        <w:rPr>
          <w:rFonts w:cs="Arial"/>
        </w:rPr>
        <w:t>viewed 11 September 2017</w:t>
      </w:r>
      <w:r w:rsidRPr="00892424">
        <w:rPr>
          <w:rFonts w:cs="Arial"/>
        </w:rPr>
        <w:t>).</w:t>
      </w:r>
    </w:p>
  </w:endnote>
  <w:endnote w:id="52">
    <w:p w:rsidR="00414DC7" w:rsidRPr="00892424" w:rsidRDefault="00414DC7" w:rsidP="008C4D4C">
      <w:pPr>
        <w:pStyle w:val="EndnoteText"/>
        <w:rPr>
          <w:rFonts w:cs="Arial"/>
        </w:rPr>
      </w:pPr>
      <w:r w:rsidRPr="00892424">
        <w:rPr>
          <w:rStyle w:val="EndnoteReference"/>
          <w:rFonts w:cs="Arial"/>
        </w:rPr>
        <w:endnoteRef/>
      </w:r>
      <w:r w:rsidRPr="00892424">
        <w:rPr>
          <w:rFonts w:cs="Arial"/>
        </w:rPr>
        <w:t xml:space="preserve"> Such as the reforms to the </w:t>
      </w:r>
      <w:r w:rsidRPr="00892424">
        <w:rPr>
          <w:rFonts w:cs="Arial"/>
          <w:color w:val="000000"/>
        </w:rPr>
        <w:t xml:space="preserve">Human Trafficking Visa Framework (2015) and Australia’s International Strategy to Combat Human Trafficking and Slavery (2016). </w:t>
      </w:r>
      <w:r w:rsidRPr="00892424">
        <w:rPr>
          <w:rFonts w:cs="Arial"/>
        </w:rPr>
        <w:t xml:space="preserve">This </w:t>
      </w:r>
      <w:r w:rsidRPr="00892424">
        <w:rPr>
          <w:rFonts w:cs="Arial"/>
          <w:color w:val="000000"/>
        </w:rPr>
        <w:t xml:space="preserve">Human Trafficking Visa Framework </w:t>
      </w:r>
      <w:r w:rsidRPr="00892424">
        <w:rPr>
          <w:rFonts w:cs="Arial"/>
        </w:rPr>
        <w:t>reforms included</w:t>
      </w:r>
      <w:r w:rsidRPr="00892424">
        <w:rPr>
          <w:rFonts w:cs="Arial"/>
          <w:color w:val="000000"/>
        </w:rPr>
        <w:t xml:space="preserve">: </w:t>
      </w:r>
      <w:r>
        <w:rPr>
          <w:rFonts w:cs="Arial"/>
          <w:color w:val="000000"/>
        </w:rPr>
        <w:t>availability</w:t>
      </w:r>
      <w:r w:rsidRPr="00892424">
        <w:rPr>
          <w:rFonts w:cs="Arial"/>
          <w:color w:val="000000"/>
        </w:rPr>
        <w:t xml:space="preserve"> for survivors of slavery and slavery-like practices; enabling recipients to maintain their lawful status; waiving the Newly Arrived Resident’s </w:t>
      </w:r>
      <w:r>
        <w:rPr>
          <w:rFonts w:cs="Arial"/>
          <w:color w:val="000000"/>
        </w:rPr>
        <w:t>Waiting Period (</w:t>
      </w:r>
      <w:r w:rsidRPr="00892424">
        <w:rPr>
          <w:rFonts w:cs="Arial"/>
          <w:color w:val="000000"/>
        </w:rPr>
        <w:t>which enables recipients to access English classes, social security payments and other services</w:t>
      </w:r>
      <w:r>
        <w:rPr>
          <w:rFonts w:cs="Arial"/>
          <w:color w:val="000000"/>
        </w:rPr>
        <w:t>)</w:t>
      </w:r>
      <w:r w:rsidRPr="00892424">
        <w:rPr>
          <w:rFonts w:cs="Arial"/>
          <w:color w:val="000000"/>
        </w:rPr>
        <w:t>.</w:t>
      </w:r>
    </w:p>
  </w:endnote>
  <w:endnote w:id="53">
    <w:p w:rsidR="00414DC7" w:rsidRPr="00A10D24" w:rsidRDefault="00414DC7" w:rsidP="008C4D4C">
      <w:pPr>
        <w:pStyle w:val="EndnoteText"/>
      </w:pPr>
      <w:r>
        <w:rPr>
          <w:rStyle w:val="EndnoteReference"/>
        </w:rPr>
        <w:endnoteRef/>
      </w:r>
      <w:r>
        <w:t xml:space="preserve"> T</w:t>
      </w:r>
      <w:r w:rsidRPr="00071754">
        <w:t xml:space="preserve">he </w:t>
      </w:r>
      <w:r>
        <w:t>Interdepartmental Committee</w:t>
      </w:r>
      <w:r w:rsidRPr="00071754">
        <w:t xml:space="preserve"> comprises of eleven government agencies that provide oversight of Australia’s response to human trafficking</w:t>
      </w:r>
      <w:r>
        <w:t xml:space="preserve">, including the </w:t>
      </w:r>
      <w:r w:rsidRPr="00071754">
        <w:t>Attorney-General’s Department</w:t>
      </w:r>
      <w:r>
        <w:t xml:space="preserve">, </w:t>
      </w:r>
      <w:r w:rsidRPr="00071754">
        <w:t>Australian Criminal Intelligence Commission</w:t>
      </w:r>
      <w:r>
        <w:t xml:space="preserve">, </w:t>
      </w:r>
      <w:r w:rsidRPr="00071754">
        <w:t>Australian Federal Police</w:t>
      </w:r>
      <w:r>
        <w:t xml:space="preserve">, </w:t>
      </w:r>
      <w:r w:rsidRPr="00071754">
        <w:t>Australian Institute of Criminology</w:t>
      </w:r>
      <w:r>
        <w:t xml:space="preserve">, </w:t>
      </w:r>
      <w:r w:rsidRPr="00071754">
        <w:t>Commonwealth Director of Public Prosecutions</w:t>
      </w:r>
      <w:r>
        <w:t xml:space="preserve">, </w:t>
      </w:r>
      <w:r w:rsidRPr="00071754">
        <w:t>Department of Employment</w:t>
      </w:r>
      <w:r>
        <w:t xml:space="preserve">, </w:t>
      </w:r>
      <w:r w:rsidRPr="00071754">
        <w:t>Department of Foreign Affairs and Trade</w:t>
      </w:r>
      <w:r>
        <w:t>,</w:t>
      </w:r>
      <w:r w:rsidRPr="00A10D24">
        <w:t xml:space="preserve"> Department of Immigration and Border Protection</w:t>
      </w:r>
      <w:r>
        <w:t xml:space="preserve">,  </w:t>
      </w:r>
      <w:r w:rsidRPr="00A10D24">
        <w:t>Department of Social Services</w:t>
      </w:r>
      <w:r>
        <w:t xml:space="preserve">, </w:t>
      </w:r>
      <w:r w:rsidRPr="00A10D24">
        <w:t>Department of Prime Minister and Cabinet</w:t>
      </w:r>
      <w:r>
        <w:t xml:space="preserve"> and </w:t>
      </w:r>
      <w:r w:rsidRPr="00A10D24">
        <w:t>Fair Work Ombudsman</w:t>
      </w:r>
      <w:r>
        <w:t xml:space="preserve">. See Attorney-General’s Department, Australian Government, </w:t>
      </w:r>
      <w:r>
        <w:rPr>
          <w:i/>
        </w:rPr>
        <w:t xml:space="preserve">Australia’s response to human trafficking. </w:t>
      </w:r>
      <w:r>
        <w:t xml:space="preserve">At </w:t>
      </w:r>
      <w:hyperlink r:id="rId72" w:history="1">
        <w:r w:rsidRPr="000A5C86">
          <w:rPr>
            <w:rStyle w:val="Hyperlink"/>
          </w:rPr>
          <w:t>https://www.ag.gov.au/CrimeAndCorruption/HumanTrafficking/Pages/Australias-response-to-human-trafficking.aspx</w:t>
        </w:r>
      </w:hyperlink>
      <w:r>
        <w:t xml:space="preserve"> (</w:t>
      </w:r>
      <w:r w:rsidRPr="00F94784">
        <w:t>viewed 11 September 2017</w:t>
      </w:r>
      <w:r>
        <w:t xml:space="preserve">). </w:t>
      </w:r>
    </w:p>
  </w:endnote>
  <w:endnote w:id="54">
    <w:p w:rsidR="00414DC7" w:rsidRPr="00892424" w:rsidRDefault="00414DC7" w:rsidP="008C4D4C">
      <w:pPr>
        <w:pStyle w:val="EndnoteText"/>
        <w:rPr>
          <w:rFonts w:cs="Arial"/>
        </w:rPr>
      </w:pPr>
      <w:r w:rsidRPr="00892424">
        <w:rPr>
          <w:rStyle w:val="EndnoteReference"/>
          <w:rFonts w:cs="Arial"/>
        </w:rPr>
        <w:endnoteRef/>
      </w:r>
      <w:r w:rsidRPr="00892424">
        <w:rPr>
          <w:rFonts w:cs="Arial"/>
        </w:rPr>
        <w:t xml:space="preserve"> New offences were created through the </w:t>
      </w:r>
      <w:r w:rsidRPr="00892424">
        <w:rPr>
          <w:rFonts w:cs="Arial"/>
          <w:i/>
        </w:rPr>
        <w:t xml:space="preserve">Crimes Legislation Amendment (Slavery, Slavery-like Conditions and People Trafficking) Act 2013 </w:t>
      </w:r>
      <w:r w:rsidRPr="00892424">
        <w:rPr>
          <w:rFonts w:cs="Arial"/>
        </w:rPr>
        <w:t xml:space="preserve">(Cth), passed in 2012. The Act amends the </w:t>
      </w:r>
      <w:r w:rsidRPr="00892424">
        <w:rPr>
          <w:rFonts w:cs="Arial"/>
          <w:i/>
        </w:rPr>
        <w:t xml:space="preserve">Criminal Code Act 1995 </w:t>
      </w:r>
      <w:r w:rsidRPr="00892424">
        <w:rPr>
          <w:rFonts w:cs="Arial"/>
        </w:rPr>
        <w:t>(Cth) to introduce offences of servitude (s 270.5), forced labour (s 270.6A), deceptive recruiting for labour or services (s 270.7), forced marriage (s 270.7B), organ trafficking (s 271.7A – 271.7E), and harbouring a victim (s 271.7F).</w:t>
      </w:r>
    </w:p>
  </w:endnote>
  <w:endnote w:id="55">
    <w:p w:rsidR="00414DC7" w:rsidRPr="00892424" w:rsidRDefault="00414DC7" w:rsidP="008C4D4C">
      <w:pPr>
        <w:pStyle w:val="EndnoteText"/>
        <w:rPr>
          <w:rFonts w:cs="Arial"/>
        </w:rPr>
      </w:pPr>
      <w:r w:rsidRPr="00892424">
        <w:rPr>
          <w:rStyle w:val="EndnoteReference"/>
          <w:rFonts w:cs="Arial"/>
        </w:rPr>
        <w:endnoteRef/>
      </w:r>
      <w:r w:rsidRPr="00892424">
        <w:rPr>
          <w:rFonts w:cs="Arial"/>
        </w:rPr>
        <w:t xml:space="preserve"> The </w:t>
      </w:r>
      <w:r w:rsidRPr="00892424">
        <w:rPr>
          <w:rFonts w:cs="Arial"/>
          <w:i/>
        </w:rPr>
        <w:t xml:space="preserve">Crimes Legislation Amendment (Law Enforcement Integrity, Vulnerable Witness Protection and Other Measures) Act 2013 </w:t>
      </w:r>
      <w:r w:rsidRPr="00892424">
        <w:rPr>
          <w:rFonts w:cs="Arial"/>
        </w:rPr>
        <w:t>(Cth), extends</w:t>
      </w:r>
      <w:r w:rsidRPr="00892424">
        <w:rPr>
          <w:rFonts w:cs="Arial"/>
          <w:b/>
        </w:rPr>
        <w:t xml:space="preserve"> </w:t>
      </w:r>
      <w:r w:rsidRPr="00892424">
        <w:rPr>
          <w:rFonts w:cs="Arial"/>
        </w:rPr>
        <w:t>existing vulnerable witness protections to adult victims of slavery, slavery-like and human trafficking offences, and includes specific protections for witnesses who may be vulnerable due to a particular characteristic such as a disability or their cultural background. The Act also places the burden of proving the defendant was aged 18 or over on the prosecution.</w:t>
      </w:r>
    </w:p>
  </w:endnote>
  <w:endnote w:id="56">
    <w:p w:rsidR="00414DC7" w:rsidRDefault="00414DC7">
      <w:pPr>
        <w:pStyle w:val="EndnoteText"/>
      </w:pPr>
      <w:r>
        <w:rPr>
          <w:rStyle w:val="EndnoteReference"/>
        </w:rPr>
        <w:endnoteRef/>
      </w:r>
      <w:r>
        <w:t xml:space="preserve"> The Hon Michael Keenan MP, Minister for Justice, Minister Assisting the Prime Minister for Counter Terrorism, and Chris Crewther MP, Federal Member for Dunkley and Chair - Foreign Affairs and Aid Sub-Committee, ‘Proposed new laws to help end modern slavery’ (Media Release, 16 August 2017). At: </w:t>
      </w:r>
      <w:hyperlink r:id="rId73" w:history="1">
        <w:r w:rsidRPr="00785353">
          <w:rPr>
            <w:rStyle w:val="Hyperlink"/>
          </w:rPr>
          <w:t>https://www.ministerjustice.gov.au/Media/Pages/Proposed-new-laws-to-help-end-modern-slavery-16-August-2017.aspx</w:t>
        </w:r>
      </w:hyperlink>
      <w:r>
        <w:t xml:space="preserve"> </w:t>
      </w:r>
    </w:p>
  </w:endnote>
  <w:endnote w:id="57">
    <w:p w:rsidR="00414DC7" w:rsidRPr="00892424" w:rsidRDefault="00414DC7" w:rsidP="008C4D4C">
      <w:pPr>
        <w:pStyle w:val="Default"/>
        <w:rPr>
          <w:rFonts w:ascii="Arial" w:hAnsi="Arial" w:cs="Arial"/>
          <w:sz w:val="20"/>
          <w:szCs w:val="20"/>
        </w:rPr>
      </w:pPr>
      <w:r w:rsidRPr="00892424">
        <w:rPr>
          <w:rStyle w:val="EndnoteReference"/>
          <w:rFonts w:cs="Arial"/>
          <w:szCs w:val="20"/>
        </w:rPr>
        <w:endnoteRef/>
      </w:r>
      <w:r w:rsidRPr="00892424">
        <w:rPr>
          <w:rFonts w:ascii="Arial" w:hAnsi="Arial" w:cs="Arial"/>
          <w:sz w:val="20"/>
          <w:szCs w:val="20"/>
        </w:rPr>
        <w:t xml:space="preserve"> </w:t>
      </w:r>
      <w:r w:rsidRPr="0033315D">
        <w:rPr>
          <w:rFonts w:ascii="Arial" w:hAnsi="Arial" w:cs="Arial"/>
          <w:sz w:val="20"/>
          <w:szCs w:val="20"/>
        </w:rPr>
        <w:t>Joy Ngozi Ezeilo</w:t>
      </w:r>
      <w:r>
        <w:rPr>
          <w:rFonts w:ascii="Arial" w:hAnsi="Arial" w:cs="Arial"/>
          <w:sz w:val="20"/>
          <w:szCs w:val="20"/>
        </w:rPr>
        <w:t>, United Nations</w:t>
      </w:r>
      <w:r w:rsidRPr="0033315D">
        <w:rPr>
          <w:rFonts w:ascii="Arial" w:hAnsi="Arial" w:cs="Arial"/>
          <w:sz w:val="20"/>
          <w:szCs w:val="20"/>
        </w:rPr>
        <w:t xml:space="preserve"> </w:t>
      </w:r>
      <w:r w:rsidRPr="00892424">
        <w:rPr>
          <w:rFonts w:ascii="Arial" w:hAnsi="Arial" w:cs="Arial"/>
          <w:bCs/>
          <w:sz w:val="20"/>
          <w:szCs w:val="20"/>
        </w:rPr>
        <w:t xml:space="preserve">Special Rapporteur on trafficking in persons, especially women and children, </w:t>
      </w:r>
      <w:r w:rsidRPr="00892424">
        <w:rPr>
          <w:rFonts w:ascii="Arial" w:hAnsi="Arial" w:cs="Arial"/>
          <w:bCs/>
          <w:i/>
          <w:sz w:val="20"/>
          <w:szCs w:val="20"/>
        </w:rPr>
        <w:t>Mission to Australia</w:t>
      </w:r>
      <w:r w:rsidRPr="00892424">
        <w:rPr>
          <w:rFonts w:ascii="Arial" w:hAnsi="Arial" w:cs="Arial"/>
          <w:bCs/>
          <w:sz w:val="20"/>
          <w:szCs w:val="20"/>
        </w:rPr>
        <w:t xml:space="preserve">, </w:t>
      </w:r>
      <w:r w:rsidRPr="00892424">
        <w:rPr>
          <w:rFonts w:ascii="Arial" w:hAnsi="Arial" w:cs="Arial"/>
          <w:sz w:val="20"/>
          <w:szCs w:val="20"/>
        </w:rPr>
        <w:t xml:space="preserve">(2012), </w:t>
      </w:r>
      <w:r w:rsidRPr="00892424">
        <w:rPr>
          <w:rFonts w:ascii="Arial" w:hAnsi="Arial" w:cs="Arial"/>
          <w:bCs/>
          <w:sz w:val="20"/>
          <w:szCs w:val="20"/>
        </w:rPr>
        <w:t xml:space="preserve">UN Doc </w:t>
      </w:r>
      <w:r w:rsidRPr="00892424">
        <w:rPr>
          <w:rFonts w:ascii="Arial" w:hAnsi="Arial" w:cs="Arial"/>
          <w:sz w:val="20"/>
          <w:szCs w:val="20"/>
        </w:rPr>
        <w:t xml:space="preserve">A/HRC/20/18/Add.1, para 82 (g). At </w:t>
      </w:r>
      <w:hyperlink r:id="rId74" w:history="1">
        <w:r w:rsidRPr="00892424">
          <w:rPr>
            <w:rStyle w:val="Hyperlink"/>
            <w:rFonts w:ascii="Arial" w:hAnsi="Arial" w:cs="Arial"/>
            <w:sz w:val="20"/>
            <w:szCs w:val="20"/>
          </w:rPr>
          <w:t>http://www.ohchr.org/EN/Issues/Trafficking/Pages/Visits.aspx</w:t>
        </w:r>
      </w:hyperlink>
      <w:r>
        <w:rPr>
          <w:rFonts w:ascii="Arial" w:hAnsi="Arial" w:cs="Arial"/>
          <w:sz w:val="20"/>
          <w:szCs w:val="20"/>
        </w:rPr>
        <w:t xml:space="preserve"> (</w:t>
      </w:r>
      <w:r w:rsidRPr="00F94784">
        <w:rPr>
          <w:rFonts w:ascii="Arial" w:hAnsi="Arial" w:cs="Arial"/>
          <w:sz w:val="20"/>
          <w:szCs w:val="20"/>
        </w:rPr>
        <w:t>viewed 11 September 2017</w:t>
      </w:r>
      <w:r>
        <w:rPr>
          <w:rFonts w:ascii="Arial" w:hAnsi="Arial" w:cs="Arial"/>
          <w:sz w:val="20"/>
          <w:szCs w:val="20"/>
        </w:rPr>
        <w:t xml:space="preserve">); </w:t>
      </w:r>
    </w:p>
    <w:p w:rsidR="00414DC7" w:rsidRPr="00892424" w:rsidRDefault="00414DC7" w:rsidP="008C4D4C">
      <w:pPr>
        <w:autoSpaceDE w:val="0"/>
        <w:autoSpaceDN w:val="0"/>
        <w:adjustRightInd w:val="0"/>
        <w:spacing w:before="0" w:after="0"/>
        <w:rPr>
          <w:rFonts w:cs="Arial"/>
          <w:sz w:val="20"/>
          <w:szCs w:val="20"/>
        </w:rPr>
      </w:pPr>
      <w:r w:rsidRPr="00892424">
        <w:rPr>
          <w:rFonts w:cs="Arial"/>
          <w:sz w:val="20"/>
          <w:szCs w:val="20"/>
        </w:rPr>
        <w:t xml:space="preserve">Joint Standing Committee on Foreign Affairs, Defence and Trade, </w:t>
      </w:r>
      <w:r w:rsidRPr="00892424">
        <w:rPr>
          <w:rFonts w:cs="Arial"/>
          <w:i/>
          <w:sz w:val="20"/>
          <w:szCs w:val="20"/>
        </w:rPr>
        <w:t>Trading Lives: Modern Day Human Trafficking</w:t>
      </w:r>
      <w:r w:rsidRPr="00892424">
        <w:rPr>
          <w:rFonts w:cs="Arial"/>
          <w:sz w:val="20"/>
          <w:szCs w:val="20"/>
        </w:rPr>
        <w:t xml:space="preserve"> (2013). At </w:t>
      </w:r>
      <w:hyperlink r:id="rId75" w:history="1">
        <w:r w:rsidRPr="00892424">
          <w:rPr>
            <w:rStyle w:val="Hyperlink"/>
            <w:rFonts w:cs="Arial"/>
            <w:sz w:val="20"/>
            <w:szCs w:val="20"/>
          </w:rPr>
          <w:t>http://www.aph.gov.au/parliamentary_business/committees/house_of_representatives_committees?url=jfadt/slavery_people_trafficking/report.htm</w:t>
        </w:r>
      </w:hyperlink>
      <w:r w:rsidRPr="00892424">
        <w:rPr>
          <w:rFonts w:cs="Arial"/>
          <w:sz w:val="20"/>
          <w:szCs w:val="20"/>
        </w:rPr>
        <w:t xml:space="preserve"> (</w:t>
      </w:r>
      <w:r w:rsidRPr="00F94784">
        <w:rPr>
          <w:rFonts w:cs="Arial"/>
          <w:sz w:val="20"/>
          <w:szCs w:val="20"/>
        </w:rPr>
        <w:t>viewed 11 September 2017</w:t>
      </w:r>
      <w:r w:rsidRPr="00892424">
        <w:rPr>
          <w:rFonts w:cs="Arial"/>
          <w:sz w:val="20"/>
          <w:szCs w:val="20"/>
        </w:rPr>
        <w:t>).</w:t>
      </w:r>
    </w:p>
  </w:endnote>
  <w:endnote w:id="58">
    <w:p w:rsidR="00414DC7" w:rsidRPr="00892424" w:rsidRDefault="00414DC7" w:rsidP="008C4D4C">
      <w:pPr>
        <w:pStyle w:val="EndnoteText"/>
        <w:rPr>
          <w:rFonts w:cs="Arial"/>
        </w:rPr>
      </w:pPr>
      <w:r w:rsidRPr="00892424">
        <w:rPr>
          <w:rStyle w:val="EndnoteReference"/>
          <w:rFonts w:cs="Arial"/>
        </w:rPr>
        <w:endnoteRef/>
      </w:r>
      <w:r w:rsidRPr="00892424">
        <w:rPr>
          <w:rFonts w:cs="Arial"/>
        </w:rPr>
        <w:t xml:space="preserve"> Australian Human Rights Commission, </w:t>
      </w:r>
      <w:r w:rsidRPr="00197D72">
        <w:rPr>
          <w:rFonts w:cs="Arial"/>
          <w:lang w:val="en"/>
        </w:rPr>
        <w:t>Submission No 23 to Parliamentary Joint Committee on Law Enforcement</w:t>
      </w:r>
      <w:r>
        <w:rPr>
          <w:rFonts w:cs="Arial"/>
          <w:lang w:val="en"/>
        </w:rPr>
        <w:t>,</w:t>
      </w:r>
      <w:r w:rsidRPr="00892424">
        <w:rPr>
          <w:rFonts w:cs="Arial"/>
          <w:i/>
          <w:lang w:val="en"/>
        </w:rPr>
        <w:t xml:space="preserve"> Inquiry into Human Trafficking</w:t>
      </w:r>
      <w:r>
        <w:rPr>
          <w:rFonts w:cs="Arial"/>
          <w:lang w:val="en"/>
        </w:rPr>
        <w:t>, 4 March 2016</w:t>
      </w:r>
      <w:r w:rsidRPr="00892424">
        <w:rPr>
          <w:rFonts w:cs="Arial"/>
          <w:lang w:val="en"/>
        </w:rPr>
        <w:t xml:space="preserve">. At </w:t>
      </w:r>
      <w:hyperlink r:id="rId76" w:history="1">
        <w:r w:rsidRPr="00892424">
          <w:rPr>
            <w:rStyle w:val="Hyperlink"/>
            <w:rFonts w:cs="Arial"/>
            <w:lang w:val="en"/>
          </w:rPr>
          <w:t>http://www.humanrights.gov.au/submissions/submission-inquiry-human-trafficking-2016</w:t>
        </w:r>
      </w:hyperlink>
      <w:r w:rsidRPr="00892424">
        <w:rPr>
          <w:rFonts w:cs="Arial"/>
          <w:lang w:val="en"/>
        </w:rPr>
        <w:t xml:space="preserve"> (</w:t>
      </w:r>
      <w:r w:rsidRPr="00F94784">
        <w:rPr>
          <w:rFonts w:cs="Arial"/>
          <w:lang w:val="en"/>
        </w:rPr>
        <w:t>viewed 11 September 2017</w:t>
      </w:r>
      <w:r w:rsidRPr="00892424">
        <w:rPr>
          <w:rFonts w:cs="Arial"/>
          <w:lang w:val="en"/>
        </w:rPr>
        <w:t>).</w:t>
      </w:r>
    </w:p>
  </w:endnote>
  <w:endnote w:id="59">
    <w:p w:rsidR="00414DC7" w:rsidRPr="00892424" w:rsidRDefault="00414DC7" w:rsidP="008C4D4C">
      <w:pPr>
        <w:pStyle w:val="EndnoteText"/>
        <w:rPr>
          <w:rFonts w:cs="Arial"/>
        </w:rPr>
      </w:pPr>
      <w:r w:rsidRPr="00892424">
        <w:rPr>
          <w:rStyle w:val="EndnoteReference"/>
          <w:rFonts w:cs="Arial"/>
        </w:rPr>
        <w:endnoteRef/>
      </w:r>
      <w:r w:rsidRPr="00892424">
        <w:rPr>
          <w:rFonts w:cs="Arial"/>
        </w:rPr>
        <w:t xml:space="preserve"> </w:t>
      </w:r>
      <w:r>
        <w:t xml:space="preserve">Unregulated </w:t>
      </w:r>
      <w:r w:rsidRPr="00AC0009">
        <w:rPr>
          <w:lang w:val="en"/>
        </w:rPr>
        <w:t>surrogacy</w:t>
      </w:r>
      <w:r>
        <w:t xml:space="preserve"> arrangements can interfere with a surrogate mother’s right to bodily integrity and to be free from subjection to cruel, inhuman or degrading treatment or to medical or scientific experimentation without consent. </w:t>
      </w:r>
      <w:r w:rsidRPr="00892424">
        <w:rPr>
          <w:rFonts w:cs="Arial"/>
        </w:rPr>
        <w:t xml:space="preserve">Australian Human Rights Commission, Submission No. 67 to the House of Representatives Standing Committee on Social Policy and Legal Affairs </w:t>
      </w:r>
      <w:r w:rsidRPr="00892424">
        <w:rPr>
          <w:rFonts w:cs="Arial"/>
          <w:i/>
        </w:rPr>
        <w:t xml:space="preserve">Inquiry into the </w:t>
      </w:r>
      <w:r>
        <w:rPr>
          <w:rFonts w:cs="Arial"/>
          <w:i/>
        </w:rPr>
        <w:t>R</w:t>
      </w:r>
      <w:r w:rsidRPr="00892424">
        <w:rPr>
          <w:rFonts w:cs="Arial"/>
          <w:i/>
        </w:rPr>
        <w:t xml:space="preserve">egulatory and </w:t>
      </w:r>
      <w:r>
        <w:rPr>
          <w:rFonts w:cs="Arial"/>
          <w:i/>
        </w:rPr>
        <w:t>L</w:t>
      </w:r>
      <w:r w:rsidRPr="00892424">
        <w:rPr>
          <w:rFonts w:cs="Arial"/>
          <w:i/>
        </w:rPr>
        <w:t xml:space="preserve">egislative </w:t>
      </w:r>
      <w:r>
        <w:rPr>
          <w:rFonts w:cs="Arial"/>
          <w:i/>
        </w:rPr>
        <w:t>Aspects of I</w:t>
      </w:r>
      <w:r w:rsidRPr="00892424">
        <w:rPr>
          <w:rFonts w:cs="Arial"/>
          <w:i/>
        </w:rPr>
        <w:t xml:space="preserve">nternational and </w:t>
      </w:r>
      <w:r>
        <w:rPr>
          <w:rFonts w:cs="Arial"/>
          <w:i/>
        </w:rPr>
        <w:t>D</w:t>
      </w:r>
      <w:r w:rsidRPr="00892424">
        <w:rPr>
          <w:rFonts w:cs="Arial"/>
          <w:i/>
        </w:rPr>
        <w:t xml:space="preserve">omestic </w:t>
      </w:r>
      <w:r>
        <w:rPr>
          <w:rFonts w:cs="Arial"/>
          <w:i/>
        </w:rPr>
        <w:t>S</w:t>
      </w:r>
      <w:r w:rsidRPr="00892424">
        <w:rPr>
          <w:rFonts w:cs="Arial"/>
          <w:i/>
        </w:rPr>
        <w:t xml:space="preserve">urrogacy </w:t>
      </w:r>
      <w:r>
        <w:rPr>
          <w:rFonts w:cs="Arial"/>
          <w:i/>
        </w:rPr>
        <w:t>A</w:t>
      </w:r>
      <w:r w:rsidRPr="00892424">
        <w:rPr>
          <w:rFonts w:cs="Arial"/>
          <w:i/>
        </w:rPr>
        <w:t>rrangements</w:t>
      </w:r>
      <w:r w:rsidRPr="00892424">
        <w:rPr>
          <w:rFonts w:cs="Arial"/>
        </w:rPr>
        <w:t xml:space="preserve">, </w:t>
      </w:r>
      <w:r>
        <w:rPr>
          <w:rFonts w:cs="Arial"/>
        </w:rPr>
        <w:t xml:space="preserve">17 </w:t>
      </w:r>
      <w:r w:rsidRPr="00892424">
        <w:rPr>
          <w:rFonts w:cs="Arial"/>
        </w:rPr>
        <w:t xml:space="preserve">February 2016, </w:t>
      </w:r>
      <w:r>
        <w:rPr>
          <w:rFonts w:cs="Arial"/>
        </w:rPr>
        <w:t xml:space="preserve">8 </w:t>
      </w:r>
      <w:r w:rsidRPr="00892424">
        <w:rPr>
          <w:rFonts w:cs="Arial"/>
        </w:rPr>
        <w:t xml:space="preserve">[25]-[27]. At </w:t>
      </w:r>
      <w:hyperlink r:id="rId77" w:history="1">
        <w:r w:rsidRPr="000A5C86">
          <w:rPr>
            <w:rStyle w:val="Hyperlink"/>
          </w:rPr>
          <w:t>http://www.aph.gov.au/DocumentStore.ashx?id=dedb38e1-e23a-44fb-99be-9f4bea82f9ba&amp;subId=409138</w:t>
        </w:r>
      </w:hyperlink>
      <w:r>
        <w:t xml:space="preserve">  </w:t>
      </w:r>
      <w:r w:rsidRPr="00892424">
        <w:rPr>
          <w:rFonts w:cs="Arial"/>
        </w:rPr>
        <w:t>(</w:t>
      </w:r>
      <w:r w:rsidRPr="00BF602B">
        <w:rPr>
          <w:rFonts w:cs="Arial"/>
        </w:rPr>
        <w:t xml:space="preserve">viewed </w:t>
      </w:r>
      <w:r>
        <w:rPr>
          <w:rFonts w:cs="Arial"/>
        </w:rPr>
        <w:t>11 September 2017</w:t>
      </w:r>
      <w:r w:rsidRPr="00892424">
        <w:rPr>
          <w:rFonts w:cs="Arial"/>
        </w:rPr>
        <w:t>).</w:t>
      </w:r>
    </w:p>
  </w:endnote>
  <w:endnote w:id="60">
    <w:p w:rsidR="00414DC7" w:rsidRPr="00892424" w:rsidRDefault="00414DC7" w:rsidP="008C4D4C">
      <w:pPr>
        <w:pStyle w:val="EndnoteText"/>
        <w:rPr>
          <w:rFonts w:cs="Arial"/>
        </w:rPr>
      </w:pPr>
      <w:r w:rsidRPr="00892424">
        <w:rPr>
          <w:rStyle w:val="EndnoteReference"/>
          <w:rFonts w:cs="Arial"/>
        </w:rPr>
        <w:endnoteRef/>
      </w:r>
      <w:r w:rsidRPr="00892424">
        <w:rPr>
          <w:rFonts w:cs="Arial"/>
        </w:rPr>
        <w:t xml:space="preserve"> </w:t>
      </w:r>
      <w:r w:rsidRPr="00892424">
        <w:rPr>
          <w:rFonts w:eastAsia="Calibri" w:cs="Arial"/>
          <w:lang w:val="en-US" w:eastAsia="en-US"/>
        </w:rPr>
        <w:t xml:space="preserve">House of Representatives Standing Committee on Social Policy and Legal Affairs, Parliament of Australia, </w:t>
      </w:r>
      <w:r w:rsidRPr="00892424">
        <w:rPr>
          <w:rFonts w:eastAsia="Calibri" w:cs="Arial"/>
          <w:i/>
          <w:lang w:val="en-US" w:eastAsia="en-US"/>
        </w:rPr>
        <w:t xml:space="preserve">Surrogacy Matters </w:t>
      </w:r>
      <w:r w:rsidRPr="00892424">
        <w:rPr>
          <w:rFonts w:eastAsia="Calibri" w:cs="Arial"/>
          <w:lang w:val="en-US" w:eastAsia="en-US"/>
        </w:rPr>
        <w:t xml:space="preserve">(2016). At </w:t>
      </w:r>
      <w:hyperlink r:id="rId78" w:history="1">
        <w:r w:rsidRPr="00892424">
          <w:rPr>
            <w:rFonts w:eastAsia="Calibri" w:cs="Arial"/>
            <w:color w:val="0000FF"/>
            <w:u w:val="single"/>
            <w:lang w:val="en-US" w:eastAsia="en-US"/>
          </w:rPr>
          <w:t>http://www.aph.gov.au/Parliamentary_Business/Committees/House/Social_Policy_and_Legal_Affairs/Inquiry_into_surrogacy/Report</w:t>
        </w:r>
      </w:hyperlink>
      <w:r w:rsidRPr="00892424">
        <w:rPr>
          <w:rFonts w:eastAsia="Calibri" w:cs="Arial"/>
          <w:lang w:val="en-US" w:eastAsia="en-US"/>
        </w:rPr>
        <w:t xml:space="preserve"> (</w:t>
      </w:r>
      <w:r w:rsidRPr="00BF602B">
        <w:rPr>
          <w:rFonts w:cs="Arial"/>
        </w:rPr>
        <w:t xml:space="preserve">viewed </w:t>
      </w:r>
      <w:r>
        <w:rPr>
          <w:rFonts w:cs="Arial"/>
        </w:rPr>
        <w:t>11 September 2017</w:t>
      </w:r>
      <w:r w:rsidRPr="00892424">
        <w:rPr>
          <w:rFonts w:eastAsia="Calibri" w:cs="Arial"/>
          <w:lang w:val="en-US" w:eastAsia="en-US"/>
        </w:rPr>
        <w:t>).</w:t>
      </w:r>
      <w:r>
        <w:rPr>
          <w:rFonts w:eastAsia="Calibri" w:cs="Arial"/>
          <w:lang w:val="en-US" w:eastAsia="en-US"/>
        </w:rPr>
        <w:t xml:space="preserve"> </w:t>
      </w:r>
      <w:r w:rsidRPr="00892424">
        <w:rPr>
          <w:rFonts w:cs="Arial"/>
        </w:rPr>
        <w:t>The Committee’s 10 recommendations concern improving access to well-regulated and lawful domestic surrogacy arrangements so that there is less need for Australians to travel overseas to engage in surrogacy (Recommendations 1-6), and to promote better protection of the human rights of birth mothers and the children they carry on behalf of Australian citizens involved in international surrogacy arrangements (Recommendations 7-10). If the recommendations are adopted, it will be a step towards more uniform domestic laws that provide increased access to well-regulated surrogacy arrangements in Australia, and increased scrutiny of the practices in other countries which should lead to better human rights outcomes.</w:t>
      </w:r>
    </w:p>
  </w:endnote>
  <w:endnote w:id="61">
    <w:p w:rsidR="00414DC7" w:rsidRDefault="00414DC7" w:rsidP="00F2366F">
      <w:pPr>
        <w:pStyle w:val="EndnoteText"/>
      </w:pPr>
      <w:r>
        <w:rPr>
          <w:rStyle w:val="EndnoteReference"/>
        </w:rPr>
        <w:endnoteRef/>
      </w:r>
      <w:r>
        <w:t xml:space="preserve"> The focus on the project is to:</w:t>
      </w:r>
    </w:p>
    <w:p w:rsidR="00414DC7" w:rsidRDefault="00414DC7" w:rsidP="00D728BA">
      <w:pPr>
        <w:pStyle w:val="EndnoteText"/>
        <w:numPr>
          <w:ilvl w:val="0"/>
          <w:numId w:val="25"/>
        </w:numPr>
        <w:ind w:left="426"/>
      </w:pPr>
      <w:r>
        <w:t xml:space="preserve">Elevate the voice of and effectively empower Aboriginal and Torres Strait Islander women and girls to take part in a human-rights-based process which is accessible and relevant to their lived reality. </w:t>
      </w:r>
    </w:p>
    <w:p w:rsidR="00414DC7" w:rsidRDefault="00414DC7" w:rsidP="00D728BA">
      <w:pPr>
        <w:pStyle w:val="EndnoteText"/>
        <w:numPr>
          <w:ilvl w:val="0"/>
          <w:numId w:val="25"/>
        </w:numPr>
        <w:ind w:left="426"/>
      </w:pPr>
      <w:r>
        <w:t>Capture the voices of Aboriginal and Torres Strait Islander women and girls with respect to their cultural, socio-economic and personal security, their key priorities, and the principles that they believe underpin effective policy and practice.</w:t>
      </w:r>
    </w:p>
    <w:p w:rsidR="00414DC7" w:rsidRDefault="00414DC7" w:rsidP="00D728BA">
      <w:pPr>
        <w:pStyle w:val="EndnoteText"/>
        <w:numPr>
          <w:ilvl w:val="0"/>
          <w:numId w:val="25"/>
        </w:numPr>
        <w:ind w:left="426"/>
      </w:pPr>
      <w:r>
        <w:t>Provide robust evidence and set out clear guidance for governments to improve their capacity to support Aboriginal and Torres Strait Islander women and girls as active citizens and positive change makers, and the best-practice considerations that need to be deployed throughout government policies and programs.</w:t>
      </w:r>
    </w:p>
  </w:endnote>
  <w:endnote w:id="62">
    <w:p w:rsidR="00414DC7" w:rsidRDefault="00414DC7" w:rsidP="00676813">
      <w:pPr>
        <w:pStyle w:val="EndnoteText"/>
        <w:rPr>
          <w:rFonts w:cs="Arial"/>
        </w:rPr>
      </w:pPr>
      <w:r w:rsidRPr="005B4472">
        <w:rPr>
          <w:rStyle w:val="EndnoteReference"/>
          <w:rFonts w:cs="Arial"/>
        </w:rPr>
        <w:endnoteRef/>
      </w:r>
      <w:r w:rsidRPr="005B4472">
        <w:rPr>
          <w:rFonts w:cs="Arial"/>
        </w:rPr>
        <w:t xml:space="preserve"> Australian Bureau of Statistics, Prisoners in Australia, 2016 (data tables) in </w:t>
      </w:r>
      <w:r w:rsidRPr="005B4472">
        <w:rPr>
          <w:rFonts w:cs="Arial"/>
          <w:i/>
        </w:rPr>
        <w:t>Over-represented and overlooked: the crisis of Aboriginal and Torres Strait Islander women’s growing over-imprisonment</w:t>
      </w:r>
      <w:r w:rsidRPr="005B4472">
        <w:rPr>
          <w:rFonts w:cs="Arial"/>
        </w:rPr>
        <w:t>, Human Rights Law Centre and Change the Record, 10.</w:t>
      </w:r>
      <w:r>
        <w:rPr>
          <w:rFonts w:cs="Arial"/>
        </w:rPr>
        <w:t xml:space="preserve"> </w:t>
      </w:r>
    </w:p>
    <w:p w:rsidR="00414DC7" w:rsidRPr="005B4472" w:rsidRDefault="00414DC7" w:rsidP="00676813">
      <w:pPr>
        <w:pStyle w:val="EndnoteText"/>
        <w:rPr>
          <w:rFonts w:cs="Arial"/>
        </w:rPr>
      </w:pPr>
      <w:r>
        <w:t>It is also important to note that 80% of Aboriginal and Torres Strait Islander women in prison are mothers:</w:t>
      </w:r>
      <w:r w:rsidRPr="00177806">
        <w:rPr>
          <w:rFonts w:cs="Arial"/>
          <w:i/>
        </w:rPr>
        <w:t xml:space="preserve"> </w:t>
      </w:r>
      <w:r w:rsidRPr="005B4472">
        <w:rPr>
          <w:rFonts w:cs="Arial"/>
          <w:i/>
        </w:rPr>
        <w:t>Over-represented and overlooked: the crisis of Aboriginal and Torres Strait Islander women’s growing over-imprisonment</w:t>
      </w:r>
      <w:r w:rsidRPr="005B4472">
        <w:rPr>
          <w:rFonts w:cs="Arial"/>
        </w:rPr>
        <w:t>, Human Rights Law Centre and Change the Record, 5.</w:t>
      </w:r>
    </w:p>
  </w:endnote>
  <w:endnote w:id="63">
    <w:p w:rsidR="00414DC7" w:rsidRPr="005B4472" w:rsidRDefault="00414DC7" w:rsidP="00CA4F62">
      <w:pPr>
        <w:pStyle w:val="EndnoteText"/>
        <w:rPr>
          <w:rFonts w:cs="Arial"/>
        </w:rPr>
      </w:pPr>
      <w:r w:rsidRPr="005B4472">
        <w:rPr>
          <w:rStyle w:val="EndnoteReference"/>
          <w:rFonts w:cs="Arial"/>
        </w:rPr>
        <w:endnoteRef/>
      </w:r>
      <w:r w:rsidRPr="005B4472">
        <w:rPr>
          <w:rFonts w:cs="Arial"/>
        </w:rPr>
        <w:t xml:space="preserve"> Dr William Jonas AM, </w:t>
      </w:r>
      <w:r w:rsidRPr="005B4472">
        <w:rPr>
          <w:rFonts w:cs="Arial"/>
          <w:i/>
        </w:rPr>
        <w:t>Social Justice Report 2002</w:t>
      </w:r>
      <w:r w:rsidRPr="005B4472">
        <w:rPr>
          <w:rFonts w:cs="Arial"/>
        </w:rPr>
        <w:t>, Australian Human Rights Commission, (2002) 136.</w:t>
      </w:r>
      <w:r>
        <w:rPr>
          <w:rFonts w:cs="Arial"/>
        </w:rPr>
        <w:t xml:space="preserve"> </w:t>
      </w:r>
      <w:r>
        <w:t xml:space="preserve">Aboriginal and Torres Strait Islander women are still imprisoned and still die in prison at unacceptable rates. Current efforts around diversion must be strengthened so that women are not imprisoned for offences such as, but not limited to, fine default, public drunkenness, substance abuse and traffic offences. Consideration must be given to the need for a national Indigenous Women’s Legal Service in order to address the chronic disadvantage experienced by Aboriginal and Torres Strait Islander women and their access to justice - </w:t>
      </w:r>
      <w:r w:rsidRPr="005B4472">
        <w:rPr>
          <w:rFonts w:cs="Arial"/>
        </w:rPr>
        <w:t xml:space="preserve">Commonwealth of Australia, Senate Standing Committee on Legal and Constitutional Affairs References Committee, </w:t>
      </w:r>
      <w:r w:rsidRPr="005B4472">
        <w:rPr>
          <w:rFonts w:cs="Arial"/>
          <w:i/>
        </w:rPr>
        <w:t>Access to Justice</w:t>
      </w:r>
      <w:r w:rsidRPr="005B4472">
        <w:rPr>
          <w:rFonts w:cs="Arial"/>
        </w:rPr>
        <w:t xml:space="preserve"> (2009) 8.124-8.126</w:t>
      </w:r>
      <w:r>
        <w:rPr>
          <w:rFonts w:cs="Arial"/>
        </w:rPr>
        <w:t xml:space="preserve">. </w:t>
      </w:r>
      <w:r>
        <w:t xml:space="preserve">Organisations such as the Family Violence Prevention Legal Services should be strengthened to increase the access of culturally appropriate services to Indigenous women across regional, </w:t>
      </w:r>
      <w:r w:rsidRPr="00354FC3">
        <w:t>metropolitan and remote areas</w:t>
      </w:r>
      <w:r>
        <w:t xml:space="preserve"> - </w:t>
      </w:r>
      <w:r w:rsidRPr="005B4472">
        <w:rPr>
          <w:rFonts w:cs="Arial"/>
        </w:rPr>
        <w:t xml:space="preserve">Sisters Inside, </w:t>
      </w:r>
      <w:r w:rsidRPr="00756A51">
        <w:rPr>
          <w:rFonts w:cs="Arial"/>
        </w:rPr>
        <w:t>Submission 69 to the Senate Standing Committee on Legal and Constitutional Affairs</w:t>
      </w:r>
      <w:r>
        <w:rPr>
          <w:rFonts w:cs="Arial"/>
        </w:rPr>
        <w:t xml:space="preserve"> References Committee</w:t>
      </w:r>
      <w:r w:rsidRPr="00756A51">
        <w:rPr>
          <w:rFonts w:cs="Arial"/>
        </w:rPr>
        <w:t>, Parliament of Australia,</w:t>
      </w:r>
      <w:r w:rsidRPr="005B4472">
        <w:rPr>
          <w:rFonts w:cs="Arial"/>
          <w:i/>
        </w:rPr>
        <w:t xml:space="preserve"> Inquiry into the value of a justice reinvestment approach to criminal justice in Australia, </w:t>
      </w:r>
      <w:r w:rsidRPr="005B4472">
        <w:rPr>
          <w:rFonts w:cs="Arial"/>
        </w:rPr>
        <w:t>(2013) 23.</w:t>
      </w:r>
    </w:p>
  </w:endnote>
  <w:endnote w:id="64">
    <w:p w:rsidR="00414DC7" w:rsidRPr="00F60F59" w:rsidRDefault="00414DC7" w:rsidP="00354FC3">
      <w:pPr>
        <w:pStyle w:val="EndnoteText"/>
        <w:rPr>
          <w:rFonts w:cs="Arial"/>
        </w:rPr>
      </w:pPr>
      <w:r>
        <w:rPr>
          <w:rStyle w:val="EndnoteReference"/>
        </w:rPr>
        <w:endnoteRef/>
      </w:r>
      <w:r>
        <w:t xml:space="preserve"> </w:t>
      </w:r>
      <w:r w:rsidRPr="005B4472">
        <w:rPr>
          <w:rFonts w:cs="Arial"/>
        </w:rPr>
        <w:t xml:space="preserve">Change the Record, </w:t>
      </w:r>
      <w:r w:rsidRPr="005B4472">
        <w:rPr>
          <w:rFonts w:cs="Arial"/>
          <w:i/>
        </w:rPr>
        <w:t>Blueprint for Change</w:t>
      </w:r>
      <w:r w:rsidRPr="005B4472">
        <w:rPr>
          <w:rFonts w:cs="Arial"/>
        </w:rPr>
        <w:t>, Change the Record Steering Committee (2015).</w:t>
      </w:r>
    </w:p>
  </w:endnote>
  <w:endnote w:id="65">
    <w:p w:rsidR="00414DC7" w:rsidRDefault="00414DC7" w:rsidP="00D559F8">
      <w:pPr>
        <w:pStyle w:val="EndnoteText"/>
      </w:pPr>
      <w:r>
        <w:rPr>
          <w:rStyle w:val="EndnoteReference"/>
        </w:rPr>
        <w:endnoteRef/>
      </w:r>
      <w:r>
        <w:t xml:space="preserve"> Australian Institute of Health and Welfare, ‘Child protection Australia 2014-15’ Child Welfare Series No. 63 (2016) 48, 53. Also, Australian Institute of Health and Welfare, ‘Child protection Australia 2015-2016’ Child Welfare Series No. 66 (2017) 51-52.</w:t>
      </w:r>
    </w:p>
  </w:endnote>
  <w:endnote w:id="66">
    <w:p w:rsidR="00414DC7" w:rsidRPr="00892424" w:rsidRDefault="00414DC7" w:rsidP="000B6B32">
      <w:pPr>
        <w:pStyle w:val="EndnoteText"/>
        <w:rPr>
          <w:rFonts w:cs="Arial"/>
        </w:rPr>
      </w:pPr>
      <w:r w:rsidRPr="00892424">
        <w:rPr>
          <w:rStyle w:val="EndnoteReference"/>
          <w:rFonts w:cs="Arial"/>
        </w:rPr>
        <w:endnoteRef/>
      </w:r>
      <w:r w:rsidRPr="00892424">
        <w:rPr>
          <w:rFonts w:cs="Arial"/>
        </w:rPr>
        <w:t xml:space="preserve"> The Hon Malcolm Turnbull MP, Prime Minister, and the Hon Sen George Brandis QC, ‘Royal Commission into the Child Protection and youth detention systems of the Northern Territory’, (Media release, 28 July 2016)</w:t>
      </w:r>
      <w:r>
        <w:rPr>
          <w:rFonts w:cs="Arial"/>
        </w:rPr>
        <w:t>. At</w:t>
      </w:r>
      <w:r w:rsidRPr="00892424">
        <w:rPr>
          <w:rFonts w:cs="Arial"/>
        </w:rPr>
        <w:t xml:space="preserve"> </w:t>
      </w:r>
      <w:hyperlink r:id="rId79" w:history="1">
        <w:r w:rsidRPr="00892424">
          <w:rPr>
            <w:rStyle w:val="Hyperlink"/>
            <w:rFonts w:cs="Arial"/>
          </w:rPr>
          <w:t>https://www.pm.gov.au/media/2016-07-28/royal-commission-child-protection-and-youth-detention-systems-northern-territory</w:t>
        </w:r>
      </w:hyperlink>
      <w:r>
        <w:rPr>
          <w:rFonts w:cs="Arial"/>
        </w:rPr>
        <w:t xml:space="preserve"> (</w:t>
      </w:r>
      <w:r w:rsidRPr="00BF602B">
        <w:rPr>
          <w:rFonts w:cs="Arial"/>
        </w:rPr>
        <w:t xml:space="preserve">viewed </w:t>
      </w:r>
      <w:r>
        <w:rPr>
          <w:rFonts w:cs="Arial"/>
        </w:rPr>
        <w:t>11 September 2017).</w:t>
      </w:r>
    </w:p>
  </w:endnote>
  <w:endnote w:id="67">
    <w:p w:rsidR="00414DC7" w:rsidRDefault="00414DC7" w:rsidP="00A65446">
      <w:pPr>
        <w:pStyle w:val="EndnoteText"/>
      </w:pPr>
      <w:r>
        <w:rPr>
          <w:rStyle w:val="EndnoteReference"/>
        </w:rPr>
        <w:endnoteRef/>
      </w:r>
      <w:r>
        <w:t xml:space="preserve"> </w:t>
      </w:r>
      <w:r w:rsidR="00A65446">
        <w:t xml:space="preserve">Australian Human Rights Commission, </w:t>
      </w:r>
      <w:r w:rsidRPr="008F0FA2">
        <w:rPr>
          <w:i/>
        </w:rPr>
        <w:t>Social Justice and Native Title Report 2015</w:t>
      </w:r>
      <w:r w:rsidR="00A65446">
        <w:t xml:space="preserve">, 48-61. At: </w:t>
      </w:r>
      <w:hyperlink r:id="rId80" w:history="1">
        <w:r w:rsidR="00031452" w:rsidRPr="007243E5">
          <w:rPr>
            <w:rStyle w:val="Hyperlink"/>
          </w:rPr>
          <w:t>https://www.humanrights.gov.au/our-work/aboriginal-and-torres-strait-islander-social-justice/publications/social-justice-and-nati-1</w:t>
        </w:r>
      </w:hyperlink>
      <w:r w:rsidR="00031452">
        <w:t xml:space="preserve"> </w:t>
      </w:r>
      <w:r w:rsidR="00A65446">
        <w:t>(viewed</w:t>
      </w:r>
      <w:r>
        <w:t xml:space="preserve"> </w:t>
      </w:r>
      <w:r w:rsidR="00A65446">
        <w:t>28 September 2017). Australian Human Rights Commission</w:t>
      </w:r>
      <w:r>
        <w:t xml:space="preserve">, </w:t>
      </w:r>
      <w:r w:rsidRPr="008F0FA2">
        <w:rPr>
          <w:i/>
        </w:rPr>
        <w:t>Social Justice and Native Title Report 2016</w:t>
      </w:r>
      <w:r>
        <w:t>, 70-98.</w:t>
      </w:r>
      <w:r w:rsidR="00A65446">
        <w:t xml:space="preserve"> At: </w:t>
      </w:r>
      <w:hyperlink r:id="rId81" w:history="1">
        <w:r w:rsidR="00583C19" w:rsidRPr="007243E5">
          <w:rPr>
            <w:rStyle w:val="Hyperlink"/>
          </w:rPr>
          <w:t>https://www.humanrights.gov.au/our-work/aboriginal-and-torres-strait-islander-social-justice/publications/social-justice-and-nati-2</w:t>
        </w:r>
      </w:hyperlink>
      <w:r w:rsidR="00583C19">
        <w:t xml:space="preserve"> </w:t>
      </w:r>
      <w:r w:rsidR="00A65446">
        <w:t>(viewed 28 September 2017).</w:t>
      </w:r>
    </w:p>
  </w:endnote>
  <w:endnote w:id="68">
    <w:p w:rsidR="00634FFD" w:rsidRDefault="00634FFD" w:rsidP="00634FFD">
      <w:pPr>
        <w:pStyle w:val="EndnoteText"/>
      </w:pPr>
      <w:r>
        <w:rPr>
          <w:rStyle w:val="EndnoteReference"/>
        </w:rPr>
        <w:endnoteRef/>
      </w:r>
      <w:r>
        <w:t xml:space="preserve"> Parliamentary Joint Committee on Human Rights, Parliament of Australia, </w:t>
      </w:r>
      <w:r w:rsidRPr="00634FFD">
        <w:rPr>
          <w:i/>
        </w:rPr>
        <w:t>2016 Review of Stronger Futures measures</w:t>
      </w:r>
      <w:r>
        <w:t xml:space="preserve"> (2016), [4.104]-[4.105].</w:t>
      </w:r>
      <w:r w:rsidR="00361B3D">
        <w:t xml:space="preserve"> At:</w:t>
      </w:r>
      <w:r w:rsidR="00CC1866" w:rsidRPr="00CC1866">
        <w:t xml:space="preserve"> </w:t>
      </w:r>
      <w:hyperlink r:id="rId82" w:history="1">
        <w:r w:rsidR="00CC1866" w:rsidRPr="000D2B2F">
          <w:rPr>
            <w:rStyle w:val="Hyperlink"/>
          </w:rPr>
          <w:t>http://www.aph.gov.au/Parliamentary_Business/Committees/Joint/Human_Rights/Committee_Inquiries/strongerfutures2/Final_report</w:t>
        </w:r>
      </w:hyperlink>
      <w:r w:rsidR="00CC1866">
        <w:t xml:space="preserve"> </w:t>
      </w:r>
      <w:r w:rsidR="00361B3D">
        <w:t xml:space="preserve">(viewed 27 September 2017). </w:t>
      </w:r>
    </w:p>
  </w:endnote>
  <w:endnote w:id="69">
    <w:p w:rsidR="00414DC7" w:rsidRDefault="00414DC7">
      <w:pPr>
        <w:pStyle w:val="EndnoteText"/>
      </w:pPr>
      <w:r>
        <w:rPr>
          <w:rStyle w:val="EndnoteReference"/>
        </w:rPr>
        <w:endnoteRef/>
      </w:r>
      <w:r>
        <w:t xml:space="preserve"> </w:t>
      </w:r>
      <w:r w:rsidRPr="00294D48">
        <w:rPr>
          <w:rFonts w:cs="Arial"/>
          <w:bCs/>
          <w:lang w:eastAsia="en-US"/>
        </w:rPr>
        <w:t xml:space="preserve">Australian Government Department of Social Services, </w:t>
      </w:r>
      <w:r w:rsidRPr="00294D48">
        <w:rPr>
          <w:rFonts w:cs="Arial"/>
          <w:bCs/>
          <w:i/>
          <w:lang w:eastAsia="en-US"/>
        </w:rPr>
        <w:t>Cashless Debit Card Trial Evaluation: Final Evaluation Report</w:t>
      </w:r>
      <w:r w:rsidRPr="00294D48">
        <w:rPr>
          <w:rFonts w:cs="Arial"/>
          <w:bCs/>
          <w:lang w:eastAsia="en-US"/>
        </w:rPr>
        <w:t xml:space="preserve">, August 2017, 36. At: </w:t>
      </w:r>
      <w:hyperlink r:id="rId83" w:history="1">
        <w:r w:rsidRPr="00294D48">
          <w:rPr>
            <w:rStyle w:val="Hyperlink"/>
            <w:rFonts w:cs="Arial"/>
            <w:bCs/>
            <w:lang w:eastAsia="en-US"/>
          </w:rPr>
          <w:t>https://www.dss.gov.au/families-and-children/programs-services/welfare-quarantining/cashless-debit-card-trial-evaluation-reports</w:t>
        </w:r>
      </w:hyperlink>
      <w:r w:rsidRPr="00294D48">
        <w:rPr>
          <w:rFonts w:cs="Arial"/>
          <w:bCs/>
          <w:lang w:eastAsia="en-US"/>
        </w:rPr>
        <w:t xml:space="preserve"> (viewed 21 September 2017); Australian Government Department of Social Services, </w:t>
      </w:r>
      <w:r w:rsidRPr="00294D48">
        <w:rPr>
          <w:rFonts w:cs="Arial"/>
          <w:bCs/>
          <w:i/>
          <w:lang w:eastAsia="en-US"/>
        </w:rPr>
        <w:t>Cashless Debit Card Trial Evaluation: Final Evaluation Report</w:t>
      </w:r>
      <w:r w:rsidRPr="00294D48">
        <w:rPr>
          <w:rFonts w:cs="Arial"/>
          <w:bCs/>
          <w:lang w:eastAsia="en-US"/>
        </w:rPr>
        <w:t xml:space="preserve">, August 2017, 281, 287. At: </w:t>
      </w:r>
      <w:hyperlink r:id="rId84" w:history="1">
        <w:r w:rsidRPr="00294D48">
          <w:rPr>
            <w:rStyle w:val="Hyperlink"/>
            <w:rFonts w:cs="Arial"/>
            <w:bCs/>
            <w:lang w:eastAsia="en-US"/>
          </w:rPr>
          <w:t>https://www.dss.gov.au/families-and-children/programs-services/welfare-quarantining/cashless-debit-card-trial-evaluation-reports</w:t>
        </w:r>
      </w:hyperlink>
      <w:r w:rsidRPr="00294D48">
        <w:rPr>
          <w:rFonts w:cs="Arial"/>
          <w:bCs/>
          <w:lang w:eastAsia="en-US"/>
        </w:rPr>
        <w:t xml:space="preserve"> (viewed 21 September 2017).</w:t>
      </w:r>
    </w:p>
  </w:endnote>
  <w:endnote w:id="70">
    <w:p w:rsidR="00414DC7" w:rsidRDefault="00414DC7" w:rsidP="006C735C">
      <w:pPr>
        <w:pStyle w:val="EndnoteText"/>
      </w:pPr>
      <w:r>
        <w:rPr>
          <w:rStyle w:val="EndnoteReference"/>
        </w:rPr>
        <w:endnoteRef/>
      </w:r>
      <w:r>
        <w:t xml:space="preserve"> See Australian Human Rights Commission, </w:t>
      </w:r>
      <w:r w:rsidRPr="00C35FA2">
        <w:rPr>
          <w:i/>
        </w:rPr>
        <w:t>Human rights issues raised by visa refusal or cancellation under section 501 of the Migration Act</w:t>
      </w:r>
      <w:r>
        <w:t xml:space="preserve"> (June 2013) 17–18. At </w:t>
      </w:r>
      <w:hyperlink r:id="rId85" w:history="1">
        <w:r w:rsidRPr="0003254F">
          <w:rPr>
            <w:rStyle w:val="Hyperlink"/>
          </w:rPr>
          <w:t>http://www.humanrights.gov.au/sites/default/files/document/publication/section_501_paper.pdf</w:t>
        </w:r>
      </w:hyperlink>
      <w:r>
        <w:t xml:space="preserve"> (viewed 21 September 2017). See also Australian Human Rights Commission, Submission No 8 to the Senate Legal and Constitutional Affairs Legislation Committee, </w:t>
      </w:r>
      <w:r w:rsidRPr="008F4523">
        <w:rPr>
          <w:i/>
        </w:rPr>
        <w:t>Inquiry into the Migration Amendment (Character and General Visa Cancellation) Bill 2014</w:t>
      </w:r>
      <w:r>
        <w:t>, 28 October 2014.</w:t>
      </w:r>
    </w:p>
  </w:endnote>
  <w:endnote w:id="71">
    <w:p w:rsidR="00414DC7" w:rsidRDefault="00414DC7" w:rsidP="006C735C">
      <w:pPr>
        <w:pStyle w:val="EndnoteText"/>
      </w:pPr>
      <w:r>
        <w:rPr>
          <w:rStyle w:val="EndnoteReference"/>
        </w:rPr>
        <w:endnoteRef/>
      </w:r>
      <w:r>
        <w:t xml:space="preserve"> Australian Human Rights Commission, </w:t>
      </w:r>
      <w:r w:rsidRPr="00C35FA2">
        <w:rPr>
          <w:i/>
        </w:rPr>
        <w:t>Asylum seekers, refugees and human rights: Snapshot report (2nd edition)</w:t>
      </w:r>
      <w:r>
        <w:t xml:space="preserve"> (2017) 45–46. At </w:t>
      </w:r>
      <w:hyperlink r:id="rId86" w:history="1">
        <w:r w:rsidRPr="0003254F">
          <w:rPr>
            <w:rStyle w:val="Hyperlink"/>
          </w:rPr>
          <w:t>http://www.humanrights.gov.au/sites/default/files/document/publication/AHRC_Snapshot%20report_2nd%20edition_2017_WEB.pdf</w:t>
        </w:r>
      </w:hyperlink>
      <w:r>
        <w:t xml:space="preserve"> (viewed 21 September 2017). </w:t>
      </w:r>
    </w:p>
  </w:endnote>
  <w:endnote w:id="72">
    <w:p w:rsidR="00414DC7" w:rsidRDefault="00414DC7" w:rsidP="006C735C">
      <w:pPr>
        <w:pStyle w:val="EndnoteText"/>
      </w:pPr>
      <w:r>
        <w:rPr>
          <w:rStyle w:val="EndnoteReference"/>
        </w:rPr>
        <w:endnoteRef/>
      </w:r>
      <w:r>
        <w:t xml:space="preserve"> This may include, for example, instances where people are detained in facilities that are not located within a reasonable distance of where their families reside; and where people remain in indefinite detention due to adverse security or character assessments while their family members are released into alternative community arrangements. </w:t>
      </w:r>
    </w:p>
  </w:endnote>
  <w:endnote w:id="73">
    <w:p w:rsidR="00414DC7" w:rsidRPr="00797E80" w:rsidRDefault="00414DC7" w:rsidP="006C735C">
      <w:pPr>
        <w:pStyle w:val="EndnoteText"/>
      </w:pPr>
      <w:r>
        <w:rPr>
          <w:rStyle w:val="EndnoteReference"/>
        </w:rPr>
        <w:endnoteRef/>
      </w:r>
      <w:r>
        <w:t xml:space="preserve"> See, for example, </w:t>
      </w:r>
      <w:r w:rsidRPr="00797E80">
        <w:t>Helen Davidson and Paul Farrell</w:t>
      </w:r>
      <w:r>
        <w:t>, ‘</w:t>
      </w:r>
      <w:r w:rsidRPr="00797E80">
        <w:t>Immigration stalled on requests for rape victim’s family to join her, Nauru files show</w:t>
      </w:r>
      <w:r>
        <w:t xml:space="preserve">’, </w:t>
      </w:r>
      <w:r>
        <w:rPr>
          <w:i/>
        </w:rPr>
        <w:t>The Guardian</w:t>
      </w:r>
      <w:r>
        <w:t xml:space="preserve"> (online) 13 August 2016. At </w:t>
      </w:r>
      <w:hyperlink r:id="rId87" w:history="1">
        <w:r w:rsidRPr="0003254F">
          <w:rPr>
            <w:rStyle w:val="Hyperlink"/>
          </w:rPr>
          <w:t>https://www.theguardian.com/australia-news/2016/aug/13/immigration-stalled-on-requests-for-victims-family-to-join-her-nauru-files-show</w:t>
        </w:r>
      </w:hyperlink>
      <w:r>
        <w:t xml:space="preserve"> (viewed 21 September 2017). </w:t>
      </w:r>
    </w:p>
  </w:endnote>
  <w:endnote w:id="74">
    <w:p w:rsidR="00414DC7" w:rsidRDefault="00414DC7" w:rsidP="006C735C">
      <w:pPr>
        <w:pStyle w:val="EndnoteText"/>
      </w:pPr>
      <w:r>
        <w:rPr>
          <w:rStyle w:val="EndnoteReference"/>
        </w:rPr>
        <w:endnoteRef/>
      </w:r>
      <w:r>
        <w:t xml:space="preserve"> Richard Baines, ‘</w:t>
      </w:r>
      <w:r w:rsidRPr="00797E80">
        <w:t>Asylum seekers face welfare crackdown under Government changes</w:t>
      </w:r>
      <w:r>
        <w:t xml:space="preserve">’, </w:t>
      </w:r>
      <w:r w:rsidRPr="00797E80">
        <w:rPr>
          <w:i/>
        </w:rPr>
        <w:t>ABC News</w:t>
      </w:r>
      <w:r>
        <w:t xml:space="preserve"> (online) 27 August 2017. At </w:t>
      </w:r>
      <w:hyperlink r:id="rId88" w:history="1">
        <w:r w:rsidRPr="0003254F">
          <w:rPr>
            <w:rStyle w:val="Hyperlink"/>
          </w:rPr>
          <w:t>http://www.abc.net.au/news/2017-08-27/asylum-seekers-income-and-accommodation-to-be-cut-back/8846470</w:t>
        </w:r>
      </w:hyperlink>
      <w:r>
        <w:t xml:space="preserve"> (viewed 21 September 2017); Minister for Immigration and Border Protection, ‘</w:t>
      </w:r>
      <w:r w:rsidRPr="00797E80">
        <w:t>Last chance for IMAs as application deadline approaches</w:t>
      </w:r>
      <w:r>
        <w:t xml:space="preserve">’ (Media Release, 1 September 2017). At </w:t>
      </w:r>
      <w:hyperlink r:id="rId89" w:history="1">
        <w:r w:rsidRPr="0003254F">
          <w:rPr>
            <w:rStyle w:val="Hyperlink"/>
          </w:rPr>
          <w:t>http://www.minister.border.gov.au/peterdutton/Pages/last-chance-for-ima-applications-sept-2017.aspx</w:t>
        </w:r>
      </w:hyperlink>
      <w:r>
        <w:t xml:space="preserve"> (viewed 21 September 2017). </w:t>
      </w:r>
    </w:p>
  </w:endnote>
  <w:endnote w:id="75">
    <w:p w:rsidR="00414DC7" w:rsidRPr="000355AE" w:rsidRDefault="00414DC7" w:rsidP="000355AE">
      <w:pPr>
        <w:pStyle w:val="EndnoteText"/>
      </w:pPr>
      <w:r>
        <w:rPr>
          <w:rStyle w:val="EndnoteReference"/>
        </w:rPr>
        <w:endnoteRef/>
      </w:r>
      <w:r>
        <w:t xml:space="preserve"> </w:t>
      </w:r>
      <w:r w:rsidRPr="000355AE">
        <w:t xml:space="preserve">The Australian Bureau of Statistics (ABS), in its Gender Indicators release, presents a summary of gender-specific data in six areas of social concern for gender equality: Economic Security, Education, Health, Work and Family Balance, Safety and Justice, and Democracy, Governance and Citizenship. The Workplace Gender Equality Agency (WGEA) also collects data from certain employers to track progress on key gender equality measures. Key disparities between men and women have been noted in paragraph </w:t>
      </w:r>
      <w:r>
        <w:t>7</w:t>
      </w:r>
      <w:r w:rsidRPr="000355AE">
        <w:t xml:space="preserve"> of this submission.</w:t>
      </w:r>
    </w:p>
  </w:endnote>
  <w:endnote w:id="76">
    <w:p w:rsidR="00414DC7" w:rsidRPr="00D95AD0" w:rsidRDefault="00414DC7" w:rsidP="005B70B4">
      <w:pPr>
        <w:pStyle w:val="EndnoteText"/>
        <w:rPr>
          <w:rFonts w:asciiTheme="minorHAnsi" w:hAnsiTheme="minorHAnsi"/>
          <w:color w:val="000000" w:themeColor="text1"/>
          <w:sz w:val="16"/>
          <w:szCs w:val="16"/>
        </w:rPr>
      </w:pPr>
      <w:r w:rsidRPr="00D95AD0">
        <w:rPr>
          <w:rStyle w:val="EndnoteReference"/>
          <w:rFonts w:asciiTheme="minorHAnsi" w:hAnsiTheme="minorHAnsi"/>
          <w:color w:val="000000" w:themeColor="text1"/>
          <w:sz w:val="16"/>
          <w:szCs w:val="16"/>
        </w:rPr>
        <w:endnoteRef/>
      </w:r>
      <w:r w:rsidRPr="00D95AD0">
        <w:rPr>
          <w:rFonts w:asciiTheme="minorHAnsi" w:hAnsiTheme="minorHAnsi"/>
          <w:color w:val="000000" w:themeColor="text1"/>
          <w:sz w:val="16"/>
          <w:szCs w:val="16"/>
        </w:rPr>
        <w:t xml:space="preserve"> </w:t>
      </w:r>
      <w:r w:rsidRPr="005B70B4">
        <w:rPr>
          <w:rFonts w:cs="Arial"/>
          <w:color w:val="000000" w:themeColor="text1"/>
        </w:rPr>
        <w:t xml:space="preserve">Australian Human Rights Commission, </w:t>
      </w:r>
      <w:r w:rsidRPr="005B70B4">
        <w:rPr>
          <w:rFonts w:cs="Arial"/>
          <w:i/>
          <w:color w:val="000000" w:themeColor="text1"/>
        </w:rPr>
        <w:t>Australia’s Implementation of the Convention on the Elimination of All Forms of Discrimination against Women (CEDAW)</w:t>
      </w:r>
      <w:r w:rsidRPr="005B70B4">
        <w:rPr>
          <w:rFonts w:cs="Arial"/>
          <w:color w:val="000000" w:themeColor="text1"/>
        </w:rPr>
        <w:t xml:space="preserve">. At </w:t>
      </w:r>
      <w:hyperlink r:id="rId90" w:history="1">
        <w:r w:rsidRPr="005B70B4">
          <w:rPr>
            <w:rStyle w:val="Hyperlink"/>
            <w:rFonts w:cs="Arial"/>
            <w:color w:val="000000" w:themeColor="text1"/>
          </w:rPr>
          <w:t>https://www.humanrights.gov.au/australia-s-implementation-convention-elimination-all-forms-discrimination-against-women-cedaw-2010</w:t>
        </w:r>
      </w:hyperlink>
      <w:r w:rsidRPr="005B70B4">
        <w:rPr>
          <w:rFonts w:cs="Arial"/>
          <w:color w:val="000000" w:themeColor="text1"/>
        </w:rPr>
        <w:t xml:space="preserve"> (viewed 7 February 2017).</w:t>
      </w:r>
      <w:r>
        <w:rPr>
          <w:rFonts w:cs="Arial"/>
          <w:color w:val="000000" w:themeColor="text1"/>
        </w:rPr>
        <w:t xml:space="preserve">\; </w:t>
      </w:r>
      <w:r>
        <w:t xml:space="preserve">Australian Human Rights Commission, Submission No 35 to the Senate Finance and Public Administration References Committee, </w:t>
      </w:r>
      <w:r w:rsidRPr="003D13F4">
        <w:rPr>
          <w:i/>
        </w:rPr>
        <w:t>inquiry into gender segregation in the workplace and its impact on women’s economic equality</w:t>
      </w:r>
      <w:r>
        <w:t xml:space="preserve">, 6 March 2017. At: </w:t>
      </w:r>
      <w:hyperlink r:id="rId91" w:history="1">
        <w:r w:rsidRPr="00415E6D">
          <w:rPr>
            <w:rStyle w:val="Hyperlink"/>
          </w:rPr>
          <w:t>https://www.humanrights.gov.au/submissions/gender-segregation-workplace-and-its-impact-women-s-economic-equality</w:t>
        </w:r>
      </w:hyperlink>
      <w:r>
        <w:t xml:space="preserve"> (viewed 13 September 2017).</w:t>
      </w:r>
    </w:p>
  </w:endnote>
  <w:endnote w:id="77">
    <w:p w:rsidR="00414DC7" w:rsidRPr="00805CFD" w:rsidRDefault="00414DC7">
      <w:pPr>
        <w:pStyle w:val="EndnoteText"/>
        <w:rPr>
          <w:rFonts w:cs="Arial"/>
        </w:rPr>
      </w:pPr>
      <w:r>
        <w:rPr>
          <w:rStyle w:val="EndnoteReference"/>
        </w:rPr>
        <w:endnoteRef/>
      </w:r>
      <w:r>
        <w:t xml:space="preserve"> </w:t>
      </w:r>
      <w:r w:rsidRPr="00594F72">
        <w:rPr>
          <w:rFonts w:cs="Arial"/>
        </w:rPr>
        <w:t xml:space="preserve">Workplace Gender Equality Agency, </w:t>
      </w:r>
      <w:r w:rsidRPr="00594F72">
        <w:rPr>
          <w:rFonts w:cs="Arial"/>
          <w:i/>
          <w:iCs/>
        </w:rPr>
        <w:t>Australia’s Gender Equality Scorecard: Key Results from the Workpla</w:t>
      </w:r>
      <w:r>
        <w:rPr>
          <w:rFonts w:cs="Arial"/>
          <w:i/>
          <w:iCs/>
        </w:rPr>
        <w:t xml:space="preserve">ce Gender Equality Agency’s 2015-16 Reporting Data, </w:t>
      </w:r>
      <w:r>
        <w:rPr>
          <w:rFonts w:cs="Arial"/>
        </w:rPr>
        <w:t>November 2016</w:t>
      </w:r>
      <w:r w:rsidRPr="00594F72">
        <w:rPr>
          <w:rFonts w:cs="Arial"/>
        </w:rPr>
        <w:t xml:space="preserve">, 4. </w:t>
      </w:r>
      <w:proofErr w:type="gramStart"/>
      <w:r w:rsidRPr="00594F72">
        <w:rPr>
          <w:rFonts w:cs="Arial"/>
        </w:rPr>
        <w:t>At</w:t>
      </w:r>
      <w:proofErr w:type="gramEnd"/>
      <w:r w:rsidRPr="00594F72">
        <w:rPr>
          <w:rFonts w:cs="Arial"/>
        </w:rPr>
        <w:t xml:space="preserve"> </w:t>
      </w:r>
      <w:hyperlink r:id="rId92" w:history="1">
        <w:r w:rsidRPr="00415E6D">
          <w:rPr>
            <w:rStyle w:val="Hyperlink"/>
          </w:rPr>
          <w:t>https://www.wgea.gov.au/sites/default/.../80653_2015-16-gender-equality-scorecard.pdf</w:t>
        </w:r>
      </w:hyperlink>
      <w:r>
        <w:t xml:space="preserve"> </w:t>
      </w:r>
      <w:r w:rsidRPr="00594F72">
        <w:rPr>
          <w:rStyle w:val="Hyperlink"/>
          <w:rFonts w:cs="Arial"/>
          <w:color w:val="000000" w:themeColor="text1"/>
          <w:u w:val="none"/>
        </w:rPr>
        <w:t xml:space="preserve">(viewed </w:t>
      </w:r>
      <w:r>
        <w:rPr>
          <w:rStyle w:val="Hyperlink"/>
          <w:rFonts w:cs="Arial"/>
          <w:color w:val="000000" w:themeColor="text1"/>
          <w:u w:val="none"/>
        </w:rPr>
        <w:t>13 September 2017</w:t>
      </w:r>
      <w:r w:rsidRPr="00594F72">
        <w:rPr>
          <w:rStyle w:val="Hyperlink"/>
          <w:rFonts w:cs="Arial"/>
          <w:color w:val="000000" w:themeColor="text1"/>
          <w:u w:val="none"/>
        </w:rPr>
        <w:t>).</w:t>
      </w:r>
      <w:r>
        <w:rPr>
          <w:rStyle w:val="Hyperlink"/>
          <w:rFonts w:cs="Arial"/>
          <w:color w:val="000000" w:themeColor="text1"/>
          <w:u w:val="none"/>
        </w:rPr>
        <w:t xml:space="preserve"> Australian Institute of Company Directors, 30% by 2018 Gender Diversity Progress R</w:t>
      </w:r>
      <w:r w:rsidRPr="00362BAB">
        <w:rPr>
          <w:rStyle w:val="Hyperlink"/>
          <w:rFonts w:cs="Arial"/>
          <w:color w:val="000000" w:themeColor="text1"/>
          <w:u w:val="none"/>
        </w:rPr>
        <w:t>eport</w:t>
      </w:r>
      <w:r>
        <w:rPr>
          <w:rStyle w:val="Hyperlink"/>
          <w:rFonts w:cs="Arial"/>
          <w:color w:val="000000" w:themeColor="text1"/>
          <w:u w:val="none"/>
        </w:rPr>
        <w:t xml:space="preserve">, 16 June 2017. At: </w:t>
      </w:r>
      <w:hyperlink r:id="rId93" w:history="1">
        <w:r w:rsidRPr="007613D4">
          <w:rPr>
            <w:rStyle w:val="Hyperlink"/>
            <w:rFonts w:cs="Arial"/>
          </w:rPr>
          <w:t>https://aicd.companydirectors.com.au/advocacy/board-diversity/30-per-cent-by-2018-gender-diversity-target-slipping-out-of-reach</w:t>
        </w:r>
      </w:hyperlink>
      <w:r>
        <w:rPr>
          <w:rStyle w:val="Hyperlink"/>
          <w:rFonts w:cs="Arial"/>
          <w:color w:val="000000" w:themeColor="text1"/>
          <w:u w:val="none"/>
        </w:rPr>
        <w:t xml:space="preserve"> (viewed 20 September 2017). </w:t>
      </w:r>
      <w:r w:rsidRPr="00594F72">
        <w:rPr>
          <w:rFonts w:cs="Arial"/>
          <w:color w:val="000000" w:themeColor="text1"/>
        </w:rPr>
        <w:t xml:space="preserve">    </w:t>
      </w:r>
    </w:p>
  </w:endnote>
  <w:endnote w:id="78">
    <w:p w:rsidR="00414DC7" w:rsidRDefault="00414DC7">
      <w:pPr>
        <w:pStyle w:val="EndnoteText"/>
      </w:pPr>
      <w:r>
        <w:rPr>
          <w:rStyle w:val="EndnoteReference"/>
        </w:rPr>
        <w:endnoteRef/>
      </w:r>
      <w:r>
        <w:t xml:space="preserve"> Chief Executive Women, </w:t>
      </w:r>
      <w:r w:rsidRPr="00F61803">
        <w:rPr>
          <w:i/>
        </w:rPr>
        <w:t>Senior Executive Census 2017</w:t>
      </w:r>
      <w:r>
        <w:t xml:space="preserve">. At: </w:t>
      </w:r>
      <w:hyperlink r:id="rId94" w:history="1">
        <w:r w:rsidRPr="007613D4">
          <w:rPr>
            <w:rStyle w:val="Hyperlink"/>
            <w:rFonts w:cs="Arial"/>
            <w:sz w:val="21"/>
            <w:szCs w:val="21"/>
            <w:shd w:val="clear" w:color="auto" w:fill="FFFFFF"/>
          </w:rPr>
          <w:t>https://cew.org.au/wp-content/uploads/2017/09/CEW-Executive-Census-2017.pdf</w:t>
        </w:r>
      </w:hyperlink>
      <w:r>
        <w:rPr>
          <w:rFonts w:cs="Arial"/>
          <w:color w:val="006621"/>
          <w:sz w:val="21"/>
          <w:szCs w:val="21"/>
          <w:shd w:val="clear" w:color="auto" w:fill="FFFFFF"/>
        </w:rPr>
        <w:t xml:space="preserve"> </w:t>
      </w:r>
      <w:r>
        <w:t xml:space="preserve">(viewed 20 September 2017). </w:t>
      </w:r>
    </w:p>
  </w:endnote>
  <w:endnote w:id="79">
    <w:p w:rsidR="00414DC7" w:rsidRDefault="00414DC7">
      <w:pPr>
        <w:pStyle w:val="EndnoteText"/>
      </w:pPr>
      <w:r>
        <w:rPr>
          <w:rStyle w:val="EndnoteReference"/>
        </w:rPr>
        <w:endnoteRef/>
      </w:r>
      <w:r>
        <w:t xml:space="preserve"> Australian Government, </w:t>
      </w:r>
      <w:r w:rsidRPr="00ED7D77">
        <w:rPr>
          <w:i/>
        </w:rPr>
        <w:t>Balancing the Future: The Australian Public Service Gender Equality Strategy 2016-19</w:t>
      </w:r>
      <w:r>
        <w:t xml:space="preserve">, 28 September 2016, 4. At: </w:t>
      </w:r>
      <w:hyperlink r:id="rId95" w:history="1">
        <w:r w:rsidRPr="007613D4">
          <w:rPr>
            <w:rStyle w:val="Hyperlink"/>
          </w:rPr>
          <w:t>https://www.pmc.gov.au/resource-centre/office-women/gender-balance-australian-government-boards-report-2015-16</w:t>
        </w:r>
      </w:hyperlink>
      <w:r>
        <w:t xml:space="preserve"> (viewed 20 September 2017).</w:t>
      </w:r>
    </w:p>
  </w:endnote>
  <w:endnote w:id="80">
    <w:p w:rsidR="00414DC7" w:rsidRDefault="00414DC7">
      <w:pPr>
        <w:pStyle w:val="EndnoteText"/>
      </w:pPr>
      <w:r>
        <w:rPr>
          <w:rStyle w:val="EndnoteReference"/>
        </w:rPr>
        <w:endnoteRef/>
      </w:r>
      <w:r>
        <w:t xml:space="preserve"> Australian Government, </w:t>
      </w:r>
      <w:r w:rsidRPr="00ED7D77">
        <w:rPr>
          <w:i/>
        </w:rPr>
        <w:t>Balancing the Future: The Australian Public Service Gender Equality Strategy 2016-19</w:t>
      </w:r>
      <w:r>
        <w:t xml:space="preserve">, 28 September 2016, 4. At: </w:t>
      </w:r>
      <w:hyperlink r:id="rId96" w:history="1">
        <w:r w:rsidRPr="007613D4">
          <w:rPr>
            <w:rStyle w:val="Hyperlink"/>
          </w:rPr>
          <w:t>https://www.pmc.gov.au/resource-centre/office-women/gender-balance-australian-government-boards-report-2015-16</w:t>
        </w:r>
      </w:hyperlink>
      <w:r>
        <w:t xml:space="preserve"> (viewed 20 September 2017).</w:t>
      </w:r>
    </w:p>
  </w:endnote>
  <w:endnote w:id="81">
    <w:p w:rsidR="00414DC7" w:rsidRDefault="00414DC7" w:rsidP="00566620">
      <w:pPr>
        <w:pStyle w:val="EndnoteText"/>
      </w:pPr>
      <w:r>
        <w:rPr>
          <w:rStyle w:val="EndnoteReference"/>
        </w:rPr>
        <w:endnoteRef/>
      </w:r>
      <w:r>
        <w:t xml:space="preserve"> Senate Finance and Public Administration References Committee, </w:t>
      </w:r>
      <w:r w:rsidRPr="00720C40">
        <w:rPr>
          <w:i/>
        </w:rPr>
        <w:t>Report on the inquiry into gender segregation in the workplace and its impact of women’s economic equality</w:t>
      </w:r>
      <w:r>
        <w:t xml:space="preserve">, 10, June 2017. At: </w:t>
      </w:r>
      <w:hyperlink r:id="rId97" w:history="1">
        <w:r w:rsidRPr="004B0EA1">
          <w:rPr>
            <w:rStyle w:val="Hyperlink"/>
          </w:rPr>
          <w:t>http://www.aph.gov.au/Parliamentary_Business/Committees/Senate/Finance_and_Public_Administration/Gendersegregation/Report</w:t>
        </w:r>
      </w:hyperlink>
      <w:r>
        <w:t xml:space="preserve"> </w:t>
      </w:r>
      <w:r w:rsidRPr="00720C40">
        <w:t xml:space="preserve"> </w:t>
      </w:r>
      <w:r>
        <w:t xml:space="preserve">(viewed 14 September 2017). </w:t>
      </w:r>
    </w:p>
  </w:endnote>
  <w:endnote w:id="82">
    <w:p w:rsidR="00414DC7" w:rsidRDefault="00414DC7" w:rsidP="005E2795">
      <w:pPr>
        <w:pStyle w:val="EndnoteText"/>
      </w:pPr>
      <w:r>
        <w:rPr>
          <w:rStyle w:val="EndnoteReference"/>
        </w:rPr>
        <w:endnoteRef/>
      </w:r>
      <w:r>
        <w:t xml:space="preserve"> Senate Finance and Public Administration References Committee, </w:t>
      </w:r>
      <w:r w:rsidRPr="00720C40">
        <w:rPr>
          <w:i/>
        </w:rPr>
        <w:t>Report on the inquiry into gender segregation in the workplace and its impact of women’s economic equality</w:t>
      </w:r>
      <w:r>
        <w:t xml:space="preserve">, Recommendation 9, June 2017. At: </w:t>
      </w:r>
      <w:hyperlink r:id="rId98" w:history="1">
        <w:r w:rsidRPr="004B0EA1">
          <w:rPr>
            <w:rStyle w:val="Hyperlink"/>
          </w:rPr>
          <w:t>http://www.aph.gov.au/Parliamentary_Business/Committees/Senate/Finance_and_Public_Administration/Gendersegregation/Report</w:t>
        </w:r>
      </w:hyperlink>
      <w:r>
        <w:t xml:space="preserve"> </w:t>
      </w:r>
      <w:r w:rsidRPr="00720C40">
        <w:t xml:space="preserve"> </w:t>
      </w:r>
      <w:r>
        <w:t>(viewed 14 September 2017).</w:t>
      </w:r>
    </w:p>
  </w:endnote>
  <w:endnote w:id="83">
    <w:p w:rsidR="00414DC7" w:rsidRPr="00F61040" w:rsidRDefault="00414DC7" w:rsidP="00B85AF5">
      <w:pPr>
        <w:pStyle w:val="EndnoteText"/>
        <w:rPr>
          <w:rFonts w:cs="Arial"/>
          <w:color w:val="000000" w:themeColor="text1"/>
        </w:rPr>
      </w:pPr>
      <w:r w:rsidRPr="00D95AD0">
        <w:rPr>
          <w:rStyle w:val="EndnoteReference"/>
          <w:rFonts w:asciiTheme="minorHAnsi" w:hAnsiTheme="minorHAnsi"/>
          <w:color w:val="000000" w:themeColor="text1"/>
          <w:sz w:val="16"/>
          <w:szCs w:val="16"/>
        </w:rPr>
        <w:endnoteRef/>
      </w:r>
      <w:r>
        <w:rPr>
          <w:rFonts w:asciiTheme="minorHAnsi" w:hAnsiTheme="minorHAnsi"/>
          <w:color w:val="000000" w:themeColor="text1"/>
          <w:sz w:val="16"/>
          <w:szCs w:val="16"/>
        </w:rPr>
        <w:t xml:space="preserve"> </w:t>
      </w:r>
      <w:r w:rsidRPr="00F61040">
        <w:rPr>
          <w:rFonts w:cs="Arial"/>
          <w:color w:val="000000" w:themeColor="text1"/>
        </w:rPr>
        <w:t xml:space="preserve">Workplace Gender Equality Agency, </w:t>
      </w:r>
      <w:r w:rsidRPr="00F61040">
        <w:rPr>
          <w:rFonts w:cs="Arial"/>
          <w:i/>
          <w:color w:val="000000" w:themeColor="text1"/>
        </w:rPr>
        <w:t>Gender segregation in Australia’s workforce</w:t>
      </w:r>
      <w:r>
        <w:rPr>
          <w:rFonts w:cs="Arial"/>
          <w:color w:val="000000" w:themeColor="text1"/>
        </w:rPr>
        <w:t>, August 2016</w:t>
      </w:r>
      <w:r w:rsidRPr="00F61040">
        <w:rPr>
          <w:rFonts w:cs="Arial"/>
          <w:color w:val="000000" w:themeColor="text1"/>
        </w:rPr>
        <w:t xml:space="preserve">. At </w:t>
      </w:r>
      <w:hyperlink r:id="rId99" w:history="1">
        <w:r w:rsidRPr="00F61040">
          <w:rPr>
            <w:rStyle w:val="Hyperlink"/>
            <w:rFonts w:cs="Arial"/>
            <w:color w:val="000000" w:themeColor="text1"/>
          </w:rPr>
          <w:t>https://www.wgea.gov.au/sites/default/files/20160801_Industry_occupational_segregation_factsheet.pdf</w:t>
        </w:r>
      </w:hyperlink>
      <w:r w:rsidRPr="00F61040">
        <w:rPr>
          <w:rFonts w:cs="Arial"/>
          <w:color w:val="000000" w:themeColor="text1"/>
        </w:rPr>
        <w:t xml:space="preserve"> (viewed 6 February 2017). </w:t>
      </w:r>
    </w:p>
  </w:endnote>
  <w:endnote w:id="84">
    <w:p w:rsidR="00414DC7" w:rsidRPr="0055045D" w:rsidRDefault="00414DC7">
      <w:pPr>
        <w:pStyle w:val="EndnoteText"/>
        <w:rPr>
          <w:lang w:val="en-US"/>
        </w:rPr>
      </w:pPr>
      <w:r>
        <w:rPr>
          <w:rStyle w:val="EndnoteReference"/>
        </w:rPr>
        <w:endnoteRef/>
      </w:r>
      <w:r>
        <w:t xml:space="preserve"> </w:t>
      </w:r>
      <w:r w:rsidRPr="00411F9B">
        <w:rPr>
          <w:lang w:val="en-US"/>
        </w:rPr>
        <w:t>G20</w:t>
      </w:r>
      <w:r>
        <w:rPr>
          <w:lang w:val="en-US"/>
        </w:rPr>
        <w:t xml:space="preserve"> Successes and Commitments, Brisbane 2014. At:</w:t>
      </w:r>
      <w:r w:rsidRPr="00411F9B">
        <w:rPr>
          <w:lang w:val="en-US"/>
        </w:rPr>
        <w:t xml:space="preserve"> </w:t>
      </w:r>
      <w:hyperlink r:id="rId100" w:history="1">
        <w:r w:rsidRPr="00415E6D">
          <w:rPr>
            <w:rStyle w:val="Hyperlink"/>
            <w:lang w:val="en-US"/>
          </w:rPr>
          <w:t>https://www.g20.org/Content/EN/StatischeSeiten/G20/Texte/2017-01-12-erfolge-g20-en.html</w:t>
        </w:r>
      </w:hyperlink>
      <w:r>
        <w:rPr>
          <w:color w:val="FF0000"/>
          <w:lang w:val="en-US"/>
        </w:rPr>
        <w:t xml:space="preserve"> </w:t>
      </w:r>
      <w:r w:rsidRPr="00411F9B">
        <w:rPr>
          <w:lang w:val="en-US"/>
        </w:rPr>
        <w:t>(viewed 13 September 2017).</w:t>
      </w:r>
      <w:r>
        <w:rPr>
          <w:color w:val="FF0000"/>
          <w:lang w:val="en-US"/>
        </w:rPr>
        <w:t xml:space="preserve"> </w:t>
      </w:r>
    </w:p>
  </w:endnote>
  <w:endnote w:id="85">
    <w:p w:rsidR="00414DC7" w:rsidRPr="00BA6386" w:rsidRDefault="00414DC7" w:rsidP="00D135E5">
      <w:pPr>
        <w:pStyle w:val="EndnoteText"/>
      </w:pPr>
      <w:r>
        <w:rPr>
          <w:rStyle w:val="EndnoteReference"/>
        </w:rPr>
        <w:endnoteRef/>
      </w:r>
      <w:r>
        <w:t xml:space="preserve"> Australian Human Rights Commission, </w:t>
      </w:r>
      <w:r w:rsidRPr="00D2302A">
        <w:t>Submission to the Australian Law Reform Commission</w:t>
      </w:r>
      <w:r>
        <w:t xml:space="preserve">, </w:t>
      </w:r>
      <w:r w:rsidRPr="00D2302A">
        <w:rPr>
          <w:i/>
        </w:rPr>
        <w:t xml:space="preserve">Inquiry into Family </w:t>
      </w:r>
      <w:r>
        <w:rPr>
          <w:i/>
        </w:rPr>
        <w:t>Violence and Commonwealth Laws</w:t>
      </w:r>
      <w:r>
        <w:t xml:space="preserve">, 21 April 2011, [47]. At: </w:t>
      </w:r>
      <w:hyperlink r:id="rId101" w:history="1">
        <w:r w:rsidRPr="00BC6AA0">
          <w:rPr>
            <w:rStyle w:val="Hyperlink"/>
          </w:rPr>
          <w:t>http://www.humanrights.gov.au/legal/submissions/2011/20110421_family_violence.html</w:t>
        </w:r>
      </w:hyperlink>
      <w:r>
        <w:t xml:space="preserve"> (viewed 13 January 2017). See also </w:t>
      </w:r>
      <w:r w:rsidRPr="00E63210">
        <w:rPr>
          <w:rFonts w:cs="Arial"/>
        </w:rPr>
        <w:t xml:space="preserve">Donna Chung et al, </w:t>
      </w:r>
      <w:r w:rsidRPr="00E63210">
        <w:rPr>
          <w:rFonts w:cs="Arial"/>
          <w:i/>
        </w:rPr>
        <w:t xml:space="preserve">Home Safe Home: </w:t>
      </w:r>
      <w:r>
        <w:rPr>
          <w:rFonts w:cs="Arial"/>
          <w:i/>
        </w:rPr>
        <w:t>The l</w:t>
      </w:r>
      <w:r w:rsidRPr="00E63210">
        <w:rPr>
          <w:rFonts w:cs="Arial"/>
          <w:i/>
        </w:rPr>
        <w:t xml:space="preserve">ink </w:t>
      </w:r>
      <w:r>
        <w:rPr>
          <w:rFonts w:cs="Arial"/>
          <w:i/>
        </w:rPr>
        <w:t>between domestic and family v</w:t>
      </w:r>
      <w:r w:rsidRPr="00E63210">
        <w:rPr>
          <w:rFonts w:cs="Arial"/>
          <w:i/>
        </w:rPr>
        <w:t xml:space="preserve">iolence and </w:t>
      </w:r>
      <w:r>
        <w:rPr>
          <w:rFonts w:cs="Arial"/>
          <w:i/>
        </w:rPr>
        <w:t>women’s h</w:t>
      </w:r>
      <w:r w:rsidRPr="00E63210">
        <w:rPr>
          <w:rFonts w:cs="Arial"/>
          <w:i/>
        </w:rPr>
        <w:t>omelessness</w:t>
      </w:r>
      <w:r w:rsidRPr="00E63210">
        <w:rPr>
          <w:rFonts w:cs="Arial"/>
        </w:rPr>
        <w:t xml:space="preserve"> (2000). At </w:t>
      </w:r>
      <w:hyperlink r:id="rId102" w:history="1">
        <w:r w:rsidRPr="00124C2D">
          <w:rPr>
            <w:rStyle w:val="Hyperlink"/>
            <w:rFonts w:cs="Arial"/>
          </w:rPr>
          <w:t>http://wesnet.org.au/wp-content/uploads/2011/05/homesafehome.pdf</w:t>
        </w:r>
      </w:hyperlink>
      <w:r>
        <w:rPr>
          <w:rFonts w:cs="Arial"/>
        </w:rPr>
        <w:t xml:space="preserve"> </w:t>
      </w:r>
      <w:r w:rsidRPr="00E63210">
        <w:rPr>
          <w:rFonts w:cs="Arial"/>
        </w:rPr>
        <w:t xml:space="preserve">(viewed </w:t>
      </w:r>
      <w:r>
        <w:rPr>
          <w:rFonts w:cs="Arial"/>
        </w:rPr>
        <w:t xml:space="preserve">13 January </w:t>
      </w:r>
      <w:r w:rsidRPr="00E63210">
        <w:rPr>
          <w:rFonts w:cs="Arial"/>
        </w:rPr>
        <w:t>201</w:t>
      </w:r>
      <w:r>
        <w:rPr>
          <w:rFonts w:cs="Arial"/>
        </w:rPr>
        <w:t>7</w:t>
      </w:r>
      <w:r w:rsidRPr="00E63210">
        <w:rPr>
          <w:rFonts w:cs="Arial"/>
        </w:rPr>
        <w:t xml:space="preserve">). </w:t>
      </w:r>
      <w:r w:rsidRPr="00E63210">
        <w:rPr>
          <w:rStyle w:val="Hyperlink"/>
          <w:rFonts w:cs="Arial"/>
        </w:rPr>
        <w:t xml:space="preserve"> </w:t>
      </w:r>
    </w:p>
  </w:endnote>
  <w:endnote w:id="86">
    <w:p w:rsidR="00414DC7" w:rsidRDefault="00414DC7" w:rsidP="00D135E5">
      <w:pPr>
        <w:pStyle w:val="EndnoteText"/>
      </w:pPr>
      <w:r>
        <w:rPr>
          <w:rStyle w:val="EndnoteReference"/>
        </w:rPr>
        <w:endnoteRef/>
      </w:r>
      <w:r>
        <w:t xml:space="preserve"> Australian Human Rights Commission, Supplementary Submission to the Attorney-General’s Department, Commonwealth of Australia, </w:t>
      </w:r>
      <w:r>
        <w:rPr>
          <w:i/>
        </w:rPr>
        <w:t>Consolidation of Anti-Discrimination Laws</w:t>
      </w:r>
      <w:r>
        <w:t xml:space="preserve">, </w:t>
      </w:r>
      <w:r>
        <w:rPr>
          <w:lang w:val="en"/>
        </w:rPr>
        <w:t xml:space="preserve">23 January 2012, [23–25]. At </w:t>
      </w:r>
      <w:hyperlink r:id="rId103" w:history="1">
        <w:r w:rsidRPr="00124C2D">
          <w:rPr>
            <w:rStyle w:val="Hyperlink"/>
            <w:lang w:val="en"/>
          </w:rPr>
          <w:t>https://www.humanrights.gov.au/consolidation-commonwealth-discrimination-law-domestic-and-family-violence</w:t>
        </w:r>
      </w:hyperlink>
      <w:r>
        <w:rPr>
          <w:lang w:val="en"/>
        </w:rPr>
        <w:t xml:space="preserve"> (viewed 4 May 2016). See also </w:t>
      </w:r>
      <w:r>
        <w:t xml:space="preserve">Australian Human Rights Commission, </w:t>
      </w:r>
      <w:r w:rsidRPr="00D2302A">
        <w:t>Submission to the Australian Law Reform Commission</w:t>
      </w:r>
      <w:r>
        <w:t xml:space="preserve">, </w:t>
      </w:r>
      <w:proofErr w:type="gramStart"/>
      <w:r w:rsidRPr="00D2302A">
        <w:rPr>
          <w:i/>
        </w:rPr>
        <w:t>Inquiry</w:t>
      </w:r>
      <w:proofErr w:type="gramEnd"/>
      <w:r w:rsidRPr="00D2302A">
        <w:rPr>
          <w:i/>
        </w:rPr>
        <w:t xml:space="preserve"> into Family </w:t>
      </w:r>
      <w:r>
        <w:rPr>
          <w:i/>
        </w:rPr>
        <w:t>Violence and Commonwealth Laws</w:t>
      </w:r>
      <w:r>
        <w:t xml:space="preserve">, 21 April 2011 [47]. At: </w:t>
      </w:r>
      <w:hyperlink r:id="rId104" w:history="1">
        <w:r w:rsidRPr="00BC6AA0">
          <w:rPr>
            <w:rStyle w:val="Hyperlink"/>
          </w:rPr>
          <w:t>http://www.humanrights.gov.au/legal/submissions/2011/20110421_family_violence.html</w:t>
        </w:r>
      </w:hyperlink>
      <w:r>
        <w:t xml:space="preserve"> (viewed 13 January 2017). </w:t>
      </w:r>
      <w:r>
        <w:rPr>
          <w:lang w:val="en"/>
        </w:rPr>
        <w:t xml:space="preserve"> </w:t>
      </w:r>
    </w:p>
  </w:endnote>
  <w:endnote w:id="87">
    <w:p w:rsidR="00414DC7" w:rsidRPr="007335DE" w:rsidRDefault="00414DC7" w:rsidP="00D135E5">
      <w:pPr>
        <w:pStyle w:val="EndnoteText"/>
        <w:rPr>
          <w:rFonts w:cs="Arial"/>
          <w:color w:val="000000" w:themeColor="text1"/>
        </w:rPr>
      </w:pPr>
      <w:r w:rsidRPr="007335DE">
        <w:rPr>
          <w:rStyle w:val="EndnoteReference"/>
          <w:rFonts w:cs="Arial"/>
        </w:rPr>
        <w:endnoteRef/>
      </w:r>
      <w:r w:rsidRPr="007335DE">
        <w:rPr>
          <w:rFonts w:cs="Arial"/>
        </w:rPr>
        <w:t xml:space="preserve"> </w:t>
      </w:r>
      <w:r w:rsidRPr="007335DE">
        <w:rPr>
          <w:rFonts w:cs="Arial"/>
          <w:lang w:val="en"/>
        </w:rPr>
        <w:t xml:space="preserve">Ludo McFerran, Safe at Home, Safe At Work Project, Australian Domestic and Family Violence Clearing House, UNSW, ‘When domestic violence becomes a workplace problem’, </w:t>
      </w:r>
      <w:r w:rsidRPr="001C22ED">
        <w:rPr>
          <w:rFonts w:cs="Arial"/>
          <w:i/>
          <w:lang w:val="en"/>
        </w:rPr>
        <w:t>ABC The Drum</w:t>
      </w:r>
      <w:r>
        <w:rPr>
          <w:rFonts w:cs="Arial"/>
          <w:i/>
          <w:lang w:val="en"/>
        </w:rPr>
        <w:t xml:space="preserve"> </w:t>
      </w:r>
      <w:r>
        <w:rPr>
          <w:rFonts w:cs="Arial"/>
          <w:lang w:val="en"/>
        </w:rPr>
        <w:t>(online),</w:t>
      </w:r>
      <w:r w:rsidRPr="007335DE">
        <w:rPr>
          <w:rFonts w:cs="Arial"/>
          <w:lang w:val="en"/>
        </w:rPr>
        <w:t xml:space="preserve"> 13 February 2013. At </w:t>
      </w:r>
      <w:hyperlink r:id="rId105" w:history="1">
        <w:r w:rsidRPr="0043095B">
          <w:rPr>
            <w:rStyle w:val="Hyperlink"/>
            <w:rFonts w:cs="Arial"/>
            <w:lang w:val="en"/>
          </w:rPr>
          <w:t>http://www.abc.net.au/unleashed/4516492.html</w:t>
        </w:r>
      </w:hyperlink>
      <w:r>
        <w:rPr>
          <w:rStyle w:val="Hyperlink"/>
          <w:rFonts w:cs="Arial"/>
          <w:color w:val="000000" w:themeColor="text1"/>
          <w:u w:val="none"/>
        </w:rPr>
        <w:t xml:space="preserve"> </w:t>
      </w:r>
      <w:r w:rsidRPr="007335DE">
        <w:rPr>
          <w:rStyle w:val="Hyperlink"/>
          <w:rFonts w:cs="Arial"/>
          <w:color w:val="000000" w:themeColor="text1"/>
          <w:u w:val="none"/>
        </w:rPr>
        <w:t xml:space="preserve">(viewed </w:t>
      </w:r>
      <w:r>
        <w:rPr>
          <w:rStyle w:val="Hyperlink"/>
          <w:rFonts w:cs="Arial"/>
          <w:color w:val="000000" w:themeColor="text1"/>
          <w:u w:val="none"/>
        </w:rPr>
        <w:t xml:space="preserve">13 January </w:t>
      </w:r>
      <w:r w:rsidRPr="007335DE">
        <w:rPr>
          <w:rStyle w:val="Hyperlink"/>
          <w:rFonts w:cs="Arial"/>
          <w:color w:val="000000" w:themeColor="text1"/>
          <w:u w:val="none"/>
        </w:rPr>
        <w:t>2016)</w:t>
      </w:r>
      <w:r w:rsidRPr="007335DE">
        <w:rPr>
          <w:rFonts w:cs="Arial"/>
          <w:color w:val="000000" w:themeColor="text1"/>
        </w:rPr>
        <w:t>.</w:t>
      </w:r>
    </w:p>
  </w:endnote>
  <w:endnote w:id="88">
    <w:p w:rsidR="00414DC7" w:rsidRPr="008E4A84" w:rsidRDefault="00414DC7" w:rsidP="00D135E5">
      <w:pPr>
        <w:pStyle w:val="EndnoteText"/>
      </w:pPr>
      <w:r w:rsidRPr="00333141">
        <w:rPr>
          <w:rStyle w:val="EndnoteReference"/>
        </w:rPr>
        <w:endnoteRef/>
      </w:r>
      <w:r w:rsidRPr="00333141">
        <w:t xml:space="preserve"> See NSW Crown Employees (Public Service Conditions of Employment) Award 2009 and a further 60 State Government Awards linked to this provision; Queensland Government Special Leave Directive 02/2012; Northern Territory Government Commissioner’s Guideline for Miscellaneous Leave (domestic, family and sexual violence) 08/2012; Australian Public Service Circular 2012/3: Supporting Employees Affected by Domestic or Family Violence 10/2012; Tasmanian Ministerial Direction No. 28 Family Violence – Workplace Arra</w:t>
      </w:r>
      <w:r>
        <w:t xml:space="preserve">ngements and Requirements 11/12; </w:t>
      </w:r>
      <w:r>
        <w:rPr>
          <w:rStyle w:val="Strong"/>
          <w:rFonts w:cs="Arial"/>
          <w:b w:val="0"/>
          <w:bCs w:val="0"/>
          <w:bdr w:val="none" w:sz="0" w:space="0" w:color="auto" w:frame="1"/>
          <w:shd w:val="clear" w:color="auto" w:fill="FFFFFF"/>
        </w:rPr>
        <w:t>Fiona Richardson, M</w:t>
      </w:r>
      <w:r w:rsidRPr="00354078">
        <w:rPr>
          <w:rStyle w:val="Strong"/>
          <w:rFonts w:cs="Arial"/>
          <w:b w:val="0"/>
          <w:bCs w:val="0"/>
          <w:bdr w:val="none" w:sz="0" w:space="0" w:color="auto" w:frame="1"/>
          <w:shd w:val="clear" w:color="auto" w:fill="FFFFFF"/>
        </w:rPr>
        <w:t>inister for Women and the Prevention of Family Violence</w:t>
      </w:r>
      <w:r>
        <w:rPr>
          <w:rStyle w:val="Strong"/>
          <w:rFonts w:cs="Arial"/>
          <w:b w:val="0"/>
          <w:bCs w:val="0"/>
          <w:bdr w:val="none" w:sz="0" w:space="0" w:color="auto" w:frame="1"/>
          <w:shd w:val="clear" w:color="auto" w:fill="FFFFFF"/>
        </w:rPr>
        <w:t xml:space="preserve">, and </w:t>
      </w:r>
      <w:r w:rsidRPr="00FC56F9">
        <w:rPr>
          <w:rStyle w:val="Strong"/>
          <w:rFonts w:cs="Arial"/>
          <w:b w:val="0"/>
          <w:bCs w:val="0"/>
          <w:bdr w:val="none" w:sz="0" w:space="0" w:color="auto" w:frame="1"/>
          <w:shd w:val="clear" w:color="auto" w:fill="FFFFFF"/>
        </w:rPr>
        <w:t>Natalie Hutchins</w:t>
      </w:r>
      <w:r>
        <w:rPr>
          <w:rStyle w:val="Strong"/>
          <w:rFonts w:cs="Arial"/>
          <w:b w:val="0"/>
          <w:bCs w:val="0"/>
          <w:bdr w:val="none" w:sz="0" w:space="0" w:color="auto" w:frame="1"/>
          <w:shd w:val="clear" w:color="auto" w:fill="FFFFFF"/>
        </w:rPr>
        <w:t xml:space="preserve">, </w:t>
      </w:r>
      <w:r w:rsidRPr="00354078">
        <w:rPr>
          <w:rStyle w:val="Strong"/>
          <w:rFonts w:cs="Arial"/>
          <w:b w:val="0"/>
          <w:bCs w:val="0"/>
          <w:bdr w:val="none" w:sz="0" w:space="0" w:color="auto" w:frame="1"/>
          <w:shd w:val="clear" w:color="auto" w:fill="FFFFFF"/>
        </w:rPr>
        <w:t>Minister for Industrial Relations</w:t>
      </w:r>
      <w:r>
        <w:rPr>
          <w:rStyle w:val="Strong"/>
          <w:rFonts w:cs="Arial"/>
          <w:b w:val="0"/>
          <w:bCs w:val="0"/>
          <w:bdr w:val="none" w:sz="0" w:space="0" w:color="auto" w:frame="1"/>
          <w:shd w:val="clear" w:color="auto" w:fill="FFFFFF"/>
        </w:rPr>
        <w:t xml:space="preserve">, ‘Victoria to lead the way on family violence leave’ (Media Release, 17 August 2015). At </w:t>
      </w:r>
      <w:hyperlink r:id="rId106" w:history="1">
        <w:r w:rsidRPr="00E44AC6">
          <w:rPr>
            <w:rStyle w:val="Hyperlink"/>
            <w:rFonts w:cs="Arial"/>
            <w:bdr w:val="none" w:sz="0" w:space="0" w:color="auto" w:frame="1"/>
            <w:shd w:val="clear" w:color="auto" w:fill="FFFFFF"/>
          </w:rPr>
          <w:t>http://www.premier.vic.gov.au/victoria-to-lead-the-way-on-family-violence-leave</w:t>
        </w:r>
      </w:hyperlink>
      <w:r>
        <w:rPr>
          <w:rStyle w:val="Strong"/>
          <w:rFonts w:cs="Arial"/>
          <w:b w:val="0"/>
          <w:bCs w:val="0"/>
          <w:bdr w:val="none" w:sz="0" w:space="0" w:color="auto" w:frame="1"/>
          <w:shd w:val="clear" w:color="auto" w:fill="FFFFFF"/>
        </w:rPr>
        <w:t xml:space="preserve"> (viewed 17 January 2017); </w:t>
      </w:r>
      <w:r w:rsidRPr="00354078">
        <w:rPr>
          <w:rStyle w:val="Strong"/>
          <w:rFonts w:cs="Arial"/>
          <w:b w:val="0"/>
          <w:bCs w:val="0"/>
          <w:bdr w:val="none" w:sz="0" w:space="0" w:color="auto" w:frame="1"/>
          <w:shd w:val="clear" w:color="auto" w:fill="FFFFFF"/>
        </w:rPr>
        <w:t>Gail Gago</w:t>
      </w:r>
      <w:r>
        <w:rPr>
          <w:rStyle w:val="Strong"/>
          <w:rFonts w:cs="Arial"/>
          <w:b w:val="0"/>
          <w:bCs w:val="0"/>
          <w:bdr w:val="none" w:sz="0" w:space="0" w:color="auto" w:frame="1"/>
          <w:shd w:val="clear" w:color="auto" w:fill="FFFFFF"/>
        </w:rPr>
        <w:t>, Minister for the Status of Women, ‘</w:t>
      </w:r>
      <w:r w:rsidRPr="00822C37">
        <w:rPr>
          <w:rStyle w:val="Strong"/>
          <w:rFonts w:cs="Arial"/>
          <w:b w:val="0"/>
          <w:bCs w:val="0"/>
          <w:bdr w:val="none" w:sz="0" w:space="0" w:color="auto" w:frame="1"/>
          <w:shd w:val="clear" w:color="auto" w:fill="FFFFFF"/>
        </w:rPr>
        <w:t>Paid leave to help break the cycle of domestic violence</w:t>
      </w:r>
      <w:r>
        <w:rPr>
          <w:rStyle w:val="Strong"/>
          <w:rFonts w:cs="Arial"/>
          <w:b w:val="0"/>
          <w:bCs w:val="0"/>
          <w:bdr w:val="none" w:sz="0" w:space="0" w:color="auto" w:frame="1"/>
          <w:shd w:val="clear" w:color="auto" w:fill="FFFFFF"/>
        </w:rPr>
        <w:t xml:space="preserve">’ (Media Release, 25 November 2015). At </w:t>
      </w:r>
      <w:hyperlink r:id="rId107" w:history="1">
        <w:r w:rsidRPr="00E44AC6">
          <w:rPr>
            <w:rStyle w:val="Hyperlink"/>
            <w:rFonts w:cs="Arial"/>
            <w:bdr w:val="none" w:sz="0" w:space="0" w:color="auto" w:frame="1"/>
            <w:shd w:val="clear" w:color="auto" w:fill="FFFFFF"/>
          </w:rPr>
          <w:t>https://www.dcsi.sa.gov.au/services/latest-news/media-releases-2015/paid-leave-to-help-break-the-cycle-of-domestic-violence</w:t>
        </w:r>
      </w:hyperlink>
      <w:r>
        <w:rPr>
          <w:rStyle w:val="Strong"/>
          <w:rFonts w:cs="Arial"/>
          <w:b w:val="0"/>
          <w:bCs w:val="0"/>
          <w:bdr w:val="none" w:sz="0" w:space="0" w:color="auto" w:frame="1"/>
          <w:shd w:val="clear" w:color="auto" w:fill="FFFFFF"/>
        </w:rPr>
        <w:t xml:space="preserve"> (viewed 17 January 2017); </w:t>
      </w:r>
      <w:r w:rsidRPr="00331456">
        <w:rPr>
          <w:rStyle w:val="Strong"/>
          <w:rFonts w:cs="Arial"/>
          <w:b w:val="0"/>
          <w:bCs w:val="0"/>
          <w:bdr w:val="none" w:sz="0" w:space="0" w:color="auto" w:frame="1"/>
          <w:shd w:val="clear" w:color="auto" w:fill="FFFFFF"/>
        </w:rPr>
        <w:t>Bronwen Overton-Clarke</w:t>
      </w:r>
      <w:r>
        <w:rPr>
          <w:rStyle w:val="Strong"/>
          <w:rFonts w:cs="Arial"/>
          <w:b w:val="0"/>
          <w:bCs w:val="0"/>
          <w:bdr w:val="none" w:sz="0" w:space="0" w:color="auto" w:frame="1"/>
          <w:shd w:val="clear" w:color="auto" w:fill="FFFFFF"/>
        </w:rPr>
        <w:t xml:space="preserve">, </w:t>
      </w:r>
      <w:r w:rsidRPr="00331456">
        <w:rPr>
          <w:rStyle w:val="Strong"/>
          <w:rFonts w:cs="Arial"/>
          <w:b w:val="0"/>
          <w:bCs w:val="0"/>
          <w:bdr w:val="none" w:sz="0" w:space="0" w:color="auto" w:frame="1"/>
          <w:shd w:val="clear" w:color="auto" w:fill="FFFFFF"/>
        </w:rPr>
        <w:t>Commissioner for Public Administration</w:t>
      </w:r>
      <w:r>
        <w:rPr>
          <w:rStyle w:val="Strong"/>
          <w:rFonts w:cs="Arial"/>
          <w:b w:val="0"/>
          <w:bCs w:val="0"/>
          <w:bdr w:val="none" w:sz="0" w:space="0" w:color="auto" w:frame="1"/>
          <w:shd w:val="clear" w:color="auto" w:fill="FFFFFF"/>
        </w:rPr>
        <w:t xml:space="preserve">, </w:t>
      </w:r>
      <w:r>
        <w:rPr>
          <w:rStyle w:val="Strong"/>
          <w:rFonts w:cs="Arial"/>
          <w:b w:val="0"/>
          <w:bCs w:val="0"/>
          <w:i/>
          <w:bdr w:val="none" w:sz="0" w:space="0" w:color="auto" w:frame="1"/>
          <w:shd w:val="clear" w:color="auto" w:fill="FFFFFF"/>
        </w:rPr>
        <w:t xml:space="preserve">Leave for domestic violence purposes advice in the ACT public service, </w:t>
      </w:r>
      <w:r>
        <w:rPr>
          <w:rStyle w:val="Strong"/>
          <w:rFonts w:cs="Arial"/>
          <w:b w:val="0"/>
          <w:bCs w:val="0"/>
          <w:bdr w:val="none" w:sz="0" w:space="0" w:color="auto" w:frame="1"/>
          <w:shd w:val="clear" w:color="auto" w:fill="FFFFFF"/>
        </w:rPr>
        <w:t xml:space="preserve">8 August 2016. At </w:t>
      </w:r>
      <w:hyperlink r:id="rId108" w:history="1">
        <w:r w:rsidRPr="00E44AC6">
          <w:rPr>
            <w:rStyle w:val="Hyperlink"/>
            <w:rFonts w:cs="Arial"/>
            <w:bdr w:val="none" w:sz="0" w:space="0" w:color="auto" w:frame="1"/>
            <w:shd w:val="clear" w:color="auto" w:fill="FFFFFF"/>
          </w:rPr>
          <w:t>http://www.cmd.act.gov.au/__data/assets/pdf_file/0010/912934/Leave-for-Domestic-Violence-Purposes-Advice.pdf</w:t>
        </w:r>
      </w:hyperlink>
      <w:r>
        <w:rPr>
          <w:rStyle w:val="Strong"/>
          <w:rFonts w:cs="Arial"/>
          <w:b w:val="0"/>
          <w:bCs w:val="0"/>
          <w:bdr w:val="none" w:sz="0" w:space="0" w:color="auto" w:frame="1"/>
          <w:shd w:val="clear" w:color="auto" w:fill="FFFFFF"/>
        </w:rPr>
        <w:t xml:space="preserve"> (viewed 17 January 2017); The Hon. Simone McGurk MP, </w:t>
      </w:r>
      <w:r w:rsidRPr="00FB4247">
        <w:rPr>
          <w:rStyle w:val="Strong"/>
          <w:rFonts w:cs="Arial"/>
          <w:b w:val="0"/>
          <w:bCs w:val="0"/>
          <w:bdr w:val="none" w:sz="0" w:space="0" w:color="auto" w:frame="1"/>
          <w:shd w:val="clear" w:color="auto" w:fill="FFFFFF"/>
        </w:rPr>
        <w:t>Minister for Child Protection; Women’s Interests; Prevention of Family and Domestic Violence; Community Services</w:t>
      </w:r>
      <w:r>
        <w:rPr>
          <w:rStyle w:val="Strong"/>
          <w:rFonts w:cs="Arial"/>
          <w:b w:val="0"/>
          <w:bCs w:val="0"/>
          <w:bdr w:val="none" w:sz="0" w:space="0" w:color="auto" w:frame="1"/>
          <w:shd w:val="clear" w:color="auto" w:fill="FFFFFF"/>
        </w:rPr>
        <w:t>, ‘</w:t>
      </w:r>
      <w:r w:rsidRPr="00FB4247">
        <w:rPr>
          <w:rStyle w:val="Strong"/>
          <w:rFonts w:cs="Arial"/>
          <w:b w:val="0"/>
          <w:bCs w:val="0"/>
          <w:bdr w:val="none" w:sz="0" w:space="0" w:color="auto" w:frame="1"/>
          <w:shd w:val="clear" w:color="auto" w:fill="FFFFFF"/>
        </w:rPr>
        <w:t>Domestic violence victims to get the support they deserve in the workplace</w:t>
      </w:r>
      <w:r>
        <w:rPr>
          <w:rStyle w:val="Strong"/>
          <w:rFonts w:cs="Arial"/>
          <w:b w:val="0"/>
          <w:bCs w:val="0"/>
          <w:bdr w:val="none" w:sz="0" w:space="0" w:color="auto" w:frame="1"/>
          <w:shd w:val="clear" w:color="auto" w:fill="FFFFFF"/>
        </w:rPr>
        <w:t xml:space="preserve">’, (Media Release, 14 June 2017). At: </w:t>
      </w:r>
      <w:hyperlink r:id="rId109" w:history="1">
        <w:r w:rsidRPr="004B0EA1">
          <w:rPr>
            <w:rStyle w:val="Hyperlink"/>
            <w:rFonts w:cs="Arial"/>
            <w:bdr w:val="none" w:sz="0" w:space="0" w:color="auto" w:frame="1"/>
            <w:shd w:val="clear" w:color="auto" w:fill="FFFFFF"/>
          </w:rPr>
          <w:t>http://simonemcgurk.com.au/domestic-violence-victims-to-get-the-support-they-deserve-in-the-workplace/</w:t>
        </w:r>
      </w:hyperlink>
      <w:r>
        <w:rPr>
          <w:rStyle w:val="Strong"/>
          <w:rFonts w:cs="Arial"/>
          <w:b w:val="0"/>
          <w:bCs w:val="0"/>
          <w:bdr w:val="none" w:sz="0" w:space="0" w:color="auto" w:frame="1"/>
          <w:shd w:val="clear" w:color="auto" w:fill="FFFFFF"/>
        </w:rPr>
        <w:t xml:space="preserve"> (viewed 14 September 2017).</w:t>
      </w:r>
    </w:p>
  </w:endnote>
  <w:endnote w:id="89">
    <w:p w:rsidR="00414DC7" w:rsidRDefault="00414DC7" w:rsidP="00D135E5">
      <w:pPr>
        <w:pStyle w:val="EndnoteText"/>
      </w:pPr>
      <w:r>
        <w:rPr>
          <w:rStyle w:val="EndnoteReference"/>
        </w:rPr>
        <w:endnoteRef/>
      </w:r>
      <w:r>
        <w:t xml:space="preserve"> See, for example, Joanna Mather and Jaclyn Keast, ‘Telstra introduces domestic violence leave’, </w:t>
      </w:r>
      <w:r>
        <w:rPr>
          <w:i/>
        </w:rPr>
        <w:t xml:space="preserve">Australian Financial Review </w:t>
      </w:r>
      <w:r>
        <w:t xml:space="preserve">(online), 13 January 2015. At: </w:t>
      </w:r>
      <w:hyperlink r:id="rId110" w:history="1">
        <w:r w:rsidRPr="00BC6AA0">
          <w:rPr>
            <w:rStyle w:val="Hyperlink"/>
          </w:rPr>
          <w:t>http://www.afr.com/news/policy/industrial-relations/telstra-introduces-domestic-violence-leave-20150113-12na7h</w:t>
        </w:r>
      </w:hyperlink>
      <w:r>
        <w:t xml:space="preserve"> (viewed 13 January 2017); National Australia Bank, ‘NAB leads the industry in domestic violence support’ (Media Release, 2 June 2013). At </w:t>
      </w:r>
      <w:hyperlink r:id="rId111" w:history="1">
        <w:r w:rsidRPr="00124C2D">
          <w:rPr>
            <w:rStyle w:val="Hyperlink"/>
          </w:rPr>
          <w:t>http://www.nab.com.au/about-us/media/media-releases-2013/nab-leads-the-industry-in-domestic-violence-support</w:t>
        </w:r>
      </w:hyperlink>
      <w:r>
        <w:t xml:space="preserve"> (viewed 13 January 2017); </w:t>
      </w:r>
      <w:r w:rsidRPr="00C168D3">
        <w:t>Virgin Australia Ground</w:t>
      </w:r>
      <w:r>
        <w:t xml:space="preserve">, </w:t>
      </w:r>
      <w:r>
        <w:rPr>
          <w:i/>
        </w:rPr>
        <w:t xml:space="preserve">Sustainability Report 2015 </w:t>
      </w:r>
      <w:r>
        <w:t xml:space="preserve">(2015) 5. At </w:t>
      </w:r>
      <w:hyperlink r:id="rId112" w:history="1">
        <w:r w:rsidRPr="00124C2D">
          <w:rPr>
            <w:rStyle w:val="Hyperlink"/>
          </w:rPr>
          <w:t>https://www.virginaustralia.com/cs/groups/internetcontent/@wc/documents/webcontent/~edisp/sustainability-report.pdf</w:t>
        </w:r>
      </w:hyperlink>
      <w:r>
        <w:t xml:space="preserve"> (viewed 13 January 2017); Male Champions of Change, Playing our Part: Workplace responses to domestic and family violence, November 2015. At: </w:t>
      </w:r>
      <w:hyperlink r:id="rId113" w:history="1">
        <w:r w:rsidRPr="00696FEB">
          <w:rPr>
            <w:rStyle w:val="Hyperlink"/>
          </w:rPr>
          <w:t>http://malechampionsofchange.com/domestic-violence-is-a-workplace-issue/</w:t>
        </w:r>
      </w:hyperlink>
      <w:r>
        <w:t xml:space="preserve"> (viewed 18 September 2017).</w:t>
      </w:r>
    </w:p>
  </w:endnote>
  <w:endnote w:id="90">
    <w:p w:rsidR="00414DC7" w:rsidRPr="00562469" w:rsidRDefault="00414DC7" w:rsidP="00D135E5">
      <w:pPr>
        <w:pStyle w:val="EndnoteText"/>
      </w:pPr>
      <w:r>
        <w:rPr>
          <w:rStyle w:val="EndnoteReference"/>
        </w:rPr>
        <w:endnoteRef/>
      </w:r>
      <w:r>
        <w:t xml:space="preserve"> </w:t>
      </w:r>
      <w:r>
        <w:rPr>
          <w:i/>
        </w:rPr>
        <w:t xml:space="preserve">Fair Work Act 2009 </w:t>
      </w:r>
      <w:r>
        <w:t>(Cth) s 156</w:t>
      </w:r>
      <w:r w:rsidR="00512A0D">
        <w:t>.</w:t>
      </w:r>
    </w:p>
  </w:endnote>
  <w:endnote w:id="91">
    <w:p w:rsidR="00414DC7" w:rsidRDefault="00414DC7" w:rsidP="00D135E5">
      <w:pPr>
        <w:pStyle w:val="EndnoteText"/>
      </w:pPr>
      <w:r>
        <w:rPr>
          <w:rStyle w:val="EndnoteReference"/>
        </w:rPr>
        <w:endnoteRef/>
      </w:r>
      <w:r>
        <w:t xml:space="preserve"> Australian Council of Trade Unions, ‘</w:t>
      </w:r>
      <w:r w:rsidRPr="004523F2">
        <w:t>Case for paid family and domestic violence leave commences at Fair Work Commission</w:t>
      </w:r>
      <w:r>
        <w:t xml:space="preserve">’ (Media Release, 14 November 2016). At </w:t>
      </w:r>
      <w:hyperlink r:id="rId114" w:history="1">
        <w:r w:rsidRPr="00124C2D">
          <w:rPr>
            <w:rStyle w:val="Hyperlink"/>
          </w:rPr>
          <w:t>http://www.actu.org.au/actu-media/media-releases/2016/case-for-paid-family-and-domestic-violence-leave-commences-at-fair-work-commission</w:t>
        </w:r>
      </w:hyperlink>
      <w:r>
        <w:t xml:space="preserve"> (viewed 13 January 2017). </w:t>
      </w:r>
    </w:p>
  </w:endnote>
  <w:endnote w:id="92">
    <w:p w:rsidR="00414DC7" w:rsidRDefault="00414DC7" w:rsidP="00D135E5">
      <w:pPr>
        <w:pStyle w:val="EndnoteText"/>
      </w:pPr>
      <w:r>
        <w:rPr>
          <w:rStyle w:val="EndnoteReference"/>
        </w:rPr>
        <w:endnoteRef/>
      </w:r>
      <w:r>
        <w:t xml:space="preserve"> Australian Human Rights Commission, Submission to the Fair Work Commission, Commonwealth of Australia, </w:t>
      </w:r>
      <w:r w:rsidRPr="003E49BA">
        <w:rPr>
          <w:i/>
        </w:rPr>
        <w:t>Four yearly review of AM2015/1 Family and domestic violence clause</w:t>
      </w:r>
      <w:r>
        <w:t xml:space="preserve">, 5 October 2016. At </w:t>
      </w:r>
      <w:hyperlink r:id="rId115" w:history="1">
        <w:r w:rsidRPr="00124C2D">
          <w:rPr>
            <w:rStyle w:val="Hyperlink"/>
          </w:rPr>
          <w:t>https://www.fwc.gov.au/sites/awardsmodernfouryr/common/am2051-sub-ahrc-120516.pdf</w:t>
        </w:r>
      </w:hyperlink>
      <w:r>
        <w:t xml:space="preserve"> (viewed 13 January 2017).</w:t>
      </w:r>
    </w:p>
  </w:endnote>
  <w:endnote w:id="93">
    <w:p w:rsidR="00414DC7" w:rsidRDefault="00414DC7">
      <w:pPr>
        <w:pStyle w:val="EndnoteText"/>
      </w:pPr>
      <w:r>
        <w:rPr>
          <w:rStyle w:val="EndnoteReference"/>
        </w:rPr>
        <w:endnoteRef/>
      </w:r>
      <w:r>
        <w:t xml:space="preserve"> Fair Work Commission, Decision – 4 yearly review of modern awards – Family &amp; Domestic Violence Leave Clause (AM2012/1), 3 July 2017. At: </w:t>
      </w:r>
      <w:hyperlink r:id="rId116" w:history="1">
        <w:r w:rsidRPr="00415E6D">
          <w:rPr>
            <w:rStyle w:val="Hyperlink"/>
          </w:rPr>
          <w:t>https://www.fwc.gov.au/awards-agreements/awards/modern-award-reviews/4-yearly-review/common-issues/am20151-family-and</w:t>
        </w:r>
      </w:hyperlink>
      <w:r>
        <w:t xml:space="preserve"> (viewed 13 September 2017). </w:t>
      </w:r>
    </w:p>
  </w:endnote>
  <w:endnote w:id="94">
    <w:p w:rsidR="00414DC7" w:rsidRDefault="00414DC7" w:rsidP="00427418">
      <w:pPr>
        <w:pStyle w:val="EndnoteText"/>
      </w:pPr>
      <w:r>
        <w:rPr>
          <w:rStyle w:val="EndnoteReference"/>
        </w:rPr>
        <w:endnoteRef/>
      </w:r>
      <w:r>
        <w:t xml:space="preserve">  Productivity Commission, </w:t>
      </w:r>
      <w:r w:rsidRPr="000815E6">
        <w:rPr>
          <w:i/>
        </w:rPr>
        <w:t>Paid Parental Leave: Support for Parents with Newborn Children</w:t>
      </w:r>
      <w:r>
        <w:t xml:space="preserve">, Report No. 47 (2009), 4.1. At </w:t>
      </w:r>
      <w:hyperlink r:id="rId117" w:history="1">
        <w:r w:rsidRPr="00977780">
          <w:rPr>
            <w:rStyle w:val="Hyperlink"/>
          </w:rPr>
          <w:t>http://www.pc.gov.au/inquiries/completed/parental-support/report</w:t>
        </w:r>
      </w:hyperlink>
      <w:r>
        <w:t xml:space="preserve">.  </w:t>
      </w:r>
    </w:p>
  </w:endnote>
  <w:endnote w:id="95">
    <w:p w:rsidR="00414DC7" w:rsidRDefault="00414DC7" w:rsidP="00427418">
      <w:pPr>
        <w:pStyle w:val="EndnoteText"/>
      </w:pPr>
      <w:r>
        <w:rPr>
          <w:rStyle w:val="EndnoteReference"/>
        </w:rPr>
        <w:endnoteRef/>
      </w:r>
      <w:r>
        <w:t xml:space="preserve"> Productivity Commission, </w:t>
      </w:r>
      <w:r w:rsidRPr="000815E6">
        <w:rPr>
          <w:i/>
        </w:rPr>
        <w:t>Paid Parental Leave: Support for Parents with Newborn Children</w:t>
      </w:r>
      <w:r>
        <w:rPr>
          <w:i/>
        </w:rPr>
        <w:t xml:space="preserve">, </w:t>
      </w:r>
      <w:r w:rsidRPr="007B2973">
        <w:t xml:space="preserve">Report No. 47 </w:t>
      </w:r>
      <w:r>
        <w:t xml:space="preserve">(2009), 2.12. At </w:t>
      </w:r>
      <w:hyperlink r:id="rId118" w:history="1">
        <w:r w:rsidRPr="00977780">
          <w:rPr>
            <w:rStyle w:val="Hyperlink"/>
          </w:rPr>
          <w:t>http://www.pc.gov.au/inquiries/completed/parental-support/report</w:t>
        </w:r>
      </w:hyperlink>
      <w:r>
        <w:t xml:space="preserve">. </w:t>
      </w:r>
    </w:p>
  </w:endnote>
  <w:endnote w:id="96">
    <w:p w:rsidR="00414DC7" w:rsidRDefault="00414DC7" w:rsidP="00532571">
      <w:pPr>
        <w:pStyle w:val="EndnoteText"/>
      </w:pPr>
      <w:r>
        <w:rPr>
          <w:rStyle w:val="EndnoteReference"/>
        </w:rPr>
        <w:endnoteRef/>
      </w:r>
      <w:r>
        <w:t xml:space="preserve"> M O’Brien and I Shermilt, </w:t>
      </w:r>
      <w:r w:rsidRPr="005C6B53">
        <w:rPr>
          <w:i/>
        </w:rPr>
        <w:t>Working Fathers: Earning and Caring</w:t>
      </w:r>
      <w:r>
        <w:t>, Equal Opportunities Commission Research Discussion Series (2003), 39.</w:t>
      </w:r>
    </w:p>
  </w:endnote>
  <w:endnote w:id="97">
    <w:p w:rsidR="00414DC7" w:rsidRDefault="00414DC7">
      <w:pPr>
        <w:pStyle w:val="EndnoteText"/>
      </w:pPr>
      <w:r>
        <w:rPr>
          <w:rStyle w:val="EndnoteReference"/>
        </w:rPr>
        <w:endnoteRef/>
      </w:r>
      <w:r>
        <w:t xml:space="preserve"> Australian Human Rights Commission, Submission to the Productivity Commission, </w:t>
      </w:r>
      <w:r w:rsidRPr="006638B1">
        <w:rPr>
          <w:i/>
        </w:rPr>
        <w:t>Inquiry into paid maternity, Paternity and Parental Leave</w:t>
      </w:r>
      <w:r>
        <w:t xml:space="preserve">, 24 November 2008, 6. At: </w:t>
      </w:r>
      <w:hyperlink r:id="rId119" w:history="1">
        <w:r w:rsidRPr="00AC622F">
          <w:rPr>
            <w:rStyle w:val="Hyperlink"/>
          </w:rPr>
          <w:t>http://www.humanrights.gov.au/submission-inquiry-paid-maternity-paternity-and-parental-leave-2008</w:t>
        </w:r>
      </w:hyperlink>
      <w:r>
        <w:t xml:space="preserve"> (viewed 15 September 2017).</w:t>
      </w:r>
    </w:p>
  </w:endnote>
  <w:endnote w:id="98">
    <w:p w:rsidR="00414DC7" w:rsidRDefault="00414DC7">
      <w:pPr>
        <w:pStyle w:val="EndnoteText"/>
      </w:pPr>
      <w:r>
        <w:rPr>
          <w:rStyle w:val="EndnoteReference"/>
        </w:rPr>
        <w:endnoteRef/>
      </w:r>
      <w:r>
        <w:t xml:space="preserve"> Susie O’Brien, ‘Working parents need support’, </w:t>
      </w:r>
      <w:r w:rsidRPr="00C464FD">
        <w:rPr>
          <w:i/>
        </w:rPr>
        <w:t>Herald Sun</w:t>
      </w:r>
      <w:r>
        <w:t xml:space="preserve">, 9 September 2017.  </w:t>
      </w:r>
    </w:p>
  </w:endnote>
  <w:endnote w:id="99">
    <w:p w:rsidR="00414DC7" w:rsidRPr="00892424" w:rsidRDefault="00414DC7" w:rsidP="00EF006C">
      <w:pPr>
        <w:pStyle w:val="EndnoteText"/>
        <w:rPr>
          <w:rFonts w:cs="Arial"/>
        </w:rPr>
      </w:pPr>
      <w:r w:rsidRPr="00892424">
        <w:rPr>
          <w:rStyle w:val="EndnoteReference"/>
          <w:rFonts w:cs="Arial"/>
        </w:rPr>
        <w:endnoteRef/>
      </w:r>
      <w:r w:rsidRPr="00892424">
        <w:rPr>
          <w:rFonts w:cs="Arial"/>
        </w:rPr>
        <w:t xml:space="preserve"> Department of Defence, </w:t>
      </w:r>
      <w:r w:rsidRPr="00892424">
        <w:rPr>
          <w:rFonts w:cs="Arial"/>
          <w:i/>
        </w:rPr>
        <w:t>Pathway to Change: Evolving Defence Culture</w:t>
      </w:r>
      <w:r>
        <w:rPr>
          <w:rFonts w:cs="Arial"/>
        </w:rPr>
        <w:t>, 2012</w:t>
      </w:r>
      <w:r w:rsidRPr="00892424">
        <w:rPr>
          <w:rFonts w:cs="Arial"/>
        </w:rPr>
        <w:t xml:space="preserve">. At </w:t>
      </w:r>
      <w:hyperlink r:id="rId120" w:history="1">
        <w:r w:rsidRPr="00892424">
          <w:rPr>
            <w:rStyle w:val="Hyperlink"/>
            <w:rFonts w:cs="Arial"/>
          </w:rPr>
          <w:t>http://www.defence.gov.au/PathwayToChange/Docs/120410%20Pathway%20to%20Change%20-%20Evolving%20Defence%20Culture%20-%20web%20version.pdf</w:t>
        </w:r>
      </w:hyperlink>
      <w:r w:rsidRPr="00892424">
        <w:rPr>
          <w:rFonts w:cs="Arial"/>
        </w:rPr>
        <w:t xml:space="preserve"> (</w:t>
      </w:r>
      <w:r w:rsidRPr="00BF602B">
        <w:rPr>
          <w:rFonts w:cs="Arial"/>
        </w:rPr>
        <w:t xml:space="preserve">viewed </w:t>
      </w:r>
      <w:r>
        <w:rPr>
          <w:rFonts w:cs="Arial"/>
        </w:rPr>
        <w:t>11 September 2017</w:t>
      </w:r>
      <w:r w:rsidRPr="00892424">
        <w:rPr>
          <w:rFonts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ArialMT">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swiss"/>
    <w:pitch w:val="variable"/>
    <w:sig w:usb0="E50002FF" w:usb1="500079DB" w:usb2="00000010" w:usb3="00000000" w:csb0="00000001"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C7" w:rsidRPr="0090165F" w:rsidRDefault="00414DC7"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C7" w:rsidRPr="004A187B" w:rsidRDefault="00414DC7"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414DC7" w:rsidRPr="0003606D" w:rsidRDefault="00414DC7" w:rsidP="0003606D">
                          <w:pPr>
                            <w:pStyle w:val="coveraddresses"/>
                          </w:pPr>
                          <w:r w:rsidRPr="0003606D">
                            <w:t>ABN 47 996 232 602</w:t>
                          </w:r>
                        </w:p>
                        <w:p w:rsidR="00414DC7" w:rsidRPr="0003606D" w:rsidRDefault="00414DC7" w:rsidP="0003606D">
                          <w:pPr>
                            <w:pStyle w:val="coveraddresses"/>
                          </w:pPr>
                          <w:r w:rsidRPr="0003606D">
                            <w:t>Level 3, 175 Pitt Street, Sydney NSW 2000</w:t>
                          </w:r>
                        </w:p>
                        <w:p w:rsidR="00414DC7" w:rsidRPr="0003606D" w:rsidRDefault="00414DC7" w:rsidP="0003606D">
                          <w:pPr>
                            <w:pStyle w:val="coveraddresses"/>
                          </w:pPr>
                          <w:r w:rsidRPr="0003606D">
                            <w:t>GPO Box 5218, Sydney NSW 2001</w:t>
                          </w:r>
                        </w:p>
                        <w:p w:rsidR="00414DC7" w:rsidRPr="0003606D" w:rsidRDefault="00414DC7" w:rsidP="0003606D">
                          <w:pPr>
                            <w:pStyle w:val="coveraddresses"/>
                          </w:pPr>
                          <w:r w:rsidRPr="0003606D">
                            <w:t>General enquiries 1300 369 711</w:t>
                          </w:r>
                        </w:p>
                        <w:p w:rsidR="00414DC7" w:rsidRPr="0003606D" w:rsidRDefault="00414DC7" w:rsidP="0003606D">
                          <w:pPr>
                            <w:pStyle w:val="coveraddresses"/>
                          </w:pPr>
                          <w:r w:rsidRPr="0003606D">
                            <w:t>Complaints info line 1300 656 419</w:t>
                          </w:r>
                        </w:p>
                        <w:p w:rsidR="00414DC7" w:rsidRPr="0003606D" w:rsidRDefault="00414DC7" w:rsidP="0003606D">
                          <w:pPr>
                            <w:pStyle w:val="coveraddresses"/>
                          </w:pPr>
                          <w:r w:rsidRPr="0003606D">
                            <w:t>TTY 1800 620 241</w:t>
                          </w:r>
                        </w:p>
                        <w:p w:rsidR="00414DC7" w:rsidRPr="00B63D24" w:rsidRDefault="00414DC7"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414DC7" w:rsidRPr="0003606D" w:rsidRDefault="00414DC7" w:rsidP="0003606D">
                    <w:pPr>
                      <w:pStyle w:val="coveraddresses"/>
                    </w:pPr>
                    <w:r w:rsidRPr="0003606D">
                      <w:t>ABN 47 996 232 602</w:t>
                    </w:r>
                  </w:p>
                  <w:p w:rsidR="00414DC7" w:rsidRPr="0003606D" w:rsidRDefault="00414DC7" w:rsidP="0003606D">
                    <w:pPr>
                      <w:pStyle w:val="coveraddresses"/>
                    </w:pPr>
                    <w:r w:rsidRPr="0003606D">
                      <w:t>Level 3, 175 Pitt Street, Sydney NSW 2000</w:t>
                    </w:r>
                  </w:p>
                  <w:p w:rsidR="00414DC7" w:rsidRPr="0003606D" w:rsidRDefault="00414DC7" w:rsidP="0003606D">
                    <w:pPr>
                      <w:pStyle w:val="coveraddresses"/>
                    </w:pPr>
                    <w:r w:rsidRPr="0003606D">
                      <w:t>GPO Box 5218, Sydney NSW 2001</w:t>
                    </w:r>
                  </w:p>
                  <w:p w:rsidR="00414DC7" w:rsidRPr="0003606D" w:rsidRDefault="00414DC7" w:rsidP="0003606D">
                    <w:pPr>
                      <w:pStyle w:val="coveraddresses"/>
                    </w:pPr>
                    <w:r w:rsidRPr="0003606D">
                      <w:t>General enquiries 1300 369 711</w:t>
                    </w:r>
                  </w:p>
                  <w:p w:rsidR="00414DC7" w:rsidRPr="0003606D" w:rsidRDefault="00414DC7" w:rsidP="0003606D">
                    <w:pPr>
                      <w:pStyle w:val="coveraddresses"/>
                    </w:pPr>
                    <w:r w:rsidRPr="0003606D">
                      <w:t>Complaints info line 1300 656 419</w:t>
                    </w:r>
                  </w:p>
                  <w:p w:rsidR="00414DC7" w:rsidRPr="0003606D" w:rsidRDefault="00414DC7" w:rsidP="0003606D">
                    <w:pPr>
                      <w:pStyle w:val="coveraddresses"/>
                    </w:pPr>
                    <w:r w:rsidRPr="0003606D">
                      <w:t>TTY 1800 620 241</w:t>
                    </w:r>
                  </w:p>
                  <w:p w:rsidR="00414DC7" w:rsidRPr="00B63D24" w:rsidRDefault="00414DC7"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C7" w:rsidRPr="0090165F" w:rsidRDefault="00414DC7"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EF6027">
      <w:rPr>
        <w:rStyle w:val="PageNumber"/>
        <w:noProof/>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C7" w:rsidRDefault="00414DC7" w:rsidP="00F14C6D">
      <w:r>
        <w:separator/>
      </w:r>
    </w:p>
  </w:footnote>
  <w:footnote w:type="continuationSeparator" w:id="0">
    <w:p w:rsidR="00414DC7" w:rsidRDefault="00414DC7"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C7" w:rsidRDefault="00EF60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C7" w:rsidRPr="00D27262" w:rsidRDefault="00EF6027"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414DC7" w:rsidRPr="00D27262">
      <w:rPr>
        <w:sz w:val="22"/>
        <w:szCs w:val="22"/>
      </w:rPr>
      <w:t>Au</w:t>
    </w:r>
    <w:r w:rsidR="00414DC7">
      <w:rPr>
        <w:sz w:val="22"/>
        <w:szCs w:val="22"/>
      </w:rPr>
      <w:t>stralian Human Rights Commission</w:t>
    </w:r>
  </w:p>
  <w:p w:rsidR="00414DC7" w:rsidRDefault="00414DC7"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414DC7" w:rsidRPr="00B85DD4" w:rsidTr="00165E3C">
      <w:trPr>
        <w:trHeight w:val="1276"/>
      </w:trPr>
      <w:tc>
        <w:tcPr>
          <w:tcW w:w="1508" w:type="dxa"/>
        </w:tcPr>
        <w:p w:rsidR="00414DC7" w:rsidRPr="00B85DD4" w:rsidRDefault="00414DC7" w:rsidP="00B520BC">
          <w:pPr>
            <w:pStyle w:val="Header"/>
            <w:tabs>
              <w:tab w:val="left" w:pos="4686"/>
              <w:tab w:val="left" w:pos="7088"/>
              <w:tab w:val="left" w:pos="7242"/>
            </w:tabs>
            <w:ind w:left="-108"/>
            <w:rPr>
              <w:rFonts w:cs="ArialMT"/>
              <w:b/>
              <w:spacing w:val="-20"/>
            </w:rPr>
          </w:pPr>
        </w:p>
      </w:tc>
      <w:tc>
        <w:tcPr>
          <w:tcW w:w="2688" w:type="dxa"/>
          <w:vAlign w:val="center"/>
        </w:tcPr>
        <w:p w:rsidR="00414DC7" w:rsidRPr="00B85DD4" w:rsidRDefault="00414DC7" w:rsidP="002B1B65">
          <w:pPr>
            <w:spacing w:before="0" w:after="0"/>
            <w:rPr>
              <w:rFonts w:cs="ArialMT"/>
              <w:i/>
              <w:color w:val="808080"/>
              <w:sz w:val="17"/>
            </w:rPr>
          </w:pPr>
        </w:p>
      </w:tc>
      <w:tc>
        <w:tcPr>
          <w:tcW w:w="2302" w:type="dxa"/>
        </w:tcPr>
        <w:p w:rsidR="00414DC7" w:rsidRPr="00B85DD4" w:rsidRDefault="00414DC7" w:rsidP="00B520BC">
          <w:pPr>
            <w:pStyle w:val="HeaderFooter"/>
            <w:rPr>
              <w:b/>
              <w:spacing w:val="-20"/>
              <w:sz w:val="40"/>
            </w:rPr>
          </w:pPr>
        </w:p>
      </w:tc>
      <w:tc>
        <w:tcPr>
          <w:tcW w:w="2130" w:type="dxa"/>
        </w:tcPr>
        <w:p w:rsidR="00414DC7" w:rsidRPr="00B85DD4" w:rsidRDefault="00414DC7" w:rsidP="00B520BC">
          <w:pPr>
            <w:pStyle w:val="HeaderFooter"/>
            <w:rPr>
              <w:b/>
              <w:spacing w:val="-20"/>
              <w:sz w:val="40"/>
            </w:rPr>
          </w:pPr>
        </w:p>
      </w:tc>
      <w:tc>
        <w:tcPr>
          <w:tcW w:w="1721" w:type="dxa"/>
        </w:tcPr>
        <w:p w:rsidR="00414DC7" w:rsidRPr="00B85DD4" w:rsidRDefault="00414DC7" w:rsidP="00B520BC">
          <w:pPr>
            <w:pStyle w:val="HeaderFooter"/>
            <w:spacing w:before="227" w:after="340"/>
            <w:rPr>
              <w:b/>
              <w:spacing w:val="-20"/>
              <w:sz w:val="40"/>
            </w:rPr>
          </w:pPr>
        </w:p>
      </w:tc>
    </w:tr>
  </w:tbl>
  <w:p w:rsidR="00414DC7" w:rsidRDefault="00EF6027">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C7" w:rsidRDefault="00EF60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DC7" w:rsidRPr="00D27262" w:rsidRDefault="00414DC7" w:rsidP="00B34946">
    <w:pPr>
      <w:spacing w:before="0" w:after="60"/>
      <w:jc w:val="right"/>
      <w:rPr>
        <w:sz w:val="22"/>
        <w:szCs w:val="22"/>
      </w:rPr>
    </w:pPr>
    <w:r w:rsidRPr="00D27262">
      <w:rPr>
        <w:sz w:val="22"/>
        <w:szCs w:val="22"/>
      </w:rPr>
      <w:t>Au</w:t>
    </w:r>
    <w:r>
      <w:rPr>
        <w:sz w:val="22"/>
        <w:szCs w:val="22"/>
      </w:rPr>
      <w:t>stralian Human Rights Commission</w:t>
    </w:r>
  </w:p>
  <w:p w:rsidR="00414DC7" w:rsidRPr="00D729AD" w:rsidRDefault="00414DC7" w:rsidP="00324B08">
    <w:pPr>
      <w:pStyle w:val="Footer"/>
      <w:spacing w:after="240"/>
      <w:ind w:left="-284"/>
      <w:jc w:val="right"/>
      <w:rPr>
        <w:i/>
        <w:szCs w:val="18"/>
      </w:rPr>
    </w:pPr>
    <w:r>
      <w:rPr>
        <w:b/>
        <w:i/>
        <w:szCs w:val="18"/>
      </w:rPr>
      <w:t xml:space="preserve">Information for List of Issues </w:t>
    </w:r>
    <w:r w:rsidR="00A51CC8">
      <w:rPr>
        <w:b/>
        <w:i/>
        <w:szCs w:val="18"/>
      </w:rPr>
      <w:t>on</w:t>
    </w:r>
    <w:r>
      <w:rPr>
        <w:b/>
        <w:i/>
        <w:szCs w:val="18"/>
      </w:rPr>
      <w:t xml:space="preserve"> Australia,</w:t>
    </w:r>
    <w:r w:rsidRPr="00D729AD">
      <w:rPr>
        <w:i/>
        <w:szCs w:val="18"/>
      </w:rPr>
      <w:t xml:space="preserve"> </w:t>
    </w:r>
    <w:r w:rsidR="00D60CB4">
      <w:rPr>
        <w:i/>
        <w:szCs w:val="18"/>
      </w:rPr>
      <w:t>29</w:t>
    </w:r>
    <w:r>
      <w:rPr>
        <w:i/>
        <w:szCs w:val="18"/>
      </w:rPr>
      <w:t xml:space="preserve"> September 2017</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414DC7" w:rsidRPr="00B85DD4" w:rsidTr="002B1B65">
      <w:trPr>
        <w:trHeight w:val="1603"/>
      </w:trPr>
      <w:tc>
        <w:tcPr>
          <w:tcW w:w="1508" w:type="dxa"/>
        </w:tcPr>
        <w:p w:rsidR="00414DC7" w:rsidRPr="00B85DD4" w:rsidRDefault="00414DC7"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414DC7" w:rsidRPr="00D36BB2" w:rsidRDefault="00414DC7" w:rsidP="002B1B65">
          <w:pPr>
            <w:pStyle w:val="LogoType"/>
            <w:pBdr>
              <w:bottom w:val="single" w:sz="4" w:space="1" w:color="808080"/>
            </w:pBdr>
            <w:spacing w:line="240" w:lineRule="auto"/>
          </w:pPr>
          <w:r w:rsidRPr="00D36BB2">
            <w:t>Australian</w:t>
          </w:r>
        </w:p>
        <w:p w:rsidR="00414DC7" w:rsidRPr="00D36BB2" w:rsidRDefault="00414DC7" w:rsidP="002B1B65">
          <w:pPr>
            <w:pStyle w:val="LogoType"/>
            <w:pBdr>
              <w:bottom w:val="single" w:sz="4" w:space="1" w:color="808080"/>
            </w:pBdr>
            <w:spacing w:line="240" w:lineRule="auto"/>
          </w:pPr>
          <w:r w:rsidRPr="00D36BB2">
            <w:t>Human Rights</w:t>
          </w:r>
        </w:p>
        <w:p w:rsidR="00414DC7" w:rsidRPr="00D36BB2" w:rsidRDefault="00414DC7" w:rsidP="002B1B65">
          <w:pPr>
            <w:pStyle w:val="LogoType"/>
            <w:pBdr>
              <w:bottom w:val="single" w:sz="4" w:space="1" w:color="808080"/>
            </w:pBdr>
            <w:spacing w:line="240" w:lineRule="auto"/>
          </w:pPr>
          <w:r w:rsidRPr="00D36BB2">
            <w:t>Commission</w:t>
          </w:r>
        </w:p>
        <w:p w:rsidR="00414DC7" w:rsidRPr="00B85DD4" w:rsidRDefault="00414DC7"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414DC7" w:rsidRPr="00B85DD4" w:rsidRDefault="00414DC7" w:rsidP="00B520BC">
          <w:pPr>
            <w:pStyle w:val="HeaderFooter"/>
            <w:rPr>
              <w:b/>
              <w:spacing w:val="-20"/>
              <w:sz w:val="40"/>
            </w:rPr>
          </w:pPr>
        </w:p>
      </w:tc>
      <w:tc>
        <w:tcPr>
          <w:tcW w:w="2130" w:type="dxa"/>
        </w:tcPr>
        <w:p w:rsidR="00414DC7" w:rsidRPr="00B85DD4" w:rsidRDefault="00414DC7" w:rsidP="00B520BC">
          <w:pPr>
            <w:pStyle w:val="HeaderFooter"/>
            <w:rPr>
              <w:b/>
              <w:spacing w:val="-20"/>
              <w:sz w:val="40"/>
            </w:rPr>
          </w:pPr>
        </w:p>
      </w:tc>
      <w:tc>
        <w:tcPr>
          <w:tcW w:w="1721" w:type="dxa"/>
        </w:tcPr>
        <w:p w:rsidR="00414DC7" w:rsidRPr="00B85DD4" w:rsidRDefault="00414DC7" w:rsidP="00B520BC">
          <w:pPr>
            <w:pStyle w:val="HeaderFooter"/>
            <w:spacing w:before="227" w:after="340"/>
            <w:rPr>
              <w:b/>
              <w:spacing w:val="-20"/>
              <w:sz w:val="40"/>
            </w:rPr>
          </w:pPr>
        </w:p>
      </w:tc>
    </w:tr>
  </w:tbl>
  <w:p w:rsidR="00414DC7" w:rsidRDefault="00EF6027">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FCAE2F1C"/>
    <w:lvl w:ilvl="0">
      <w:start w:val="1"/>
      <w:numFmt w:val="decimal"/>
      <w:lvlText w:val="%1"/>
      <w:lvlJc w:val="left"/>
      <w:pPr>
        <w:tabs>
          <w:tab w:val="num" w:pos="851"/>
        </w:tabs>
        <w:ind w:left="851" w:hanging="851"/>
      </w:pPr>
      <w:rPr>
        <w:rFonts w:hint="default"/>
        <w:b/>
        <w:color w:val="auto"/>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4420C04"/>
    <w:multiLevelType w:val="hybridMultilevel"/>
    <w:tmpl w:val="68C8216E"/>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07F9144A"/>
    <w:multiLevelType w:val="hybridMultilevel"/>
    <w:tmpl w:val="153294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DCB237C"/>
    <w:multiLevelType w:val="hybridMultilevel"/>
    <w:tmpl w:val="1D523720"/>
    <w:lvl w:ilvl="0" w:tplc="316C7478">
      <w:start w:val="1"/>
      <w:numFmt w:val="decimal"/>
      <w:pStyle w:val="SubmissionNormal"/>
      <w:lvlText w:val="%1."/>
      <w:lvlJc w:val="left"/>
      <w:pPr>
        <w:tabs>
          <w:tab w:val="num" w:pos="501"/>
        </w:tabs>
        <w:ind w:left="501" w:hanging="360"/>
      </w:pPr>
      <w:rPr>
        <w:rFonts w:ascii="Arial" w:hAnsi="Arial" w:cs="Arial" w:hint="default"/>
        <w:b w:val="0"/>
        <w:color w:val="auto"/>
        <w:sz w:val="24"/>
        <w:szCs w:val="24"/>
        <w:vertAlign w:val="baseline"/>
      </w:rPr>
    </w:lvl>
    <w:lvl w:ilvl="1" w:tplc="90B61892">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1D033E4"/>
    <w:multiLevelType w:val="hybridMultilevel"/>
    <w:tmpl w:val="D9FAD01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8"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58AE5273"/>
    <w:multiLevelType w:val="hybridMultilevel"/>
    <w:tmpl w:val="AED25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36231D"/>
    <w:multiLevelType w:val="hybridMultilevel"/>
    <w:tmpl w:val="9744AD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9537F81"/>
    <w:multiLevelType w:val="hybridMultilevel"/>
    <w:tmpl w:val="4C84D6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7C6F0D"/>
    <w:multiLevelType w:val="hybridMultilevel"/>
    <w:tmpl w:val="198A030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14736A8"/>
    <w:multiLevelType w:val="hybridMultilevel"/>
    <w:tmpl w:val="14A09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1F061F"/>
    <w:multiLevelType w:val="hybridMultilevel"/>
    <w:tmpl w:val="F260FE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5227148"/>
    <w:multiLevelType w:val="hybridMultilevel"/>
    <w:tmpl w:val="58EE3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8"/>
  </w:num>
  <w:num w:numId="13">
    <w:abstractNumId w:val="16"/>
  </w:num>
  <w:num w:numId="14">
    <w:abstractNumId w:val="14"/>
  </w:num>
  <w:num w:numId="15">
    <w:abstractNumId w:val="13"/>
  </w:num>
  <w:num w:numId="16">
    <w:abstractNumId w:val="10"/>
  </w:num>
  <w:num w:numId="17">
    <w:abstractNumId w:val="21"/>
  </w:num>
  <w:num w:numId="18">
    <w:abstractNumId w:val="25"/>
  </w:num>
  <w:num w:numId="19">
    <w:abstractNumId w:val="22"/>
  </w:num>
  <w:num w:numId="20">
    <w:abstractNumId w:val="23"/>
  </w:num>
  <w:num w:numId="21">
    <w:abstractNumId w:val="24"/>
  </w:num>
  <w:num w:numId="22">
    <w:abstractNumId w:val="20"/>
  </w:num>
  <w:num w:numId="23">
    <w:abstractNumId w:val="12"/>
  </w:num>
  <w:num w:numId="24">
    <w:abstractNumId w:val="11"/>
  </w:num>
  <w:num w:numId="25">
    <w:abstractNumId w:val="19"/>
  </w:num>
  <w:num w:numId="26">
    <w:abstractNumId w:val="15"/>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FA"/>
    <w:rsid w:val="000024CC"/>
    <w:rsid w:val="00004207"/>
    <w:rsid w:val="00005597"/>
    <w:rsid w:val="000066D1"/>
    <w:rsid w:val="00006CB3"/>
    <w:rsid w:val="0000783E"/>
    <w:rsid w:val="00007D63"/>
    <w:rsid w:val="00010F6B"/>
    <w:rsid w:val="00012355"/>
    <w:rsid w:val="00013A10"/>
    <w:rsid w:val="00013E75"/>
    <w:rsid w:val="00014D88"/>
    <w:rsid w:val="000152ED"/>
    <w:rsid w:val="00015732"/>
    <w:rsid w:val="00016637"/>
    <w:rsid w:val="000175ED"/>
    <w:rsid w:val="000237B6"/>
    <w:rsid w:val="000261CE"/>
    <w:rsid w:val="00026A3B"/>
    <w:rsid w:val="000273D6"/>
    <w:rsid w:val="00031452"/>
    <w:rsid w:val="0003430B"/>
    <w:rsid w:val="00034AA7"/>
    <w:rsid w:val="000352A7"/>
    <w:rsid w:val="000355AE"/>
    <w:rsid w:val="0003606D"/>
    <w:rsid w:val="000364CF"/>
    <w:rsid w:val="0004045A"/>
    <w:rsid w:val="000417F6"/>
    <w:rsid w:val="00045FD3"/>
    <w:rsid w:val="000470E3"/>
    <w:rsid w:val="00047112"/>
    <w:rsid w:val="00047CCD"/>
    <w:rsid w:val="0005338E"/>
    <w:rsid w:val="00053B90"/>
    <w:rsid w:val="00053DEA"/>
    <w:rsid w:val="000541E9"/>
    <w:rsid w:val="000563BF"/>
    <w:rsid w:val="000579B1"/>
    <w:rsid w:val="000607F6"/>
    <w:rsid w:val="000626A3"/>
    <w:rsid w:val="0006589C"/>
    <w:rsid w:val="00066B24"/>
    <w:rsid w:val="00070CDF"/>
    <w:rsid w:val="00071A95"/>
    <w:rsid w:val="000723F7"/>
    <w:rsid w:val="00072D2F"/>
    <w:rsid w:val="00073D54"/>
    <w:rsid w:val="00074319"/>
    <w:rsid w:val="00075763"/>
    <w:rsid w:val="00075EA3"/>
    <w:rsid w:val="00075ED7"/>
    <w:rsid w:val="00075F46"/>
    <w:rsid w:val="000760F5"/>
    <w:rsid w:val="000778E7"/>
    <w:rsid w:val="00077981"/>
    <w:rsid w:val="00080371"/>
    <w:rsid w:val="000804CD"/>
    <w:rsid w:val="0008317E"/>
    <w:rsid w:val="0008321A"/>
    <w:rsid w:val="00083C52"/>
    <w:rsid w:val="00085F62"/>
    <w:rsid w:val="00086E74"/>
    <w:rsid w:val="00090F64"/>
    <w:rsid w:val="00092955"/>
    <w:rsid w:val="00092C78"/>
    <w:rsid w:val="00092D23"/>
    <w:rsid w:val="00093156"/>
    <w:rsid w:val="0009346D"/>
    <w:rsid w:val="00095119"/>
    <w:rsid w:val="000A0BEB"/>
    <w:rsid w:val="000A1DB8"/>
    <w:rsid w:val="000A20D7"/>
    <w:rsid w:val="000A48AC"/>
    <w:rsid w:val="000B0A5D"/>
    <w:rsid w:val="000B2FDC"/>
    <w:rsid w:val="000B6B32"/>
    <w:rsid w:val="000C0ACD"/>
    <w:rsid w:val="000C6AAE"/>
    <w:rsid w:val="000C7295"/>
    <w:rsid w:val="000D0E61"/>
    <w:rsid w:val="000D0E97"/>
    <w:rsid w:val="000D11D6"/>
    <w:rsid w:val="000D2D9C"/>
    <w:rsid w:val="000D2EE3"/>
    <w:rsid w:val="000D41AD"/>
    <w:rsid w:val="000D631F"/>
    <w:rsid w:val="000D7D31"/>
    <w:rsid w:val="000E00F7"/>
    <w:rsid w:val="000E130A"/>
    <w:rsid w:val="000E131C"/>
    <w:rsid w:val="000E2B5D"/>
    <w:rsid w:val="000E2E76"/>
    <w:rsid w:val="000E407B"/>
    <w:rsid w:val="000E7BA1"/>
    <w:rsid w:val="000F1AA7"/>
    <w:rsid w:val="000F366C"/>
    <w:rsid w:val="000F36F6"/>
    <w:rsid w:val="000F6EEC"/>
    <w:rsid w:val="000F7E7F"/>
    <w:rsid w:val="0010101A"/>
    <w:rsid w:val="00102CCA"/>
    <w:rsid w:val="001043CC"/>
    <w:rsid w:val="001062A9"/>
    <w:rsid w:val="001132EF"/>
    <w:rsid w:val="001154BD"/>
    <w:rsid w:val="001158F4"/>
    <w:rsid w:val="00120AA5"/>
    <w:rsid w:val="001259CB"/>
    <w:rsid w:val="001275E0"/>
    <w:rsid w:val="00131075"/>
    <w:rsid w:val="0013119F"/>
    <w:rsid w:val="0013128B"/>
    <w:rsid w:val="0013204B"/>
    <w:rsid w:val="001328D1"/>
    <w:rsid w:val="00132B80"/>
    <w:rsid w:val="00132E90"/>
    <w:rsid w:val="0013366B"/>
    <w:rsid w:val="00134416"/>
    <w:rsid w:val="00134774"/>
    <w:rsid w:val="00135047"/>
    <w:rsid w:val="0013535B"/>
    <w:rsid w:val="001373CF"/>
    <w:rsid w:val="00137CA5"/>
    <w:rsid w:val="00140274"/>
    <w:rsid w:val="00142AF8"/>
    <w:rsid w:val="00151263"/>
    <w:rsid w:val="001529F5"/>
    <w:rsid w:val="00153724"/>
    <w:rsid w:val="00154416"/>
    <w:rsid w:val="00154A03"/>
    <w:rsid w:val="00157593"/>
    <w:rsid w:val="00160448"/>
    <w:rsid w:val="00162A8D"/>
    <w:rsid w:val="0016309C"/>
    <w:rsid w:val="00165A7E"/>
    <w:rsid w:val="00165CA9"/>
    <w:rsid w:val="00165E3C"/>
    <w:rsid w:val="00166367"/>
    <w:rsid w:val="00166C67"/>
    <w:rsid w:val="00171737"/>
    <w:rsid w:val="00172996"/>
    <w:rsid w:val="00173FB5"/>
    <w:rsid w:val="0017498B"/>
    <w:rsid w:val="00177806"/>
    <w:rsid w:val="00177C69"/>
    <w:rsid w:val="001815FC"/>
    <w:rsid w:val="00182C0A"/>
    <w:rsid w:val="00183C43"/>
    <w:rsid w:val="00183DEC"/>
    <w:rsid w:val="0018408C"/>
    <w:rsid w:val="001843D6"/>
    <w:rsid w:val="00184F46"/>
    <w:rsid w:val="0018546F"/>
    <w:rsid w:val="00187EF0"/>
    <w:rsid w:val="001930AC"/>
    <w:rsid w:val="0019319C"/>
    <w:rsid w:val="00194615"/>
    <w:rsid w:val="00194B77"/>
    <w:rsid w:val="001A0C02"/>
    <w:rsid w:val="001A3007"/>
    <w:rsid w:val="001A323B"/>
    <w:rsid w:val="001A4426"/>
    <w:rsid w:val="001A4490"/>
    <w:rsid w:val="001A5B5D"/>
    <w:rsid w:val="001A7AE3"/>
    <w:rsid w:val="001B0353"/>
    <w:rsid w:val="001B1501"/>
    <w:rsid w:val="001B2C3C"/>
    <w:rsid w:val="001B33C2"/>
    <w:rsid w:val="001B3640"/>
    <w:rsid w:val="001B4F14"/>
    <w:rsid w:val="001B542A"/>
    <w:rsid w:val="001B608F"/>
    <w:rsid w:val="001B6E89"/>
    <w:rsid w:val="001B79D0"/>
    <w:rsid w:val="001C0093"/>
    <w:rsid w:val="001C1F8B"/>
    <w:rsid w:val="001C26C2"/>
    <w:rsid w:val="001C4001"/>
    <w:rsid w:val="001C4887"/>
    <w:rsid w:val="001C49D4"/>
    <w:rsid w:val="001C58F7"/>
    <w:rsid w:val="001C67A3"/>
    <w:rsid w:val="001D0D60"/>
    <w:rsid w:val="001D155F"/>
    <w:rsid w:val="001D361B"/>
    <w:rsid w:val="001D4626"/>
    <w:rsid w:val="001D5B34"/>
    <w:rsid w:val="001D6388"/>
    <w:rsid w:val="001D794E"/>
    <w:rsid w:val="001E262D"/>
    <w:rsid w:val="001E2903"/>
    <w:rsid w:val="001E4038"/>
    <w:rsid w:val="001E4087"/>
    <w:rsid w:val="001E44FB"/>
    <w:rsid w:val="001F29A8"/>
    <w:rsid w:val="001F2BBB"/>
    <w:rsid w:val="001F42C1"/>
    <w:rsid w:val="001F4E84"/>
    <w:rsid w:val="001F62E2"/>
    <w:rsid w:val="001F6736"/>
    <w:rsid w:val="001F7512"/>
    <w:rsid w:val="001F7E6E"/>
    <w:rsid w:val="002004A2"/>
    <w:rsid w:val="00200677"/>
    <w:rsid w:val="0020189A"/>
    <w:rsid w:val="002024D5"/>
    <w:rsid w:val="00203634"/>
    <w:rsid w:val="0020504C"/>
    <w:rsid w:val="002052F6"/>
    <w:rsid w:val="002054AE"/>
    <w:rsid w:val="002062DE"/>
    <w:rsid w:val="00207498"/>
    <w:rsid w:val="00210E97"/>
    <w:rsid w:val="00210F04"/>
    <w:rsid w:val="00211D38"/>
    <w:rsid w:val="00212A2A"/>
    <w:rsid w:val="00213316"/>
    <w:rsid w:val="00214862"/>
    <w:rsid w:val="00216E0B"/>
    <w:rsid w:val="002175F8"/>
    <w:rsid w:val="002222AB"/>
    <w:rsid w:val="00223407"/>
    <w:rsid w:val="00223BA2"/>
    <w:rsid w:val="002247BA"/>
    <w:rsid w:val="00224AA3"/>
    <w:rsid w:val="002267A2"/>
    <w:rsid w:val="00231E2F"/>
    <w:rsid w:val="00231ED1"/>
    <w:rsid w:val="0023211B"/>
    <w:rsid w:val="002328AE"/>
    <w:rsid w:val="002332D2"/>
    <w:rsid w:val="00235302"/>
    <w:rsid w:val="002425C4"/>
    <w:rsid w:val="00242624"/>
    <w:rsid w:val="00244E74"/>
    <w:rsid w:val="0024557E"/>
    <w:rsid w:val="00246BEF"/>
    <w:rsid w:val="002506F2"/>
    <w:rsid w:val="00250BA2"/>
    <w:rsid w:val="002519A2"/>
    <w:rsid w:val="00251D6C"/>
    <w:rsid w:val="0025338F"/>
    <w:rsid w:val="00255EDF"/>
    <w:rsid w:val="00255F8C"/>
    <w:rsid w:val="00257C65"/>
    <w:rsid w:val="002625DE"/>
    <w:rsid w:val="00263EF1"/>
    <w:rsid w:val="00266087"/>
    <w:rsid w:val="002679B0"/>
    <w:rsid w:val="00270631"/>
    <w:rsid w:val="00274ABD"/>
    <w:rsid w:val="002816E3"/>
    <w:rsid w:val="00282EEA"/>
    <w:rsid w:val="00283B0A"/>
    <w:rsid w:val="00284F0E"/>
    <w:rsid w:val="002863D7"/>
    <w:rsid w:val="00286E13"/>
    <w:rsid w:val="0028764E"/>
    <w:rsid w:val="00291373"/>
    <w:rsid w:val="0029148B"/>
    <w:rsid w:val="0029298A"/>
    <w:rsid w:val="0029324B"/>
    <w:rsid w:val="00293D11"/>
    <w:rsid w:val="00294D48"/>
    <w:rsid w:val="002952A8"/>
    <w:rsid w:val="002959F1"/>
    <w:rsid w:val="00296516"/>
    <w:rsid w:val="00297EBB"/>
    <w:rsid w:val="002A14D2"/>
    <w:rsid w:val="002A2E64"/>
    <w:rsid w:val="002A4489"/>
    <w:rsid w:val="002A4640"/>
    <w:rsid w:val="002A6D50"/>
    <w:rsid w:val="002A6FE8"/>
    <w:rsid w:val="002B1227"/>
    <w:rsid w:val="002B1B65"/>
    <w:rsid w:val="002B237C"/>
    <w:rsid w:val="002C02B3"/>
    <w:rsid w:val="002C1866"/>
    <w:rsid w:val="002C3AE2"/>
    <w:rsid w:val="002C5F46"/>
    <w:rsid w:val="002C6133"/>
    <w:rsid w:val="002C7B90"/>
    <w:rsid w:val="002C7C1C"/>
    <w:rsid w:val="002D14D0"/>
    <w:rsid w:val="002D4E2D"/>
    <w:rsid w:val="002D660E"/>
    <w:rsid w:val="002D75E8"/>
    <w:rsid w:val="002E01B7"/>
    <w:rsid w:val="002E2178"/>
    <w:rsid w:val="002E256B"/>
    <w:rsid w:val="002E4F84"/>
    <w:rsid w:val="002E5844"/>
    <w:rsid w:val="002E6267"/>
    <w:rsid w:val="002F3E97"/>
    <w:rsid w:val="002F4CE1"/>
    <w:rsid w:val="002F5C18"/>
    <w:rsid w:val="002F70D7"/>
    <w:rsid w:val="00300569"/>
    <w:rsid w:val="00300F22"/>
    <w:rsid w:val="00301D97"/>
    <w:rsid w:val="00304A37"/>
    <w:rsid w:val="003067C7"/>
    <w:rsid w:val="00306807"/>
    <w:rsid w:val="00307224"/>
    <w:rsid w:val="00307D75"/>
    <w:rsid w:val="00310ED4"/>
    <w:rsid w:val="0031203B"/>
    <w:rsid w:val="00312242"/>
    <w:rsid w:val="00312301"/>
    <w:rsid w:val="0031492A"/>
    <w:rsid w:val="00315B3F"/>
    <w:rsid w:val="00316673"/>
    <w:rsid w:val="003169FA"/>
    <w:rsid w:val="00316C1A"/>
    <w:rsid w:val="00320024"/>
    <w:rsid w:val="00320621"/>
    <w:rsid w:val="0032175E"/>
    <w:rsid w:val="00323C73"/>
    <w:rsid w:val="00324B08"/>
    <w:rsid w:val="003257B1"/>
    <w:rsid w:val="00331141"/>
    <w:rsid w:val="00331E08"/>
    <w:rsid w:val="00332117"/>
    <w:rsid w:val="00332C86"/>
    <w:rsid w:val="00334F9A"/>
    <w:rsid w:val="00337568"/>
    <w:rsid w:val="00341EC9"/>
    <w:rsid w:val="00343928"/>
    <w:rsid w:val="00343DDF"/>
    <w:rsid w:val="00344758"/>
    <w:rsid w:val="0034596D"/>
    <w:rsid w:val="00345B38"/>
    <w:rsid w:val="00347142"/>
    <w:rsid w:val="003477ED"/>
    <w:rsid w:val="003503D2"/>
    <w:rsid w:val="00350788"/>
    <w:rsid w:val="003512CB"/>
    <w:rsid w:val="00351538"/>
    <w:rsid w:val="003548A4"/>
    <w:rsid w:val="00354FC3"/>
    <w:rsid w:val="0035570D"/>
    <w:rsid w:val="003565A8"/>
    <w:rsid w:val="003566EA"/>
    <w:rsid w:val="00356BC0"/>
    <w:rsid w:val="00357F5D"/>
    <w:rsid w:val="00360069"/>
    <w:rsid w:val="003602A7"/>
    <w:rsid w:val="00361509"/>
    <w:rsid w:val="00361B3D"/>
    <w:rsid w:val="00361FF8"/>
    <w:rsid w:val="003621C7"/>
    <w:rsid w:val="00362BAB"/>
    <w:rsid w:val="0036543A"/>
    <w:rsid w:val="00366C72"/>
    <w:rsid w:val="00367083"/>
    <w:rsid w:val="00367140"/>
    <w:rsid w:val="00367915"/>
    <w:rsid w:val="00370AC1"/>
    <w:rsid w:val="0037262F"/>
    <w:rsid w:val="00372C79"/>
    <w:rsid w:val="00373E89"/>
    <w:rsid w:val="003751EF"/>
    <w:rsid w:val="00375261"/>
    <w:rsid w:val="003753CE"/>
    <w:rsid w:val="00375A9B"/>
    <w:rsid w:val="003761B9"/>
    <w:rsid w:val="003761D8"/>
    <w:rsid w:val="00376B6E"/>
    <w:rsid w:val="003772A5"/>
    <w:rsid w:val="00377BBC"/>
    <w:rsid w:val="00377C0C"/>
    <w:rsid w:val="00380D87"/>
    <w:rsid w:val="003837B4"/>
    <w:rsid w:val="00385088"/>
    <w:rsid w:val="00392EDD"/>
    <w:rsid w:val="00393129"/>
    <w:rsid w:val="00393FAE"/>
    <w:rsid w:val="003A0C0C"/>
    <w:rsid w:val="003A1C40"/>
    <w:rsid w:val="003A3253"/>
    <w:rsid w:val="003A3A45"/>
    <w:rsid w:val="003A4037"/>
    <w:rsid w:val="003A4165"/>
    <w:rsid w:val="003A41A9"/>
    <w:rsid w:val="003A4D56"/>
    <w:rsid w:val="003A6CF1"/>
    <w:rsid w:val="003B68EB"/>
    <w:rsid w:val="003B7E8D"/>
    <w:rsid w:val="003C05C7"/>
    <w:rsid w:val="003C0C8E"/>
    <w:rsid w:val="003C2C6C"/>
    <w:rsid w:val="003C3D7C"/>
    <w:rsid w:val="003C3D9F"/>
    <w:rsid w:val="003C7B32"/>
    <w:rsid w:val="003D0063"/>
    <w:rsid w:val="003D0235"/>
    <w:rsid w:val="003D0F39"/>
    <w:rsid w:val="003D13F4"/>
    <w:rsid w:val="003D1450"/>
    <w:rsid w:val="003D3014"/>
    <w:rsid w:val="003D3E38"/>
    <w:rsid w:val="003D3FA5"/>
    <w:rsid w:val="003D5ABE"/>
    <w:rsid w:val="003D5CDB"/>
    <w:rsid w:val="003D7B7B"/>
    <w:rsid w:val="003E0623"/>
    <w:rsid w:val="003E2AF1"/>
    <w:rsid w:val="003E5316"/>
    <w:rsid w:val="003E645C"/>
    <w:rsid w:val="003E773C"/>
    <w:rsid w:val="003F0253"/>
    <w:rsid w:val="003F3118"/>
    <w:rsid w:val="003F3BE3"/>
    <w:rsid w:val="003F6731"/>
    <w:rsid w:val="003F7EED"/>
    <w:rsid w:val="003F7F30"/>
    <w:rsid w:val="00405FBE"/>
    <w:rsid w:val="00410CED"/>
    <w:rsid w:val="00411F9B"/>
    <w:rsid w:val="00414DC7"/>
    <w:rsid w:val="00417F9D"/>
    <w:rsid w:val="00420212"/>
    <w:rsid w:val="0042226E"/>
    <w:rsid w:val="00422417"/>
    <w:rsid w:val="00424233"/>
    <w:rsid w:val="00424A3E"/>
    <w:rsid w:val="004263F8"/>
    <w:rsid w:val="00427418"/>
    <w:rsid w:val="00427ACE"/>
    <w:rsid w:val="0043042B"/>
    <w:rsid w:val="00434064"/>
    <w:rsid w:val="00436A48"/>
    <w:rsid w:val="00436B9B"/>
    <w:rsid w:val="0043777F"/>
    <w:rsid w:val="00442029"/>
    <w:rsid w:val="0044457B"/>
    <w:rsid w:val="004465BF"/>
    <w:rsid w:val="004476AA"/>
    <w:rsid w:val="0045211B"/>
    <w:rsid w:val="00453190"/>
    <w:rsid w:val="00455563"/>
    <w:rsid w:val="00457428"/>
    <w:rsid w:val="00461F8E"/>
    <w:rsid w:val="00462384"/>
    <w:rsid w:val="004629C9"/>
    <w:rsid w:val="00462FE8"/>
    <w:rsid w:val="004641C8"/>
    <w:rsid w:val="004647DE"/>
    <w:rsid w:val="00464D54"/>
    <w:rsid w:val="00464F5B"/>
    <w:rsid w:val="00466BB1"/>
    <w:rsid w:val="00467401"/>
    <w:rsid w:val="00470197"/>
    <w:rsid w:val="00470E52"/>
    <w:rsid w:val="00471D71"/>
    <w:rsid w:val="00472619"/>
    <w:rsid w:val="00472EFF"/>
    <w:rsid w:val="00473901"/>
    <w:rsid w:val="00473C8F"/>
    <w:rsid w:val="00474063"/>
    <w:rsid w:val="00474FBF"/>
    <w:rsid w:val="00476793"/>
    <w:rsid w:val="00477393"/>
    <w:rsid w:val="004809D3"/>
    <w:rsid w:val="00480CD6"/>
    <w:rsid w:val="004812EB"/>
    <w:rsid w:val="00481A4C"/>
    <w:rsid w:val="004839FC"/>
    <w:rsid w:val="004860B3"/>
    <w:rsid w:val="0048796E"/>
    <w:rsid w:val="00493B45"/>
    <w:rsid w:val="004A0477"/>
    <w:rsid w:val="004A187B"/>
    <w:rsid w:val="004A2D3C"/>
    <w:rsid w:val="004A44DF"/>
    <w:rsid w:val="004A46F6"/>
    <w:rsid w:val="004A6C06"/>
    <w:rsid w:val="004B0732"/>
    <w:rsid w:val="004B0D1D"/>
    <w:rsid w:val="004B42ED"/>
    <w:rsid w:val="004C063B"/>
    <w:rsid w:val="004C3EB4"/>
    <w:rsid w:val="004C3F08"/>
    <w:rsid w:val="004C7412"/>
    <w:rsid w:val="004D04BF"/>
    <w:rsid w:val="004D21D6"/>
    <w:rsid w:val="004D2AF3"/>
    <w:rsid w:val="004D44A7"/>
    <w:rsid w:val="004D56E3"/>
    <w:rsid w:val="004D64C3"/>
    <w:rsid w:val="004D6E55"/>
    <w:rsid w:val="004E0DFF"/>
    <w:rsid w:val="004E47B0"/>
    <w:rsid w:val="004E6B77"/>
    <w:rsid w:val="004F0E1A"/>
    <w:rsid w:val="004F1C7C"/>
    <w:rsid w:val="004F26E4"/>
    <w:rsid w:val="004F2851"/>
    <w:rsid w:val="004F3EA8"/>
    <w:rsid w:val="004F54AA"/>
    <w:rsid w:val="004F7C6D"/>
    <w:rsid w:val="00500D7F"/>
    <w:rsid w:val="005014FC"/>
    <w:rsid w:val="00501B3D"/>
    <w:rsid w:val="00502AE6"/>
    <w:rsid w:val="00502EAC"/>
    <w:rsid w:val="005046A4"/>
    <w:rsid w:val="00507945"/>
    <w:rsid w:val="005123F0"/>
    <w:rsid w:val="00512A0D"/>
    <w:rsid w:val="00512F0C"/>
    <w:rsid w:val="00513540"/>
    <w:rsid w:val="00513941"/>
    <w:rsid w:val="00514ABD"/>
    <w:rsid w:val="00517573"/>
    <w:rsid w:val="00524D7F"/>
    <w:rsid w:val="00527618"/>
    <w:rsid w:val="005276FB"/>
    <w:rsid w:val="005279BF"/>
    <w:rsid w:val="0053051D"/>
    <w:rsid w:val="00530E32"/>
    <w:rsid w:val="00530E33"/>
    <w:rsid w:val="00532571"/>
    <w:rsid w:val="005335C6"/>
    <w:rsid w:val="00536085"/>
    <w:rsid w:val="00541894"/>
    <w:rsid w:val="00542FD6"/>
    <w:rsid w:val="005430FE"/>
    <w:rsid w:val="00543B35"/>
    <w:rsid w:val="005468C8"/>
    <w:rsid w:val="0055045D"/>
    <w:rsid w:val="0055070E"/>
    <w:rsid w:val="00550F81"/>
    <w:rsid w:val="00551E9A"/>
    <w:rsid w:val="005552A3"/>
    <w:rsid w:val="00555DE2"/>
    <w:rsid w:val="005602E7"/>
    <w:rsid w:val="00560B44"/>
    <w:rsid w:val="00561D11"/>
    <w:rsid w:val="00564208"/>
    <w:rsid w:val="005653DD"/>
    <w:rsid w:val="00566620"/>
    <w:rsid w:val="00567E16"/>
    <w:rsid w:val="005702AF"/>
    <w:rsid w:val="0057179C"/>
    <w:rsid w:val="00571CEB"/>
    <w:rsid w:val="00572271"/>
    <w:rsid w:val="00574C8E"/>
    <w:rsid w:val="005750E4"/>
    <w:rsid w:val="00576E02"/>
    <w:rsid w:val="00580503"/>
    <w:rsid w:val="0058155C"/>
    <w:rsid w:val="00581756"/>
    <w:rsid w:val="00583C19"/>
    <w:rsid w:val="005840A2"/>
    <w:rsid w:val="005860BE"/>
    <w:rsid w:val="00590441"/>
    <w:rsid w:val="00591951"/>
    <w:rsid w:val="00591DAF"/>
    <w:rsid w:val="0059451B"/>
    <w:rsid w:val="00594535"/>
    <w:rsid w:val="00594E5E"/>
    <w:rsid w:val="00594EE8"/>
    <w:rsid w:val="00595408"/>
    <w:rsid w:val="005A0057"/>
    <w:rsid w:val="005A07CC"/>
    <w:rsid w:val="005A1665"/>
    <w:rsid w:val="005A174E"/>
    <w:rsid w:val="005A2F80"/>
    <w:rsid w:val="005A45B2"/>
    <w:rsid w:val="005A7773"/>
    <w:rsid w:val="005B140E"/>
    <w:rsid w:val="005B1DF3"/>
    <w:rsid w:val="005B2147"/>
    <w:rsid w:val="005B5346"/>
    <w:rsid w:val="005B70B4"/>
    <w:rsid w:val="005C0CF7"/>
    <w:rsid w:val="005C3223"/>
    <w:rsid w:val="005C4E16"/>
    <w:rsid w:val="005C5D41"/>
    <w:rsid w:val="005D1AEF"/>
    <w:rsid w:val="005D1D3F"/>
    <w:rsid w:val="005D1F34"/>
    <w:rsid w:val="005D2868"/>
    <w:rsid w:val="005D383D"/>
    <w:rsid w:val="005D3CD4"/>
    <w:rsid w:val="005D41B0"/>
    <w:rsid w:val="005D6315"/>
    <w:rsid w:val="005E0A01"/>
    <w:rsid w:val="005E2795"/>
    <w:rsid w:val="005E2BAE"/>
    <w:rsid w:val="005E37E4"/>
    <w:rsid w:val="005E4FB1"/>
    <w:rsid w:val="005E5DB4"/>
    <w:rsid w:val="005E7C5D"/>
    <w:rsid w:val="005F0678"/>
    <w:rsid w:val="005F0A7A"/>
    <w:rsid w:val="005F3207"/>
    <w:rsid w:val="005F3269"/>
    <w:rsid w:val="005F344B"/>
    <w:rsid w:val="005F3810"/>
    <w:rsid w:val="005F42E4"/>
    <w:rsid w:val="005F6E03"/>
    <w:rsid w:val="005F7B50"/>
    <w:rsid w:val="006028CB"/>
    <w:rsid w:val="006033FC"/>
    <w:rsid w:val="006052CF"/>
    <w:rsid w:val="006079D8"/>
    <w:rsid w:val="006109C3"/>
    <w:rsid w:val="00610C09"/>
    <w:rsid w:val="00611138"/>
    <w:rsid w:val="0061216D"/>
    <w:rsid w:val="00613820"/>
    <w:rsid w:val="006166EC"/>
    <w:rsid w:val="00617A05"/>
    <w:rsid w:val="00620E5F"/>
    <w:rsid w:val="0063155D"/>
    <w:rsid w:val="0063182D"/>
    <w:rsid w:val="00633516"/>
    <w:rsid w:val="00633CA5"/>
    <w:rsid w:val="00634011"/>
    <w:rsid w:val="006342D2"/>
    <w:rsid w:val="00634FFD"/>
    <w:rsid w:val="00641422"/>
    <w:rsid w:val="00646E8F"/>
    <w:rsid w:val="00647E0D"/>
    <w:rsid w:val="0065050F"/>
    <w:rsid w:val="0065187C"/>
    <w:rsid w:val="00651A5D"/>
    <w:rsid w:val="006532B6"/>
    <w:rsid w:val="00654793"/>
    <w:rsid w:val="00654DB9"/>
    <w:rsid w:val="00655B69"/>
    <w:rsid w:val="0065605D"/>
    <w:rsid w:val="00656AA7"/>
    <w:rsid w:val="00656F53"/>
    <w:rsid w:val="006638B1"/>
    <w:rsid w:val="0066547D"/>
    <w:rsid w:val="00666F21"/>
    <w:rsid w:val="0067058F"/>
    <w:rsid w:val="00671891"/>
    <w:rsid w:val="00672741"/>
    <w:rsid w:val="0067387F"/>
    <w:rsid w:val="006749E3"/>
    <w:rsid w:val="006755B3"/>
    <w:rsid w:val="00676813"/>
    <w:rsid w:val="00681046"/>
    <w:rsid w:val="00682CE4"/>
    <w:rsid w:val="0068331E"/>
    <w:rsid w:val="00685991"/>
    <w:rsid w:val="00687A72"/>
    <w:rsid w:val="00687AC0"/>
    <w:rsid w:val="0069114F"/>
    <w:rsid w:val="00693B8F"/>
    <w:rsid w:val="00696787"/>
    <w:rsid w:val="00697DE5"/>
    <w:rsid w:val="006A0CF0"/>
    <w:rsid w:val="006A161E"/>
    <w:rsid w:val="006A1B05"/>
    <w:rsid w:val="006A25C9"/>
    <w:rsid w:val="006A3A94"/>
    <w:rsid w:val="006A521F"/>
    <w:rsid w:val="006A57E9"/>
    <w:rsid w:val="006A61F6"/>
    <w:rsid w:val="006A6BB3"/>
    <w:rsid w:val="006B0288"/>
    <w:rsid w:val="006B32D3"/>
    <w:rsid w:val="006C309E"/>
    <w:rsid w:val="006C3AF0"/>
    <w:rsid w:val="006C5505"/>
    <w:rsid w:val="006C735C"/>
    <w:rsid w:val="006C7D82"/>
    <w:rsid w:val="006D3831"/>
    <w:rsid w:val="006D5828"/>
    <w:rsid w:val="006D5B1A"/>
    <w:rsid w:val="006D5EE5"/>
    <w:rsid w:val="006D6561"/>
    <w:rsid w:val="006E0B70"/>
    <w:rsid w:val="006E34EA"/>
    <w:rsid w:val="006E5A65"/>
    <w:rsid w:val="006E75CB"/>
    <w:rsid w:val="006F10E2"/>
    <w:rsid w:val="006F32F3"/>
    <w:rsid w:val="006F4368"/>
    <w:rsid w:val="006F4590"/>
    <w:rsid w:val="006F62BA"/>
    <w:rsid w:val="006F7CFF"/>
    <w:rsid w:val="00701A85"/>
    <w:rsid w:val="00701AF1"/>
    <w:rsid w:val="00701EB2"/>
    <w:rsid w:val="00703123"/>
    <w:rsid w:val="00706E72"/>
    <w:rsid w:val="00710C5C"/>
    <w:rsid w:val="00715367"/>
    <w:rsid w:val="00717136"/>
    <w:rsid w:val="00720C40"/>
    <w:rsid w:val="00720E91"/>
    <w:rsid w:val="007225F4"/>
    <w:rsid w:val="00724440"/>
    <w:rsid w:val="00724EE1"/>
    <w:rsid w:val="00726319"/>
    <w:rsid w:val="00726F6A"/>
    <w:rsid w:val="0072780B"/>
    <w:rsid w:val="007301EE"/>
    <w:rsid w:val="00734A99"/>
    <w:rsid w:val="00734FB7"/>
    <w:rsid w:val="0073643A"/>
    <w:rsid w:val="00740751"/>
    <w:rsid w:val="007408B0"/>
    <w:rsid w:val="00743727"/>
    <w:rsid w:val="00743843"/>
    <w:rsid w:val="00746001"/>
    <w:rsid w:val="007469F1"/>
    <w:rsid w:val="00746F97"/>
    <w:rsid w:val="007514A6"/>
    <w:rsid w:val="0075227F"/>
    <w:rsid w:val="007527D1"/>
    <w:rsid w:val="007540BF"/>
    <w:rsid w:val="00756733"/>
    <w:rsid w:val="00756B0E"/>
    <w:rsid w:val="007576D9"/>
    <w:rsid w:val="0076172D"/>
    <w:rsid w:val="00762AE3"/>
    <w:rsid w:val="00764D51"/>
    <w:rsid w:val="007702C9"/>
    <w:rsid w:val="00770DCB"/>
    <w:rsid w:val="00773433"/>
    <w:rsid w:val="00773B6F"/>
    <w:rsid w:val="00775485"/>
    <w:rsid w:val="00781BF2"/>
    <w:rsid w:val="00782160"/>
    <w:rsid w:val="00782E44"/>
    <w:rsid w:val="00783A6F"/>
    <w:rsid w:val="007852A8"/>
    <w:rsid w:val="0078657D"/>
    <w:rsid w:val="00787774"/>
    <w:rsid w:val="007903F6"/>
    <w:rsid w:val="00792580"/>
    <w:rsid w:val="007931F0"/>
    <w:rsid w:val="00793AFE"/>
    <w:rsid w:val="007946ED"/>
    <w:rsid w:val="007955F5"/>
    <w:rsid w:val="00795E3C"/>
    <w:rsid w:val="0079625F"/>
    <w:rsid w:val="00796497"/>
    <w:rsid w:val="00797020"/>
    <w:rsid w:val="00797180"/>
    <w:rsid w:val="00797823"/>
    <w:rsid w:val="007A15E2"/>
    <w:rsid w:val="007A483D"/>
    <w:rsid w:val="007A58B9"/>
    <w:rsid w:val="007A5D1A"/>
    <w:rsid w:val="007A6E7B"/>
    <w:rsid w:val="007B1DED"/>
    <w:rsid w:val="007B2656"/>
    <w:rsid w:val="007B2BF6"/>
    <w:rsid w:val="007B3512"/>
    <w:rsid w:val="007B3F17"/>
    <w:rsid w:val="007B4E4E"/>
    <w:rsid w:val="007B551A"/>
    <w:rsid w:val="007B5EB1"/>
    <w:rsid w:val="007B6632"/>
    <w:rsid w:val="007B6C98"/>
    <w:rsid w:val="007C0650"/>
    <w:rsid w:val="007C14BA"/>
    <w:rsid w:val="007C4310"/>
    <w:rsid w:val="007D1C31"/>
    <w:rsid w:val="007D238D"/>
    <w:rsid w:val="007D2A9D"/>
    <w:rsid w:val="007D3DD7"/>
    <w:rsid w:val="007D59D4"/>
    <w:rsid w:val="007E080C"/>
    <w:rsid w:val="007E5B88"/>
    <w:rsid w:val="007E6268"/>
    <w:rsid w:val="007E7435"/>
    <w:rsid w:val="007F0D0B"/>
    <w:rsid w:val="007F1182"/>
    <w:rsid w:val="007F2108"/>
    <w:rsid w:val="007F2EAE"/>
    <w:rsid w:val="007F66AF"/>
    <w:rsid w:val="007F6969"/>
    <w:rsid w:val="008007A8"/>
    <w:rsid w:val="0080257C"/>
    <w:rsid w:val="00803294"/>
    <w:rsid w:val="00803C9B"/>
    <w:rsid w:val="00803CF5"/>
    <w:rsid w:val="00804146"/>
    <w:rsid w:val="008042D9"/>
    <w:rsid w:val="00804A89"/>
    <w:rsid w:val="0080540A"/>
    <w:rsid w:val="008058BD"/>
    <w:rsid w:val="00805CFD"/>
    <w:rsid w:val="00807353"/>
    <w:rsid w:val="008125D1"/>
    <w:rsid w:val="00814714"/>
    <w:rsid w:val="00814FC0"/>
    <w:rsid w:val="0081612A"/>
    <w:rsid w:val="00816526"/>
    <w:rsid w:val="00820699"/>
    <w:rsid w:val="00821EB4"/>
    <w:rsid w:val="00823429"/>
    <w:rsid w:val="00823820"/>
    <w:rsid w:val="00824BA1"/>
    <w:rsid w:val="00824D41"/>
    <w:rsid w:val="008256BB"/>
    <w:rsid w:val="00826EFE"/>
    <w:rsid w:val="008312E9"/>
    <w:rsid w:val="00832DF1"/>
    <w:rsid w:val="00833382"/>
    <w:rsid w:val="008339F9"/>
    <w:rsid w:val="00834184"/>
    <w:rsid w:val="008362DE"/>
    <w:rsid w:val="008362FA"/>
    <w:rsid w:val="0083646A"/>
    <w:rsid w:val="00836BC5"/>
    <w:rsid w:val="008376F1"/>
    <w:rsid w:val="0084079B"/>
    <w:rsid w:val="008432BE"/>
    <w:rsid w:val="008437E8"/>
    <w:rsid w:val="00843F4B"/>
    <w:rsid w:val="00843FC9"/>
    <w:rsid w:val="00844B09"/>
    <w:rsid w:val="00845642"/>
    <w:rsid w:val="008464A6"/>
    <w:rsid w:val="0084656F"/>
    <w:rsid w:val="00850442"/>
    <w:rsid w:val="008553C9"/>
    <w:rsid w:val="0085688D"/>
    <w:rsid w:val="00860D71"/>
    <w:rsid w:val="00863523"/>
    <w:rsid w:val="00863FE3"/>
    <w:rsid w:val="00865AA4"/>
    <w:rsid w:val="00865D63"/>
    <w:rsid w:val="00871BE8"/>
    <w:rsid w:val="0087237E"/>
    <w:rsid w:val="008724DE"/>
    <w:rsid w:val="00875FB3"/>
    <w:rsid w:val="00876BA0"/>
    <w:rsid w:val="00880D01"/>
    <w:rsid w:val="0088223F"/>
    <w:rsid w:val="00882E3D"/>
    <w:rsid w:val="00884001"/>
    <w:rsid w:val="0088449A"/>
    <w:rsid w:val="00885F5E"/>
    <w:rsid w:val="008873B5"/>
    <w:rsid w:val="00887D8B"/>
    <w:rsid w:val="008908FD"/>
    <w:rsid w:val="008955DD"/>
    <w:rsid w:val="00896A9F"/>
    <w:rsid w:val="00896FE2"/>
    <w:rsid w:val="008A08B3"/>
    <w:rsid w:val="008A1718"/>
    <w:rsid w:val="008A3D57"/>
    <w:rsid w:val="008A5F96"/>
    <w:rsid w:val="008A6951"/>
    <w:rsid w:val="008A6CEB"/>
    <w:rsid w:val="008B0A78"/>
    <w:rsid w:val="008B1BD5"/>
    <w:rsid w:val="008B23BC"/>
    <w:rsid w:val="008B3761"/>
    <w:rsid w:val="008B3CF0"/>
    <w:rsid w:val="008B3E07"/>
    <w:rsid w:val="008B4432"/>
    <w:rsid w:val="008B59A7"/>
    <w:rsid w:val="008B5ADB"/>
    <w:rsid w:val="008C1852"/>
    <w:rsid w:val="008C2612"/>
    <w:rsid w:val="008C35C0"/>
    <w:rsid w:val="008C36C5"/>
    <w:rsid w:val="008C467D"/>
    <w:rsid w:val="008C4845"/>
    <w:rsid w:val="008C4D4C"/>
    <w:rsid w:val="008C7274"/>
    <w:rsid w:val="008C7BFA"/>
    <w:rsid w:val="008D00A7"/>
    <w:rsid w:val="008D2219"/>
    <w:rsid w:val="008D53B3"/>
    <w:rsid w:val="008D6BF5"/>
    <w:rsid w:val="008D7B38"/>
    <w:rsid w:val="008D7B9E"/>
    <w:rsid w:val="008D7F4B"/>
    <w:rsid w:val="008E229F"/>
    <w:rsid w:val="008E3D60"/>
    <w:rsid w:val="008E3F4C"/>
    <w:rsid w:val="008F0015"/>
    <w:rsid w:val="008F1060"/>
    <w:rsid w:val="008F1496"/>
    <w:rsid w:val="008F1DFF"/>
    <w:rsid w:val="008F4DFA"/>
    <w:rsid w:val="008F5038"/>
    <w:rsid w:val="008F61B7"/>
    <w:rsid w:val="008F69F8"/>
    <w:rsid w:val="008F6B7B"/>
    <w:rsid w:val="009006C1"/>
    <w:rsid w:val="00900701"/>
    <w:rsid w:val="0090165F"/>
    <w:rsid w:val="00901B82"/>
    <w:rsid w:val="00903060"/>
    <w:rsid w:val="00904430"/>
    <w:rsid w:val="00906908"/>
    <w:rsid w:val="00906B13"/>
    <w:rsid w:val="00906E98"/>
    <w:rsid w:val="009073CE"/>
    <w:rsid w:val="009078D4"/>
    <w:rsid w:val="00907EC9"/>
    <w:rsid w:val="00910062"/>
    <w:rsid w:val="00910C91"/>
    <w:rsid w:val="009115DA"/>
    <w:rsid w:val="00912B09"/>
    <w:rsid w:val="00913B6A"/>
    <w:rsid w:val="0091479D"/>
    <w:rsid w:val="00914F0D"/>
    <w:rsid w:val="00915420"/>
    <w:rsid w:val="00915B14"/>
    <w:rsid w:val="00916E44"/>
    <w:rsid w:val="00917042"/>
    <w:rsid w:val="00917649"/>
    <w:rsid w:val="00917A6C"/>
    <w:rsid w:val="00922A12"/>
    <w:rsid w:val="0092336D"/>
    <w:rsid w:val="0092567B"/>
    <w:rsid w:val="00927011"/>
    <w:rsid w:val="00931141"/>
    <w:rsid w:val="00931588"/>
    <w:rsid w:val="00932C33"/>
    <w:rsid w:val="009353F6"/>
    <w:rsid w:val="009361A4"/>
    <w:rsid w:val="00940088"/>
    <w:rsid w:val="00943B94"/>
    <w:rsid w:val="0094454D"/>
    <w:rsid w:val="00945588"/>
    <w:rsid w:val="00947B0C"/>
    <w:rsid w:val="00947E9A"/>
    <w:rsid w:val="0095250B"/>
    <w:rsid w:val="00952DA3"/>
    <w:rsid w:val="009553C2"/>
    <w:rsid w:val="00956954"/>
    <w:rsid w:val="0095700B"/>
    <w:rsid w:val="0096102D"/>
    <w:rsid w:val="00961DAF"/>
    <w:rsid w:val="009639E2"/>
    <w:rsid w:val="00966C2F"/>
    <w:rsid w:val="00966DE3"/>
    <w:rsid w:val="00966F51"/>
    <w:rsid w:val="00967B6F"/>
    <w:rsid w:val="0097039C"/>
    <w:rsid w:val="00971101"/>
    <w:rsid w:val="0097512B"/>
    <w:rsid w:val="0097566B"/>
    <w:rsid w:val="00975CA1"/>
    <w:rsid w:val="00980BFA"/>
    <w:rsid w:val="0098321C"/>
    <w:rsid w:val="0098375A"/>
    <w:rsid w:val="00985DC5"/>
    <w:rsid w:val="00985F50"/>
    <w:rsid w:val="00987945"/>
    <w:rsid w:val="00987EAC"/>
    <w:rsid w:val="00990E91"/>
    <w:rsid w:val="0099280F"/>
    <w:rsid w:val="00993F23"/>
    <w:rsid w:val="009940B4"/>
    <w:rsid w:val="0099685B"/>
    <w:rsid w:val="009A1E41"/>
    <w:rsid w:val="009A229C"/>
    <w:rsid w:val="009A280F"/>
    <w:rsid w:val="009A3722"/>
    <w:rsid w:val="009A3DF5"/>
    <w:rsid w:val="009A4D3F"/>
    <w:rsid w:val="009A4F9D"/>
    <w:rsid w:val="009A50BB"/>
    <w:rsid w:val="009A7D08"/>
    <w:rsid w:val="009B2CF6"/>
    <w:rsid w:val="009B489F"/>
    <w:rsid w:val="009C0E87"/>
    <w:rsid w:val="009C1B8A"/>
    <w:rsid w:val="009C24B2"/>
    <w:rsid w:val="009C27FA"/>
    <w:rsid w:val="009C60EB"/>
    <w:rsid w:val="009C7090"/>
    <w:rsid w:val="009D3D51"/>
    <w:rsid w:val="009D3E45"/>
    <w:rsid w:val="009D40E5"/>
    <w:rsid w:val="009D4584"/>
    <w:rsid w:val="009D4EB4"/>
    <w:rsid w:val="009D67F6"/>
    <w:rsid w:val="009D7EC6"/>
    <w:rsid w:val="009E0FBD"/>
    <w:rsid w:val="009E0FE1"/>
    <w:rsid w:val="009E1E56"/>
    <w:rsid w:val="009E2230"/>
    <w:rsid w:val="009E2321"/>
    <w:rsid w:val="009E5569"/>
    <w:rsid w:val="009E64ED"/>
    <w:rsid w:val="009E6C7D"/>
    <w:rsid w:val="009E6EEE"/>
    <w:rsid w:val="009F1AA7"/>
    <w:rsid w:val="009F1EA2"/>
    <w:rsid w:val="009F3A7F"/>
    <w:rsid w:val="009F56CC"/>
    <w:rsid w:val="009F5901"/>
    <w:rsid w:val="009F673D"/>
    <w:rsid w:val="00A007A3"/>
    <w:rsid w:val="00A00FE3"/>
    <w:rsid w:val="00A01234"/>
    <w:rsid w:val="00A017A5"/>
    <w:rsid w:val="00A0262D"/>
    <w:rsid w:val="00A02923"/>
    <w:rsid w:val="00A03783"/>
    <w:rsid w:val="00A03E9B"/>
    <w:rsid w:val="00A0406E"/>
    <w:rsid w:val="00A05487"/>
    <w:rsid w:val="00A06245"/>
    <w:rsid w:val="00A06FA2"/>
    <w:rsid w:val="00A1107B"/>
    <w:rsid w:val="00A11307"/>
    <w:rsid w:val="00A11B61"/>
    <w:rsid w:val="00A11D6E"/>
    <w:rsid w:val="00A13991"/>
    <w:rsid w:val="00A13AF3"/>
    <w:rsid w:val="00A142C1"/>
    <w:rsid w:val="00A20248"/>
    <w:rsid w:val="00A20548"/>
    <w:rsid w:val="00A21388"/>
    <w:rsid w:val="00A2688F"/>
    <w:rsid w:val="00A268F9"/>
    <w:rsid w:val="00A26F31"/>
    <w:rsid w:val="00A27791"/>
    <w:rsid w:val="00A278A1"/>
    <w:rsid w:val="00A3167B"/>
    <w:rsid w:val="00A34A9A"/>
    <w:rsid w:val="00A34BE5"/>
    <w:rsid w:val="00A35A9F"/>
    <w:rsid w:val="00A35B87"/>
    <w:rsid w:val="00A36734"/>
    <w:rsid w:val="00A36E53"/>
    <w:rsid w:val="00A3732F"/>
    <w:rsid w:val="00A37F2B"/>
    <w:rsid w:val="00A41355"/>
    <w:rsid w:val="00A42AA1"/>
    <w:rsid w:val="00A43904"/>
    <w:rsid w:val="00A43B92"/>
    <w:rsid w:val="00A45AFC"/>
    <w:rsid w:val="00A51CC8"/>
    <w:rsid w:val="00A52D1A"/>
    <w:rsid w:val="00A54251"/>
    <w:rsid w:val="00A543B3"/>
    <w:rsid w:val="00A544EA"/>
    <w:rsid w:val="00A5720E"/>
    <w:rsid w:val="00A5794E"/>
    <w:rsid w:val="00A6146A"/>
    <w:rsid w:val="00A6179E"/>
    <w:rsid w:val="00A61CDC"/>
    <w:rsid w:val="00A64316"/>
    <w:rsid w:val="00A64A90"/>
    <w:rsid w:val="00A65446"/>
    <w:rsid w:val="00A666C9"/>
    <w:rsid w:val="00A7334D"/>
    <w:rsid w:val="00A73FD1"/>
    <w:rsid w:val="00A74F3C"/>
    <w:rsid w:val="00A756E0"/>
    <w:rsid w:val="00A76DEA"/>
    <w:rsid w:val="00A804D9"/>
    <w:rsid w:val="00A81F58"/>
    <w:rsid w:val="00A82235"/>
    <w:rsid w:val="00A8227C"/>
    <w:rsid w:val="00A8503D"/>
    <w:rsid w:val="00A85579"/>
    <w:rsid w:val="00A87096"/>
    <w:rsid w:val="00A925A2"/>
    <w:rsid w:val="00A92F92"/>
    <w:rsid w:val="00A93C35"/>
    <w:rsid w:val="00A96892"/>
    <w:rsid w:val="00A96E95"/>
    <w:rsid w:val="00AA2051"/>
    <w:rsid w:val="00AA23B8"/>
    <w:rsid w:val="00AA23DB"/>
    <w:rsid w:val="00AA2A4F"/>
    <w:rsid w:val="00AA4712"/>
    <w:rsid w:val="00AA4C5C"/>
    <w:rsid w:val="00AA4DF3"/>
    <w:rsid w:val="00AA4F89"/>
    <w:rsid w:val="00AB0C6D"/>
    <w:rsid w:val="00AB2674"/>
    <w:rsid w:val="00AB273B"/>
    <w:rsid w:val="00AB412D"/>
    <w:rsid w:val="00AB52B7"/>
    <w:rsid w:val="00AB642A"/>
    <w:rsid w:val="00AB70AE"/>
    <w:rsid w:val="00AC07F2"/>
    <w:rsid w:val="00AC538E"/>
    <w:rsid w:val="00AC68E3"/>
    <w:rsid w:val="00AD09C1"/>
    <w:rsid w:val="00AD12B5"/>
    <w:rsid w:val="00AD5267"/>
    <w:rsid w:val="00AD5B18"/>
    <w:rsid w:val="00AD6DDD"/>
    <w:rsid w:val="00AE0497"/>
    <w:rsid w:val="00AE2A49"/>
    <w:rsid w:val="00AF0174"/>
    <w:rsid w:val="00AF032E"/>
    <w:rsid w:val="00AF4880"/>
    <w:rsid w:val="00AF61DF"/>
    <w:rsid w:val="00AF67D2"/>
    <w:rsid w:val="00AF6EA2"/>
    <w:rsid w:val="00AF70EA"/>
    <w:rsid w:val="00B0150B"/>
    <w:rsid w:val="00B03035"/>
    <w:rsid w:val="00B034E1"/>
    <w:rsid w:val="00B04A94"/>
    <w:rsid w:val="00B116FA"/>
    <w:rsid w:val="00B1210D"/>
    <w:rsid w:val="00B13369"/>
    <w:rsid w:val="00B15BDE"/>
    <w:rsid w:val="00B17A63"/>
    <w:rsid w:val="00B23F55"/>
    <w:rsid w:val="00B24B1D"/>
    <w:rsid w:val="00B26A32"/>
    <w:rsid w:val="00B277E0"/>
    <w:rsid w:val="00B31BC7"/>
    <w:rsid w:val="00B34946"/>
    <w:rsid w:val="00B37675"/>
    <w:rsid w:val="00B37857"/>
    <w:rsid w:val="00B4064F"/>
    <w:rsid w:val="00B409BF"/>
    <w:rsid w:val="00B43586"/>
    <w:rsid w:val="00B47658"/>
    <w:rsid w:val="00B519FD"/>
    <w:rsid w:val="00B520BC"/>
    <w:rsid w:val="00B52199"/>
    <w:rsid w:val="00B52F64"/>
    <w:rsid w:val="00B5341E"/>
    <w:rsid w:val="00B53FF1"/>
    <w:rsid w:val="00B57847"/>
    <w:rsid w:val="00B57EEB"/>
    <w:rsid w:val="00B60B6D"/>
    <w:rsid w:val="00B62A8B"/>
    <w:rsid w:val="00B63A54"/>
    <w:rsid w:val="00B63D24"/>
    <w:rsid w:val="00B64A27"/>
    <w:rsid w:val="00B67F56"/>
    <w:rsid w:val="00B7397D"/>
    <w:rsid w:val="00B7670B"/>
    <w:rsid w:val="00B76BDD"/>
    <w:rsid w:val="00B8009A"/>
    <w:rsid w:val="00B80547"/>
    <w:rsid w:val="00B808DE"/>
    <w:rsid w:val="00B81852"/>
    <w:rsid w:val="00B81FA5"/>
    <w:rsid w:val="00B82997"/>
    <w:rsid w:val="00B8559B"/>
    <w:rsid w:val="00B85AF5"/>
    <w:rsid w:val="00B87A0E"/>
    <w:rsid w:val="00B90B17"/>
    <w:rsid w:val="00B924E6"/>
    <w:rsid w:val="00B92741"/>
    <w:rsid w:val="00B929C8"/>
    <w:rsid w:val="00B93121"/>
    <w:rsid w:val="00B9427B"/>
    <w:rsid w:val="00BA262D"/>
    <w:rsid w:val="00BA34CB"/>
    <w:rsid w:val="00BA3B1C"/>
    <w:rsid w:val="00BA4AE2"/>
    <w:rsid w:val="00BA4B1F"/>
    <w:rsid w:val="00BA5698"/>
    <w:rsid w:val="00BA7230"/>
    <w:rsid w:val="00BB0F46"/>
    <w:rsid w:val="00BB12DA"/>
    <w:rsid w:val="00BB3411"/>
    <w:rsid w:val="00BB3892"/>
    <w:rsid w:val="00BB4D29"/>
    <w:rsid w:val="00BB7CA0"/>
    <w:rsid w:val="00BC22E3"/>
    <w:rsid w:val="00BC2B42"/>
    <w:rsid w:val="00BC478F"/>
    <w:rsid w:val="00BC4B13"/>
    <w:rsid w:val="00BC63A5"/>
    <w:rsid w:val="00BC7123"/>
    <w:rsid w:val="00BC783E"/>
    <w:rsid w:val="00BC79EB"/>
    <w:rsid w:val="00BD060E"/>
    <w:rsid w:val="00BD104D"/>
    <w:rsid w:val="00BD17DA"/>
    <w:rsid w:val="00BD5F76"/>
    <w:rsid w:val="00BD7754"/>
    <w:rsid w:val="00BD7FCF"/>
    <w:rsid w:val="00BE197C"/>
    <w:rsid w:val="00BE2BB9"/>
    <w:rsid w:val="00BE43E2"/>
    <w:rsid w:val="00BE51CE"/>
    <w:rsid w:val="00BE647D"/>
    <w:rsid w:val="00BE673E"/>
    <w:rsid w:val="00BE7C74"/>
    <w:rsid w:val="00BF3786"/>
    <w:rsid w:val="00BF3B5D"/>
    <w:rsid w:val="00BF4EF0"/>
    <w:rsid w:val="00BF5866"/>
    <w:rsid w:val="00C012A8"/>
    <w:rsid w:val="00C05401"/>
    <w:rsid w:val="00C0662E"/>
    <w:rsid w:val="00C07289"/>
    <w:rsid w:val="00C07743"/>
    <w:rsid w:val="00C10600"/>
    <w:rsid w:val="00C12929"/>
    <w:rsid w:val="00C12A5D"/>
    <w:rsid w:val="00C12E08"/>
    <w:rsid w:val="00C13416"/>
    <w:rsid w:val="00C14D84"/>
    <w:rsid w:val="00C14E2B"/>
    <w:rsid w:val="00C16B56"/>
    <w:rsid w:val="00C20EA0"/>
    <w:rsid w:val="00C21640"/>
    <w:rsid w:val="00C225E8"/>
    <w:rsid w:val="00C2267F"/>
    <w:rsid w:val="00C23729"/>
    <w:rsid w:val="00C239F9"/>
    <w:rsid w:val="00C23DAD"/>
    <w:rsid w:val="00C25BDA"/>
    <w:rsid w:val="00C2718E"/>
    <w:rsid w:val="00C31841"/>
    <w:rsid w:val="00C32187"/>
    <w:rsid w:val="00C33104"/>
    <w:rsid w:val="00C35EB0"/>
    <w:rsid w:val="00C35FA5"/>
    <w:rsid w:val="00C36274"/>
    <w:rsid w:val="00C378E8"/>
    <w:rsid w:val="00C41D7A"/>
    <w:rsid w:val="00C42B9F"/>
    <w:rsid w:val="00C459EB"/>
    <w:rsid w:val="00C464FD"/>
    <w:rsid w:val="00C46687"/>
    <w:rsid w:val="00C5051A"/>
    <w:rsid w:val="00C52765"/>
    <w:rsid w:val="00C52AE7"/>
    <w:rsid w:val="00C558CC"/>
    <w:rsid w:val="00C55946"/>
    <w:rsid w:val="00C56674"/>
    <w:rsid w:val="00C60E3F"/>
    <w:rsid w:val="00C6121D"/>
    <w:rsid w:val="00C6145C"/>
    <w:rsid w:val="00C61DA2"/>
    <w:rsid w:val="00C63EB4"/>
    <w:rsid w:val="00C64497"/>
    <w:rsid w:val="00C64C87"/>
    <w:rsid w:val="00C65B86"/>
    <w:rsid w:val="00C67D51"/>
    <w:rsid w:val="00C72A88"/>
    <w:rsid w:val="00C73FA3"/>
    <w:rsid w:val="00C752EC"/>
    <w:rsid w:val="00C76F10"/>
    <w:rsid w:val="00C774DA"/>
    <w:rsid w:val="00C8018C"/>
    <w:rsid w:val="00C811BE"/>
    <w:rsid w:val="00C8171C"/>
    <w:rsid w:val="00C82FE1"/>
    <w:rsid w:val="00C835BD"/>
    <w:rsid w:val="00C839BF"/>
    <w:rsid w:val="00C83DF7"/>
    <w:rsid w:val="00C84EBF"/>
    <w:rsid w:val="00C854D4"/>
    <w:rsid w:val="00C857D1"/>
    <w:rsid w:val="00C85A7A"/>
    <w:rsid w:val="00C8630D"/>
    <w:rsid w:val="00C86B94"/>
    <w:rsid w:val="00C903E9"/>
    <w:rsid w:val="00C90556"/>
    <w:rsid w:val="00C94B47"/>
    <w:rsid w:val="00C94DE9"/>
    <w:rsid w:val="00CA0D78"/>
    <w:rsid w:val="00CA13B0"/>
    <w:rsid w:val="00CA3751"/>
    <w:rsid w:val="00CA4855"/>
    <w:rsid w:val="00CA48BE"/>
    <w:rsid w:val="00CA4D36"/>
    <w:rsid w:val="00CA4F62"/>
    <w:rsid w:val="00CA7A1F"/>
    <w:rsid w:val="00CA7CEA"/>
    <w:rsid w:val="00CB0CB0"/>
    <w:rsid w:val="00CB16EF"/>
    <w:rsid w:val="00CB207D"/>
    <w:rsid w:val="00CB24FE"/>
    <w:rsid w:val="00CB34B0"/>
    <w:rsid w:val="00CB3BE9"/>
    <w:rsid w:val="00CB4A52"/>
    <w:rsid w:val="00CB5B08"/>
    <w:rsid w:val="00CB62CD"/>
    <w:rsid w:val="00CB75B5"/>
    <w:rsid w:val="00CB7B5E"/>
    <w:rsid w:val="00CC07DC"/>
    <w:rsid w:val="00CC13EF"/>
    <w:rsid w:val="00CC1866"/>
    <w:rsid w:val="00CC3CF4"/>
    <w:rsid w:val="00CC6062"/>
    <w:rsid w:val="00CC6251"/>
    <w:rsid w:val="00CC7F66"/>
    <w:rsid w:val="00CD02DD"/>
    <w:rsid w:val="00CD05D8"/>
    <w:rsid w:val="00CD10CF"/>
    <w:rsid w:val="00CD45A0"/>
    <w:rsid w:val="00CD58FD"/>
    <w:rsid w:val="00CD5EEA"/>
    <w:rsid w:val="00CD63B6"/>
    <w:rsid w:val="00CE1196"/>
    <w:rsid w:val="00CE293B"/>
    <w:rsid w:val="00CE4727"/>
    <w:rsid w:val="00CE6FEE"/>
    <w:rsid w:val="00CE7AE1"/>
    <w:rsid w:val="00CF2B99"/>
    <w:rsid w:val="00CF38FA"/>
    <w:rsid w:val="00CF59FD"/>
    <w:rsid w:val="00CF62F6"/>
    <w:rsid w:val="00CF7EAE"/>
    <w:rsid w:val="00D0142A"/>
    <w:rsid w:val="00D02514"/>
    <w:rsid w:val="00D048B4"/>
    <w:rsid w:val="00D055B9"/>
    <w:rsid w:val="00D057D6"/>
    <w:rsid w:val="00D11648"/>
    <w:rsid w:val="00D1247E"/>
    <w:rsid w:val="00D135E5"/>
    <w:rsid w:val="00D13B86"/>
    <w:rsid w:val="00D144FD"/>
    <w:rsid w:val="00D14596"/>
    <w:rsid w:val="00D20E2E"/>
    <w:rsid w:val="00D2175F"/>
    <w:rsid w:val="00D22FB3"/>
    <w:rsid w:val="00D233AA"/>
    <w:rsid w:val="00D277FA"/>
    <w:rsid w:val="00D30A61"/>
    <w:rsid w:val="00D32857"/>
    <w:rsid w:val="00D333B5"/>
    <w:rsid w:val="00D33A58"/>
    <w:rsid w:val="00D343FA"/>
    <w:rsid w:val="00D35272"/>
    <w:rsid w:val="00D36B5C"/>
    <w:rsid w:val="00D418FF"/>
    <w:rsid w:val="00D43215"/>
    <w:rsid w:val="00D4331D"/>
    <w:rsid w:val="00D44316"/>
    <w:rsid w:val="00D5077C"/>
    <w:rsid w:val="00D513CA"/>
    <w:rsid w:val="00D543E7"/>
    <w:rsid w:val="00D547AD"/>
    <w:rsid w:val="00D55220"/>
    <w:rsid w:val="00D55609"/>
    <w:rsid w:val="00D559F8"/>
    <w:rsid w:val="00D57B3E"/>
    <w:rsid w:val="00D60760"/>
    <w:rsid w:val="00D60CB4"/>
    <w:rsid w:val="00D6517F"/>
    <w:rsid w:val="00D65C76"/>
    <w:rsid w:val="00D67898"/>
    <w:rsid w:val="00D7241D"/>
    <w:rsid w:val="00D72859"/>
    <w:rsid w:val="00D728BA"/>
    <w:rsid w:val="00D72972"/>
    <w:rsid w:val="00D729AD"/>
    <w:rsid w:val="00D729CC"/>
    <w:rsid w:val="00D734C7"/>
    <w:rsid w:val="00D742E9"/>
    <w:rsid w:val="00D81D3A"/>
    <w:rsid w:val="00D82D9B"/>
    <w:rsid w:val="00D8375A"/>
    <w:rsid w:val="00D83905"/>
    <w:rsid w:val="00D8474A"/>
    <w:rsid w:val="00D85255"/>
    <w:rsid w:val="00D86143"/>
    <w:rsid w:val="00D86293"/>
    <w:rsid w:val="00D862AE"/>
    <w:rsid w:val="00D86C5B"/>
    <w:rsid w:val="00D87EFC"/>
    <w:rsid w:val="00D90051"/>
    <w:rsid w:val="00D91450"/>
    <w:rsid w:val="00D934BC"/>
    <w:rsid w:val="00D97BE1"/>
    <w:rsid w:val="00DA0C0C"/>
    <w:rsid w:val="00DA21BB"/>
    <w:rsid w:val="00DA2F73"/>
    <w:rsid w:val="00DA32BC"/>
    <w:rsid w:val="00DA4E92"/>
    <w:rsid w:val="00DA6D3B"/>
    <w:rsid w:val="00DB079B"/>
    <w:rsid w:val="00DB1E97"/>
    <w:rsid w:val="00DB59D7"/>
    <w:rsid w:val="00DB7C76"/>
    <w:rsid w:val="00DC0419"/>
    <w:rsid w:val="00DC0BC1"/>
    <w:rsid w:val="00DC104C"/>
    <w:rsid w:val="00DC12B9"/>
    <w:rsid w:val="00DC193F"/>
    <w:rsid w:val="00DC2963"/>
    <w:rsid w:val="00DC2CA0"/>
    <w:rsid w:val="00DC3AF2"/>
    <w:rsid w:val="00DC435F"/>
    <w:rsid w:val="00DC462F"/>
    <w:rsid w:val="00DC753B"/>
    <w:rsid w:val="00DC7556"/>
    <w:rsid w:val="00DC7789"/>
    <w:rsid w:val="00DD1683"/>
    <w:rsid w:val="00DD2BE3"/>
    <w:rsid w:val="00DD3F47"/>
    <w:rsid w:val="00DD6A21"/>
    <w:rsid w:val="00DD7B5B"/>
    <w:rsid w:val="00DE280D"/>
    <w:rsid w:val="00DE292E"/>
    <w:rsid w:val="00DE3181"/>
    <w:rsid w:val="00DE3988"/>
    <w:rsid w:val="00DE4698"/>
    <w:rsid w:val="00DE562D"/>
    <w:rsid w:val="00DE58D2"/>
    <w:rsid w:val="00DE60CA"/>
    <w:rsid w:val="00DF312E"/>
    <w:rsid w:val="00DF3E45"/>
    <w:rsid w:val="00DF3E68"/>
    <w:rsid w:val="00DF5FE7"/>
    <w:rsid w:val="00DF76DA"/>
    <w:rsid w:val="00E01CFE"/>
    <w:rsid w:val="00E02431"/>
    <w:rsid w:val="00E0352F"/>
    <w:rsid w:val="00E03999"/>
    <w:rsid w:val="00E10027"/>
    <w:rsid w:val="00E1084C"/>
    <w:rsid w:val="00E1215C"/>
    <w:rsid w:val="00E152DD"/>
    <w:rsid w:val="00E158BA"/>
    <w:rsid w:val="00E20446"/>
    <w:rsid w:val="00E219BB"/>
    <w:rsid w:val="00E2260F"/>
    <w:rsid w:val="00E22E12"/>
    <w:rsid w:val="00E239D7"/>
    <w:rsid w:val="00E23DDA"/>
    <w:rsid w:val="00E24FA3"/>
    <w:rsid w:val="00E26875"/>
    <w:rsid w:val="00E26B28"/>
    <w:rsid w:val="00E31465"/>
    <w:rsid w:val="00E328CD"/>
    <w:rsid w:val="00E32E65"/>
    <w:rsid w:val="00E32F4E"/>
    <w:rsid w:val="00E356E2"/>
    <w:rsid w:val="00E35D95"/>
    <w:rsid w:val="00E36B95"/>
    <w:rsid w:val="00E4003F"/>
    <w:rsid w:val="00E40CB1"/>
    <w:rsid w:val="00E41A6C"/>
    <w:rsid w:val="00E43AF3"/>
    <w:rsid w:val="00E44985"/>
    <w:rsid w:val="00E458F6"/>
    <w:rsid w:val="00E45954"/>
    <w:rsid w:val="00E47AA4"/>
    <w:rsid w:val="00E51ED5"/>
    <w:rsid w:val="00E53C96"/>
    <w:rsid w:val="00E5724E"/>
    <w:rsid w:val="00E572A4"/>
    <w:rsid w:val="00E60FFF"/>
    <w:rsid w:val="00E61C62"/>
    <w:rsid w:val="00E62FAB"/>
    <w:rsid w:val="00E6381E"/>
    <w:rsid w:val="00E63DE5"/>
    <w:rsid w:val="00E665FB"/>
    <w:rsid w:val="00E6729B"/>
    <w:rsid w:val="00E71CF0"/>
    <w:rsid w:val="00E7207F"/>
    <w:rsid w:val="00E743F6"/>
    <w:rsid w:val="00E7631F"/>
    <w:rsid w:val="00E815FC"/>
    <w:rsid w:val="00E82DD3"/>
    <w:rsid w:val="00E8307A"/>
    <w:rsid w:val="00E83403"/>
    <w:rsid w:val="00E84336"/>
    <w:rsid w:val="00E844AF"/>
    <w:rsid w:val="00E85C83"/>
    <w:rsid w:val="00E85F5B"/>
    <w:rsid w:val="00E903E1"/>
    <w:rsid w:val="00E90928"/>
    <w:rsid w:val="00E91774"/>
    <w:rsid w:val="00E91D64"/>
    <w:rsid w:val="00E92D92"/>
    <w:rsid w:val="00EA138C"/>
    <w:rsid w:val="00EA243B"/>
    <w:rsid w:val="00EA2539"/>
    <w:rsid w:val="00EA2677"/>
    <w:rsid w:val="00EA30B2"/>
    <w:rsid w:val="00EA383E"/>
    <w:rsid w:val="00EA39AE"/>
    <w:rsid w:val="00EA3D41"/>
    <w:rsid w:val="00EA4259"/>
    <w:rsid w:val="00EA44D9"/>
    <w:rsid w:val="00EA4FA6"/>
    <w:rsid w:val="00EA5462"/>
    <w:rsid w:val="00EA7ECC"/>
    <w:rsid w:val="00EB0DAD"/>
    <w:rsid w:val="00EB3477"/>
    <w:rsid w:val="00EB3D69"/>
    <w:rsid w:val="00EB3FA2"/>
    <w:rsid w:val="00EB41DF"/>
    <w:rsid w:val="00EB43A9"/>
    <w:rsid w:val="00EB4C9F"/>
    <w:rsid w:val="00EB5CD7"/>
    <w:rsid w:val="00EB654F"/>
    <w:rsid w:val="00EB6A76"/>
    <w:rsid w:val="00EB6F37"/>
    <w:rsid w:val="00EC0DBD"/>
    <w:rsid w:val="00EC20AF"/>
    <w:rsid w:val="00EC54BA"/>
    <w:rsid w:val="00EC5E53"/>
    <w:rsid w:val="00ED50C5"/>
    <w:rsid w:val="00ED5A88"/>
    <w:rsid w:val="00ED7AA6"/>
    <w:rsid w:val="00ED7D77"/>
    <w:rsid w:val="00EE0256"/>
    <w:rsid w:val="00EE0459"/>
    <w:rsid w:val="00EE17A2"/>
    <w:rsid w:val="00EE1BCC"/>
    <w:rsid w:val="00EE2048"/>
    <w:rsid w:val="00EE64C2"/>
    <w:rsid w:val="00EF006C"/>
    <w:rsid w:val="00EF0879"/>
    <w:rsid w:val="00EF0AFE"/>
    <w:rsid w:val="00EF3E44"/>
    <w:rsid w:val="00EF47F1"/>
    <w:rsid w:val="00EF6027"/>
    <w:rsid w:val="00EF6D01"/>
    <w:rsid w:val="00EF7034"/>
    <w:rsid w:val="00F01C2E"/>
    <w:rsid w:val="00F03190"/>
    <w:rsid w:val="00F04BBD"/>
    <w:rsid w:val="00F05AA9"/>
    <w:rsid w:val="00F062E0"/>
    <w:rsid w:val="00F073B3"/>
    <w:rsid w:val="00F10B3B"/>
    <w:rsid w:val="00F1290A"/>
    <w:rsid w:val="00F14472"/>
    <w:rsid w:val="00F14C6D"/>
    <w:rsid w:val="00F21B22"/>
    <w:rsid w:val="00F2366F"/>
    <w:rsid w:val="00F258FD"/>
    <w:rsid w:val="00F270DE"/>
    <w:rsid w:val="00F30177"/>
    <w:rsid w:val="00F3041C"/>
    <w:rsid w:val="00F309E7"/>
    <w:rsid w:val="00F30CBD"/>
    <w:rsid w:val="00F3166A"/>
    <w:rsid w:val="00F32B49"/>
    <w:rsid w:val="00F34DAB"/>
    <w:rsid w:val="00F35816"/>
    <w:rsid w:val="00F423D3"/>
    <w:rsid w:val="00F432E4"/>
    <w:rsid w:val="00F43B93"/>
    <w:rsid w:val="00F444B7"/>
    <w:rsid w:val="00F512F1"/>
    <w:rsid w:val="00F51F8C"/>
    <w:rsid w:val="00F53166"/>
    <w:rsid w:val="00F54B82"/>
    <w:rsid w:val="00F551E5"/>
    <w:rsid w:val="00F56046"/>
    <w:rsid w:val="00F564E8"/>
    <w:rsid w:val="00F57EC1"/>
    <w:rsid w:val="00F602E0"/>
    <w:rsid w:val="00F61040"/>
    <w:rsid w:val="00F61803"/>
    <w:rsid w:val="00F62099"/>
    <w:rsid w:val="00F673E1"/>
    <w:rsid w:val="00F720E1"/>
    <w:rsid w:val="00F73FF3"/>
    <w:rsid w:val="00F75EAF"/>
    <w:rsid w:val="00F777E4"/>
    <w:rsid w:val="00F77E2D"/>
    <w:rsid w:val="00F8064E"/>
    <w:rsid w:val="00F81221"/>
    <w:rsid w:val="00F85E23"/>
    <w:rsid w:val="00F8661C"/>
    <w:rsid w:val="00F90018"/>
    <w:rsid w:val="00F93C17"/>
    <w:rsid w:val="00F959B1"/>
    <w:rsid w:val="00F9789A"/>
    <w:rsid w:val="00F97D88"/>
    <w:rsid w:val="00FA1AE0"/>
    <w:rsid w:val="00FA2701"/>
    <w:rsid w:val="00FA3C09"/>
    <w:rsid w:val="00FA4916"/>
    <w:rsid w:val="00FA5142"/>
    <w:rsid w:val="00FA6B0C"/>
    <w:rsid w:val="00FB4247"/>
    <w:rsid w:val="00FB4344"/>
    <w:rsid w:val="00FB7C84"/>
    <w:rsid w:val="00FC106C"/>
    <w:rsid w:val="00FC2A47"/>
    <w:rsid w:val="00FC37A7"/>
    <w:rsid w:val="00FC41A4"/>
    <w:rsid w:val="00FC7243"/>
    <w:rsid w:val="00FC75E0"/>
    <w:rsid w:val="00FD01B5"/>
    <w:rsid w:val="00FD0477"/>
    <w:rsid w:val="00FD31B1"/>
    <w:rsid w:val="00FD324C"/>
    <w:rsid w:val="00FD3F62"/>
    <w:rsid w:val="00FD4157"/>
    <w:rsid w:val="00FD491B"/>
    <w:rsid w:val="00FD5E5C"/>
    <w:rsid w:val="00FD6C0C"/>
    <w:rsid w:val="00FE20F0"/>
    <w:rsid w:val="00FE279E"/>
    <w:rsid w:val="00FE2862"/>
    <w:rsid w:val="00FE3B05"/>
    <w:rsid w:val="00FE5B84"/>
    <w:rsid w:val="00FF1678"/>
    <w:rsid w:val="00FF4C70"/>
    <w:rsid w:val="00FF6B8E"/>
    <w:rsid w:val="00FF7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5:chartTrackingRefBased/>
  <w15:docId w15:val="{CCF4084D-B7A7-4E1F-A81C-9F95CC81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uiPriority="99"/>
    <w:lsdException w:name="endnote text" w:uiPriority="99"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uiPriority w:val="99"/>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uiPriority w:val="99"/>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No Spacing1,No Spacing11"/>
    <w:basedOn w:val="Normal"/>
    <w:link w:val="SubmissionNormalChar"/>
    <w:qFormat/>
    <w:rsid w:val="00B34946"/>
    <w:pPr>
      <w:numPr>
        <w:numId w:val="15"/>
      </w:numPr>
    </w:pPr>
    <w:rPr>
      <w:rFonts w:eastAsia="Times New Roman"/>
    </w:rPr>
  </w:style>
  <w:style w:type="character" w:customStyle="1" w:styleId="SubmissionNormalChar">
    <w:name w:val="Submission Normal Char"/>
    <w:aliases w:val="No Spacing Char,No Spacing1 Char,No Spacing11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
    <w:basedOn w:val="Normal"/>
    <w:link w:val="ListParagraphChar"/>
    <w:uiPriority w:val="34"/>
    <w:qFormat/>
    <w:rsid w:val="00756B0E"/>
    <w:pPr>
      <w:ind w:left="720"/>
      <w:contextualSpacing/>
    </w:pPr>
  </w:style>
  <w:style w:type="character" w:customStyle="1" w:styleId="apple-converted-space">
    <w:name w:val="apple-converted-space"/>
    <w:basedOn w:val="DefaultParagraphFont"/>
    <w:rsid w:val="00AB412D"/>
  </w:style>
  <w:style w:type="paragraph" w:customStyle="1" w:styleId="Default">
    <w:name w:val="Default"/>
    <w:rsid w:val="008C4D4C"/>
    <w:pPr>
      <w:autoSpaceDE w:val="0"/>
      <w:autoSpaceDN w:val="0"/>
      <w:adjustRightInd w:val="0"/>
    </w:pPr>
    <w:rPr>
      <w:rFonts w:ascii="Helvetica Neue" w:hAnsi="Helvetica Neue" w:cs="Helvetica Neue"/>
      <w:color w:val="000000"/>
      <w:sz w:val="24"/>
      <w:szCs w:val="24"/>
    </w:r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qFormat/>
    <w:locked/>
    <w:rsid w:val="001E262D"/>
    <w:rPr>
      <w:rFonts w:ascii="Arial" w:eastAsia="MS Mincho" w:hAnsi="Arial"/>
      <w:sz w:val="24"/>
      <w:szCs w:val="24"/>
    </w:rPr>
  </w:style>
  <w:style w:type="paragraph" w:customStyle="1" w:styleId="sub4">
    <w:name w:val="sub 4"/>
    <w:basedOn w:val="Normal"/>
    <w:qFormat/>
    <w:rsid w:val="00B85AF5"/>
    <w:rPr>
      <w:rFonts w:eastAsia="Times New Roman" w:cs="Arial"/>
      <w:i/>
      <w:color w:val="000000" w:themeColor="text1"/>
      <w:lang w:val="en"/>
    </w:rPr>
  </w:style>
  <w:style w:type="character" w:customStyle="1" w:styleId="A14">
    <w:name w:val="A14"/>
    <w:uiPriority w:val="99"/>
    <w:rsid w:val="00354FC3"/>
    <w:rPr>
      <w:rFonts w:cs="HelveticaNeueLT Pro 55 Roman"/>
      <w:color w:val="000000"/>
      <w:sz w:val="17"/>
      <w:szCs w:val="17"/>
    </w:rPr>
  </w:style>
  <w:style w:type="character" w:styleId="CommentReference">
    <w:name w:val="annotation reference"/>
    <w:basedOn w:val="DefaultParagraphFont"/>
    <w:unhideWhenUsed/>
    <w:locked/>
    <w:rsid w:val="00D559F8"/>
    <w:rPr>
      <w:sz w:val="16"/>
      <w:szCs w:val="16"/>
    </w:rPr>
  </w:style>
  <w:style w:type="paragraph" w:styleId="CommentText">
    <w:name w:val="annotation text"/>
    <w:basedOn w:val="Normal"/>
    <w:link w:val="CommentTextChar"/>
    <w:unhideWhenUsed/>
    <w:locked/>
    <w:rsid w:val="00D559F8"/>
    <w:rPr>
      <w:rFonts w:eastAsia="Times New Roman"/>
      <w:sz w:val="20"/>
      <w:szCs w:val="20"/>
    </w:rPr>
  </w:style>
  <w:style w:type="character" w:customStyle="1" w:styleId="CommentTextChar">
    <w:name w:val="Comment Text Char"/>
    <w:basedOn w:val="DefaultParagraphFont"/>
    <w:link w:val="CommentText"/>
    <w:rsid w:val="00D559F8"/>
    <w:rPr>
      <w:rFonts w:ascii="Arial" w:hAnsi="Arial"/>
    </w:rPr>
  </w:style>
  <w:style w:type="paragraph" w:styleId="CommentSubject">
    <w:name w:val="annotation subject"/>
    <w:basedOn w:val="CommentText"/>
    <w:next w:val="CommentText"/>
    <w:link w:val="CommentSubjectChar"/>
    <w:locked/>
    <w:rsid w:val="000D41AD"/>
    <w:rPr>
      <w:rFonts w:eastAsia="MS Mincho"/>
      <w:b/>
      <w:bCs/>
    </w:rPr>
  </w:style>
  <w:style w:type="character" w:customStyle="1" w:styleId="CommentSubjectChar">
    <w:name w:val="Comment Subject Char"/>
    <w:basedOn w:val="CommentTextChar"/>
    <w:link w:val="CommentSubject"/>
    <w:rsid w:val="000D41AD"/>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2276">
      <w:bodyDiv w:val="1"/>
      <w:marLeft w:val="0"/>
      <w:marRight w:val="0"/>
      <w:marTop w:val="0"/>
      <w:marBottom w:val="0"/>
      <w:divBdr>
        <w:top w:val="none" w:sz="0" w:space="0" w:color="auto"/>
        <w:left w:val="none" w:sz="0" w:space="0" w:color="auto"/>
        <w:bottom w:val="none" w:sz="0" w:space="0" w:color="auto"/>
        <w:right w:val="none" w:sz="0" w:space="0" w:color="auto"/>
      </w:divBdr>
    </w:div>
    <w:div w:id="211384462">
      <w:bodyDiv w:val="1"/>
      <w:marLeft w:val="0"/>
      <w:marRight w:val="0"/>
      <w:marTop w:val="0"/>
      <w:marBottom w:val="0"/>
      <w:divBdr>
        <w:top w:val="none" w:sz="0" w:space="0" w:color="auto"/>
        <w:left w:val="none" w:sz="0" w:space="0" w:color="auto"/>
        <w:bottom w:val="none" w:sz="0" w:space="0" w:color="auto"/>
        <w:right w:val="none" w:sz="0" w:space="0" w:color="auto"/>
      </w:divBdr>
    </w:div>
    <w:div w:id="291522440">
      <w:bodyDiv w:val="1"/>
      <w:marLeft w:val="0"/>
      <w:marRight w:val="0"/>
      <w:marTop w:val="0"/>
      <w:marBottom w:val="0"/>
      <w:divBdr>
        <w:top w:val="none" w:sz="0" w:space="0" w:color="auto"/>
        <w:left w:val="none" w:sz="0" w:space="0" w:color="auto"/>
        <w:bottom w:val="none" w:sz="0" w:space="0" w:color="auto"/>
        <w:right w:val="none" w:sz="0" w:space="0" w:color="auto"/>
      </w:divBdr>
    </w:div>
    <w:div w:id="368800354">
      <w:bodyDiv w:val="1"/>
      <w:marLeft w:val="0"/>
      <w:marRight w:val="0"/>
      <w:marTop w:val="0"/>
      <w:marBottom w:val="0"/>
      <w:divBdr>
        <w:top w:val="none" w:sz="0" w:space="0" w:color="auto"/>
        <w:left w:val="none" w:sz="0" w:space="0" w:color="auto"/>
        <w:bottom w:val="none" w:sz="0" w:space="0" w:color="auto"/>
        <w:right w:val="none" w:sz="0" w:space="0" w:color="auto"/>
      </w:divBdr>
      <w:divsChild>
        <w:div w:id="428818667">
          <w:marLeft w:val="45"/>
          <w:marRight w:val="45"/>
          <w:marTop w:val="15"/>
          <w:marBottom w:val="0"/>
          <w:divBdr>
            <w:top w:val="none" w:sz="0" w:space="0" w:color="auto"/>
            <w:left w:val="none" w:sz="0" w:space="0" w:color="auto"/>
            <w:bottom w:val="none" w:sz="0" w:space="0" w:color="auto"/>
            <w:right w:val="none" w:sz="0" w:space="0" w:color="auto"/>
          </w:divBdr>
          <w:divsChild>
            <w:div w:id="7668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3539">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2028005">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9438895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03437781">
      <w:bodyDiv w:val="1"/>
      <w:marLeft w:val="0"/>
      <w:marRight w:val="0"/>
      <w:marTop w:val="0"/>
      <w:marBottom w:val="0"/>
      <w:divBdr>
        <w:top w:val="none" w:sz="0" w:space="0" w:color="auto"/>
        <w:left w:val="none" w:sz="0" w:space="0" w:color="auto"/>
        <w:bottom w:val="none" w:sz="0" w:space="0" w:color="auto"/>
        <w:right w:val="none" w:sz="0" w:space="0" w:color="auto"/>
      </w:divBdr>
    </w:div>
    <w:div w:id="1020425655">
      <w:bodyDiv w:val="1"/>
      <w:marLeft w:val="0"/>
      <w:marRight w:val="0"/>
      <w:marTop w:val="0"/>
      <w:marBottom w:val="0"/>
      <w:divBdr>
        <w:top w:val="none" w:sz="0" w:space="0" w:color="auto"/>
        <w:left w:val="none" w:sz="0" w:space="0" w:color="auto"/>
        <w:bottom w:val="none" w:sz="0" w:space="0" w:color="auto"/>
        <w:right w:val="none" w:sz="0" w:space="0" w:color="auto"/>
      </w:divBdr>
    </w:div>
    <w:div w:id="1033572914">
      <w:bodyDiv w:val="1"/>
      <w:marLeft w:val="0"/>
      <w:marRight w:val="0"/>
      <w:marTop w:val="0"/>
      <w:marBottom w:val="0"/>
      <w:divBdr>
        <w:top w:val="none" w:sz="0" w:space="0" w:color="auto"/>
        <w:left w:val="none" w:sz="0" w:space="0" w:color="auto"/>
        <w:bottom w:val="none" w:sz="0" w:space="0" w:color="auto"/>
        <w:right w:val="none" w:sz="0" w:space="0" w:color="auto"/>
      </w:divBdr>
    </w:div>
    <w:div w:id="1322197800">
      <w:bodyDiv w:val="1"/>
      <w:marLeft w:val="0"/>
      <w:marRight w:val="0"/>
      <w:marTop w:val="0"/>
      <w:marBottom w:val="0"/>
      <w:divBdr>
        <w:top w:val="none" w:sz="0" w:space="0" w:color="auto"/>
        <w:left w:val="none" w:sz="0" w:space="0" w:color="auto"/>
        <w:bottom w:val="none" w:sz="0" w:space="0" w:color="auto"/>
        <w:right w:val="none" w:sz="0" w:space="0" w:color="auto"/>
      </w:divBdr>
    </w:div>
    <w:div w:id="1413426351">
      <w:bodyDiv w:val="1"/>
      <w:marLeft w:val="0"/>
      <w:marRight w:val="0"/>
      <w:marTop w:val="0"/>
      <w:marBottom w:val="0"/>
      <w:divBdr>
        <w:top w:val="none" w:sz="0" w:space="0" w:color="auto"/>
        <w:left w:val="none" w:sz="0" w:space="0" w:color="auto"/>
        <w:bottom w:val="none" w:sz="0" w:space="0" w:color="auto"/>
        <w:right w:val="none" w:sz="0" w:space="0" w:color="auto"/>
      </w:divBdr>
    </w:div>
    <w:div w:id="1444574421">
      <w:bodyDiv w:val="1"/>
      <w:marLeft w:val="0"/>
      <w:marRight w:val="0"/>
      <w:marTop w:val="0"/>
      <w:marBottom w:val="0"/>
      <w:divBdr>
        <w:top w:val="none" w:sz="0" w:space="0" w:color="auto"/>
        <w:left w:val="none" w:sz="0" w:space="0" w:color="auto"/>
        <w:bottom w:val="none" w:sz="0" w:space="0" w:color="auto"/>
        <w:right w:val="none" w:sz="0" w:space="0" w:color="auto"/>
      </w:divBdr>
    </w:div>
    <w:div w:id="1990354427">
      <w:bodyDiv w:val="1"/>
      <w:marLeft w:val="0"/>
      <w:marRight w:val="0"/>
      <w:marTop w:val="0"/>
      <w:marBottom w:val="0"/>
      <w:divBdr>
        <w:top w:val="none" w:sz="0" w:space="0" w:color="auto"/>
        <w:left w:val="none" w:sz="0" w:space="0" w:color="auto"/>
        <w:bottom w:val="none" w:sz="0" w:space="0" w:color="auto"/>
        <w:right w:val="none" w:sz="0" w:space="0" w:color="auto"/>
      </w:divBdr>
    </w:div>
    <w:div w:id="200962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26" Type="http://schemas.openxmlformats.org/officeDocument/2006/relationships/hyperlink" Target="http://www.malcolmturnbull.com.au/media/release-womens-safety-package-to-stoptheviolence" TargetMode="External"/><Relationship Id="rId117" Type="http://schemas.openxmlformats.org/officeDocument/2006/relationships/hyperlink" Target="http://www.pc.gov.au/inquiries/completed/parental-support/report" TargetMode="External"/><Relationship Id="rId21" Type="http://schemas.openxmlformats.org/officeDocument/2006/relationships/hyperlink" Target="http://www.abs.gov.au/ausstats/abs@.nsf/Lookup/by%20Subject/4125.0~August%202016~Main%20Features~In%20This%20Issue%20~1" TargetMode="External"/><Relationship Id="rId42" Type="http://schemas.openxmlformats.org/officeDocument/2006/relationships/hyperlink" Target="http://www.aph.gov.au/DocumentStore.ashx?id=b31da34f-51e6-4382-8c7e-db3f54e2cd96" TargetMode="External"/><Relationship Id="rId47" Type="http://schemas.openxmlformats.org/officeDocument/2006/relationships/hyperlink" Target="https://www.humanrights.gov.au/our-work/sex-discrimination/projects/working-without-fear-results-sexual-harassment-national" TargetMode="External"/><Relationship Id="rId63" Type="http://schemas.openxmlformats.org/officeDocument/2006/relationships/hyperlink" Target="http://www.humanrights.gov.au/news/speeches/annual-david-simmons-address" TargetMode="External"/><Relationship Id="rId68" Type="http://schemas.openxmlformats.org/officeDocument/2006/relationships/hyperlink" Target="https://www.parliament.nsw.gov.au/committees/inquiries/Pages/inquiry-details.aspx?pk=2387" TargetMode="External"/><Relationship Id="rId84" Type="http://schemas.openxmlformats.org/officeDocument/2006/relationships/hyperlink" Target="https://www.dss.gov.au/families-and-children/programs-services/welfare-quarantining/cashless-debit-card-trial-evaluation-reports" TargetMode="External"/><Relationship Id="rId89" Type="http://schemas.openxmlformats.org/officeDocument/2006/relationships/hyperlink" Target="http://www.minister.border.gov.au/peterdutton/Pages/last-chance-for-ima-applications-sept-2017.aspx" TargetMode="External"/><Relationship Id="rId112" Type="http://schemas.openxmlformats.org/officeDocument/2006/relationships/hyperlink" Target="https://www.virginaustralia.com/cs/groups/internetcontent/@wc/documents/webcontent/~edisp/sustainability-report.pdf" TargetMode="External"/><Relationship Id="rId16" Type="http://schemas.openxmlformats.org/officeDocument/2006/relationships/hyperlink" Target="http://www.abs.gov.au/ausstats/abs@.nsf/mf/4906.0" TargetMode="External"/><Relationship Id="rId107" Type="http://schemas.openxmlformats.org/officeDocument/2006/relationships/hyperlink" Target="https://www.dcsi.sa.gov.au/services/latest-news/media-releases-2015/paid-leave-to-help-break-the-cycle-of-domestic-violence" TargetMode="External"/><Relationship Id="rId11" Type="http://schemas.openxmlformats.org/officeDocument/2006/relationships/hyperlink" Target="http://defencereview.humanrights.gov.au/report-review-treatment-women-australian-defence-force-academy" TargetMode="External"/><Relationship Id="rId24" Type="http://schemas.openxmlformats.org/officeDocument/2006/relationships/hyperlink" Target="https://www.dss.gov.au/sites/default/files/documents/08_2014/national_plan_accessible.pdf" TargetMode="External"/><Relationship Id="rId32" Type="http://schemas.openxmlformats.org/officeDocument/2006/relationships/hyperlink" Target="http://www.aph.gov.au/Parliamentary_Business/Committees/Senate/Finance_and_Public_Administration/DV_and_Gender_Inequality" TargetMode="External"/><Relationship Id="rId37" Type="http://schemas.openxmlformats.org/officeDocument/2006/relationships/hyperlink" Target="http://www.coag.gov.au/sites/default/files/communique/COAGAdvisoryPanelonReducingViolenceagainstWomenandtheirChildren-FinalReport.pdf" TargetMode="External"/><Relationship Id="rId40" Type="http://schemas.openxmlformats.org/officeDocument/2006/relationships/hyperlink" Target="https://www.pwd.org.au/documents/temp/FS_Violence_WWD's.pdf" TargetMode="External"/><Relationship Id="rId45" Type="http://schemas.openxmlformats.org/officeDocument/2006/relationships/hyperlink" Target="http://www.aph.gov.au/DocumentStore.ashx?id=3d3c9b64-7a59-4e30-bd96-e38d52fe85c8&amp;subId=16108" TargetMode="External"/><Relationship Id="rId53" Type="http://schemas.openxmlformats.org/officeDocument/2006/relationships/hyperlink" Target="https://www.isra.org.au/site/user-assets/Islamophobia%20in%20Australia.pdf" TargetMode="External"/><Relationship Id="rId58" Type="http://schemas.openxmlformats.org/officeDocument/2006/relationships/hyperlink" Target="https://www.humanrights.gov.au/our-work/sex-discrimination/projects/conversation-gender-equality-2017" TargetMode="External"/><Relationship Id="rId66" Type="http://schemas.openxmlformats.org/officeDocument/2006/relationships/hyperlink" Target="https://aifs.gov.au/publications/elder-abuse/2-whatelder-abuse" TargetMode="External"/><Relationship Id="rId74" Type="http://schemas.openxmlformats.org/officeDocument/2006/relationships/hyperlink" Target="http://www.ohchr.org/EN/Issues/Trafficking/Pages/Visits.aspx" TargetMode="External"/><Relationship Id="rId79" Type="http://schemas.openxmlformats.org/officeDocument/2006/relationships/hyperlink" Target="https://www.pm.gov.au/media/2016-07-28/royal-commission-child-protection-and-youth-detention-systems-northern-territory" TargetMode="External"/><Relationship Id="rId87" Type="http://schemas.openxmlformats.org/officeDocument/2006/relationships/hyperlink" Target="https://www.theguardian.com/australia-news/2016/aug/13/immigration-stalled-on-requests-for-victims-family-to-join-her-nauru-files-show" TargetMode="External"/><Relationship Id="rId102" Type="http://schemas.openxmlformats.org/officeDocument/2006/relationships/hyperlink" Target="http://wesnet.org.au/wp-content/uploads/2011/05/homesafehome.pdf" TargetMode="External"/><Relationship Id="rId110" Type="http://schemas.openxmlformats.org/officeDocument/2006/relationships/hyperlink" Target="http://www.afr.com/news/policy/industrial-relations/telstra-introduces-domestic-violence-leave-20150113-12na7h" TargetMode="External"/><Relationship Id="rId115" Type="http://schemas.openxmlformats.org/officeDocument/2006/relationships/hyperlink" Target="https://www.fwc.gov.au/sites/awardsmodernfouryr/common/am2051-sub-ahrc-120516.pdf" TargetMode="External"/><Relationship Id="rId5" Type="http://schemas.openxmlformats.org/officeDocument/2006/relationships/hyperlink" Target="http://www.aph.gov.au/DocumentStore.ashx?id=98e7d00c-885a-46da-a50c-aaf0d19bf6ea&amp;subId=410058" TargetMode="External"/><Relationship Id="rId61" Type="http://schemas.openxmlformats.org/officeDocument/2006/relationships/hyperlink" Target="https://www.humanrights.gov.au/our-work/disability-rights/publications/willing-work-national-inquiry-employment-discrimination" TargetMode="External"/><Relationship Id="rId82" Type="http://schemas.openxmlformats.org/officeDocument/2006/relationships/hyperlink" Target="http://www.aph.gov.au/Parliamentary_Business/Committees/Joint/Human_Rights/Committee_Inquiries/strongerfutures2/Final_report" TargetMode="External"/><Relationship Id="rId90" Type="http://schemas.openxmlformats.org/officeDocument/2006/relationships/hyperlink" Target="https://www.humanrights.gov.au/australia-s-implementation-convention-elimination-all-forms-discrimination-against-women-cedaw-2010" TargetMode="External"/><Relationship Id="rId95" Type="http://schemas.openxmlformats.org/officeDocument/2006/relationships/hyperlink" Target="https://www.pmc.gov.au/resource-centre/office-women/gender-balance-australian-government-boards-report-2015-16" TargetMode="External"/><Relationship Id="rId19" Type="http://schemas.openxmlformats.org/officeDocument/2006/relationships/hyperlink" Target="http://www.abs.gov.au/ausstats/abs@.nsf/Lookup/by%20Subject/4125.0~August%202016~Main%20Features~In%20This%20Issue%20~1" TargetMode="External"/><Relationship Id="rId14" Type="http://schemas.openxmlformats.org/officeDocument/2006/relationships/hyperlink" Target="https://www.humanrights.gov.au/our-work/sex-discrimination/projects/conversation-gender-equality-2017" TargetMode="External"/><Relationship Id="rId22" Type="http://schemas.openxmlformats.org/officeDocument/2006/relationships/hyperlink" Target="https://www.wgea.gov.au/sites/default/.../80653_2015-16-gender-equality-scorecard.pdf" TargetMode="External"/><Relationship Id="rId27" Type="http://schemas.openxmlformats.org/officeDocument/2006/relationships/hyperlink" Target="https://www.humanrights.gov.au/sites/default/files/document/publication/AHRC_2016_12_19_Expanding_DV_Death_Review.pdf" TargetMode="External"/><Relationship Id="rId30" Type="http://schemas.openxmlformats.org/officeDocument/2006/relationships/hyperlink" Target="https://www.humanrights.gov.au/australias-universal-periodic-review-human-rights" TargetMode="External"/><Relationship Id="rId35" Type="http://schemas.openxmlformats.org/officeDocument/2006/relationships/hyperlink" Target="http://www.humanrights.gov.au/our-work/disability-rights/projects/shaping-our-future-discussions-disability-rights" TargetMode="External"/><Relationship Id="rId43" Type="http://schemas.openxmlformats.org/officeDocument/2006/relationships/hyperlink" Target="http://www.stvp.org.au/Resource-Compendium.html" TargetMode="External"/><Relationship Id="rId48" Type="http://schemas.openxmlformats.org/officeDocument/2006/relationships/hyperlink" Target="https://www.humanrights.gov.au/sites/default/files/document/publication/AHRC_2017_ChangeTheCourse_UniversityReport.pdf" TargetMode="External"/><Relationship Id="rId56" Type="http://schemas.openxmlformats.org/officeDocument/2006/relationships/hyperlink" Target="https://www.humanrights.gov.au/our-work/race-discrimination/projects/isma-listen-national-consultations-eliminating-prejudice" TargetMode="External"/><Relationship Id="rId64" Type="http://schemas.openxmlformats.org/officeDocument/2006/relationships/hyperlink" Target="https://aifs.gov.au/publications/elder-abuse/2-whatelder-abuse" TargetMode="External"/><Relationship Id="rId69" Type="http://schemas.openxmlformats.org/officeDocument/2006/relationships/hyperlink" Target="http://www.rcfv.com.au/Report-Recommendations" TargetMode="External"/><Relationship Id="rId77" Type="http://schemas.openxmlformats.org/officeDocument/2006/relationships/hyperlink" Target="http://www.aph.gov.au/DocumentStore.ashx?id=dedb38e1-e23a-44fb-99be-9f4bea82f9ba&amp;subId=409138" TargetMode="External"/><Relationship Id="rId100" Type="http://schemas.openxmlformats.org/officeDocument/2006/relationships/hyperlink" Target="https://www.g20.org/Content/EN/StatischeSeiten/G20/Texte/2017-01-12-erfolge-g20-en.html" TargetMode="External"/><Relationship Id="rId105" Type="http://schemas.openxmlformats.org/officeDocument/2006/relationships/hyperlink" Target="http://www.abc.net.au/unleashed/4516492.html" TargetMode="External"/><Relationship Id="rId113" Type="http://schemas.openxmlformats.org/officeDocument/2006/relationships/hyperlink" Target="http://malechampionsofchange.com/domestic-violence-is-a-workplace-issue/" TargetMode="External"/><Relationship Id="rId118" Type="http://schemas.openxmlformats.org/officeDocument/2006/relationships/hyperlink" Target="http://www.pc.gov.au/inquiries/completed/parental-support/report" TargetMode="External"/><Relationship Id="rId8" Type="http://schemas.openxmlformats.org/officeDocument/2006/relationships/hyperlink" Target="http://knowtheline.humanrights.gov.au" TargetMode="External"/><Relationship Id="rId51" Type="http://schemas.openxmlformats.org/officeDocument/2006/relationships/hyperlink" Target="https://www.humanrights.gov.au/our-work/sexual-orientation-sex-gender-identity/publications/resilient-individuals-sexual" TargetMode="External"/><Relationship Id="rId72" Type="http://schemas.openxmlformats.org/officeDocument/2006/relationships/hyperlink" Target="https://www.ag.gov.au/CrimeAndCorruption/HumanTrafficking/Pages/Australias-response-to-human-trafficking.aspx" TargetMode="External"/><Relationship Id="rId80" Type="http://schemas.openxmlformats.org/officeDocument/2006/relationships/hyperlink" Target="https://www.humanrights.gov.au/our-work/aboriginal-and-torres-strait-islander-social-justice/publications/social-justice-and-nati-1" TargetMode="External"/><Relationship Id="rId85" Type="http://schemas.openxmlformats.org/officeDocument/2006/relationships/hyperlink" Target="http://www.humanrights.gov.au/sites/default/files/document/publication/section_501_paper.pdf" TargetMode="External"/><Relationship Id="rId93" Type="http://schemas.openxmlformats.org/officeDocument/2006/relationships/hyperlink" Target="https://aicd.companydirectors.com.au/advocacy/board-diversity/30-per-cent-by-2018-gender-diversity-target-slipping-out-of-reach" TargetMode="External"/><Relationship Id="rId98" Type="http://schemas.openxmlformats.org/officeDocument/2006/relationships/hyperlink" Target="http://www.aph.gov.au/Parliamentary_Business/Committees/Senate/Finance_and_Public_Administration/Gendersegregation/Report" TargetMode="External"/><Relationship Id="rId3" Type="http://schemas.openxmlformats.org/officeDocument/2006/relationships/hyperlink" Target="http://www.aph.gov.au/Parliamentary_Business/Committees/Senate/Community_Affairs/FairerParentalLeave2016/Submissions" TargetMode="External"/><Relationship Id="rId12" Type="http://schemas.openxmlformats.org/officeDocument/2006/relationships/hyperlink" Target="http://defencereview.humanrights.gov.au/report-review-treatment-women-australian-defence-force" TargetMode="External"/><Relationship Id="rId17" Type="http://schemas.openxmlformats.org/officeDocument/2006/relationships/hyperlink" Target="https://anrows.org.au/publications/fast-facts-0/violence-against-women-key-statistics%20" TargetMode="External"/><Relationship Id="rId25" Type="http://schemas.openxmlformats.org/officeDocument/2006/relationships/hyperlink" Target="https://www.coag.gov.au/meeting-outcomes/coag-meeting-communiqu%C3%A9-17-april-2015" TargetMode="External"/><Relationship Id="rId33" Type="http://schemas.openxmlformats.org/officeDocument/2006/relationships/hyperlink" Target="http://closingthegap.pmc.gov.au/sites/default/files/ctg-report-2017.pdf" TargetMode="External"/><Relationship Id="rId38" Type="http://schemas.openxmlformats.org/officeDocument/2006/relationships/hyperlink" Target="https://www.dss.gov.au/women/programs-services/reducing-violence/third-action-plan" TargetMode="External"/><Relationship Id="rId46" Type="http://schemas.openxmlformats.org/officeDocument/2006/relationships/hyperlink" Target="https://www.humanrights.gov.au/our-work/sex-discrimination/projects/working-without-fear-results-sexual-harassment-national" TargetMode="External"/><Relationship Id="rId59" Type="http://schemas.openxmlformats.org/officeDocument/2006/relationships/hyperlink" Target="https://www.humanrights.gov.au/our-work/sex-discrimination/projects/conversation-gender-equality-2017" TargetMode="External"/><Relationship Id="rId67" Type="http://schemas.openxmlformats.org/officeDocument/2006/relationships/hyperlink" Target="http://www.parliament.qld.gov.au/documents/tableOffice/TabledPapers/2015/5515T876.pdf" TargetMode="External"/><Relationship Id="rId103" Type="http://schemas.openxmlformats.org/officeDocument/2006/relationships/hyperlink" Target="https://www.humanrights.gov.au/consolidation-commonwealth-discrimination-law-domestic-and-family-violence" TargetMode="External"/><Relationship Id="rId108" Type="http://schemas.openxmlformats.org/officeDocument/2006/relationships/hyperlink" Target="http://www.cmd.act.gov.au/__data/assets/pdf_file/0010/912934/Leave-for-Domestic-Violence-Purposes-Advice.pdf" TargetMode="External"/><Relationship Id="rId116" Type="http://schemas.openxmlformats.org/officeDocument/2006/relationships/hyperlink" Target="https://www.fwc.gov.au/awards-agreements/awards/modern-award-reviews/4-yearly-review/common-issues/am20151-family-and" TargetMode="External"/><Relationship Id="rId20" Type="http://schemas.openxmlformats.org/officeDocument/2006/relationships/hyperlink" Target="http://www.censusdata.abs.gov.au/census_services/getproduct/census/2016/communityprofile/036?opendocument" TargetMode="External"/><Relationship Id="rId41" Type="http://schemas.openxmlformats.org/officeDocument/2006/relationships/hyperlink" Target="http://www.aph.gov.au/Parliamentary_Business/Committees/Senate/Community_Affairs/Violence_abuse_neglect/Report" TargetMode="External"/><Relationship Id="rId54" Type="http://schemas.openxmlformats.org/officeDocument/2006/relationships/hyperlink" Target="https://www.westernsydney.edu.au/__data/assets/pdf_file/0008/988793/12441_text_challenging_racism_WEB.pdf" TargetMode="External"/><Relationship Id="rId62" Type="http://schemas.openxmlformats.org/officeDocument/2006/relationships/hyperlink" Target="https://urbis.com.au/insights-news/wesley-mission-report-reveals-queenslands-older-women-poverty-experiences/" TargetMode="External"/><Relationship Id="rId70" Type="http://schemas.openxmlformats.org/officeDocument/2006/relationships/hyperlink" Target="http://www.liberal.org.au/coalitions-policy-protect-rights-older-australians" TargetMode="External"/><Relationship Id="rId75" Type="http://schemas.openxmlformats.org/officeDocument/2006/relationships/hyperlink" Target="http://www.aph.gov.au/parliamentary_business/committees/house_of_representatives_committees?url=jfadt/slavery_people_trafficking/report.htm" TargetMode="External"/><Relationship Id="rId83" Type="http://schemas.openxmlformats.org/officeDocument/2006/relationships/hyperlink" Target="https://www.dss.gov.au/families-and-children/programs-services/welfare-quarantining/cashless-debit-card-trial-evaluation-reports" TargetMode="External"/><Relationship Id="rId88" Type="http://schemas.openxmlformats.org/officeDocument/2006/relationships/hyperlink" Target="http://www.abc.net.au/news/2017-08-27/asylum-seekers-income-and-accommodation-to-be-cut-back/8846470" TargetMode="External"/><Relationship Id="rId91" Type="http://schemas.openxmlformats.org/officeDocument/2006/relationships/hyperlink" Target="https://www.humanrights.gov.au/submissions/gender-segregation-workplace-and-its-impact-women-s-economic-equality" TargetMode="External"/><Relationship Id="rId96" Type="http://schemas.openxmlformats.org/officeDocument/2006/relationships/hyperlink" Target="https://www.pmc.gov.au/resource-centre/office-women/gender-balance-australian-government-boards-report-2015-16" TargetMode="External"/><Relationship Id="rId111" Type="http://schemas.openxmlformats.org/officeDocument/2006/relationships/hyperlink" Target="http://www.nab.com.au/about-us/media/media-releases-2013/nab-leads-the-industry-in-domestic-violence-support" TargetMode="External"/><Relationship Id="rId1" Type="http://schemas.openxmlformats.org/officeDocument/2006/relationships/hyperlink" Target="https://www.humanrights.gov.au/submissions/violence-against-women-australia-2017" TargetMode="External"/><Relationship Id="rId6" Type="http://schemas.openxmlformats.org/officeDocument/2006/relationships/hyperlink" Target="https://www.fwc.gov.au/sites/awardsmodernfouryr/common/am2051-sub-ahrc-120516.pdf" TargetMode="External"/><Relationship Id="rId15" Type="http://schemas.openxmlformats.org/officeDocument/2006/relationships/hyperlink" Target="https://www.humanrights.gov.au/our-work/sex-discrimination/projects/conversation-gender-equality-2017" TargetMode="External"/><Relationship Id="rId23" Type="http://schemas.openxmlformats.org/officeDocument/2006/relationships/hyperlink" Target="https://www.wgea.gov.au/sites/default/.../80653_2015-16-gender-equality-scorecard.pdf" TargetMode="External"/><Relationship Id="rId28" Type="http://schemas.openxmlformats.org/officeDocument/2006/relationships/hyperlink" Target="https://www.vichealth.vic.gov.au/media-and-resources/publications/violence-against-women-in-australia-research-summary" TargetMode="External"/><Relationship Id="rId36" Type="http://schemas.openxmlformats.org/officeDocument/2006/relationships/hyperlink" Target="http://www.humanrights.gov.au/our-work/sex-discrimination/publications/conversation-gender-equality-2017" TargetMode="External"/><Relationship Id="rId49" Type="http://schemas.openxmlformats.org/officeDocument/2006/relationships/hyperlink" Target="http://www.abs.gov.au/ausstats/abs@.nsf/Lookup/by%20Subject/3303.0~2015~Main%20Features~Intentional%20self-harm:%20key%20characteristics~8" TargetMode="External"/><Relationship Id="rId57" Type="http://schemas.openxmlformats.org/officeDocument/2006/relationships/hyperlink" Target="https://www.humanrights.gov.au/our-work/sex-discrimination/projects/conversation-gender-equality-2017" TargetMode="External"/><Relationship Id="rId106" Type="http://schemas.openxmlformats.org/officeDocument/2006/relationships/hyperlink" Target="http://www.premier.vic.gov.au/victoria-to-lead-the-way-on-family-violence-leave" TargetMode="External"/><Relationship Id="rId114" Type="http://schemas.openxmlformats.org/officeDocument/2006/relationships/hyperlink" Target="http://www.actu.org.au/actu-media/media-releases/2016/case-for-paid-family-and-domestic-violence-leave-commences-at-fair-work-commission" TargetMode="External"/><Relationship Id="rId119" Type="http://schemas.openxmlformats.org/officeDocument/2006/relationships/hyperlink" Target="http://www.humanrights.gov.au/submission-inquiry-paid-maternity-paternity-and-parental-leave-2008" TargetMode="External"/><Relationship Id="rId10" Type="http://schemas.openxmlformats.org/officeDocument/2006/relationships/hyperlink" Target="https://www.humanrights.gov.au/our-work/sex-discrimination/projects/working-without-fear-results-sexual-harassment-national" TargetMode="External"/><Relationship Id="rId31" Type="http://schemas.openxmlformats.org/officeDocument/2006/relationships/hyperlink" Target="http://www.aph.gov.au/Parliamentary_Business/Committees/Senate/Community_Affairs/Violence_abuse_neglect" TargetMode="External"/><Relationship Id="rId44" Type="http://schemas.openxmlformats.org/officeDocument/2006/relationships/hyperlink" Target="http://www.aph.gov.au/Parliamentary_Business/Committees/Senate/Community_Affairs/Involuntary_Sterilisation/~/media/Committees/Senate/committee/clac_ctte/involuntary_sterilisation/first_report/report.ashx" TargetMode="External"/><Relationship Id="rId52" Type="http://schemas.openxmlformats.org/officeDocument/2006/relationships/hyperlink" Target="http://www.aph.gov.au/Parliamentary_Business/Committees/Senate/Community_Affairs/Involuntary_Sterilisation/Sec_Report/index" TargetMode="External"/><Relationship Id="rId60" Type="http://schemas.openxmlformats.org/officeDocument/2006/relationships/hyperlink" Target="https://www.humanrights.gov.au/our-work/disability-rights/publications/willing-work-national-inquiry-employment-discrimination" TargetMode="External"/><Relationship Id="rId65" Type="http://schemas.openxmlformats.org/officeDocument/2006/relationships/hyperlink" Target="https://www.alrc.gov.au/sites/default/files/pdfs/publications/elder_abuse_131_final_report_31_may_2017.pdf" TargetMode="External"/><Relationship Id="rId73" Type="http://schemas.openxmlformats.org/officeDocument/2006/relationships/hyperlink" Target="https://www.ministerjustice.gov.au/Media/Pages/Proposed-new-laws-to-help-end-modern-slavery-16-August-2017.aspx" TargetMode="External"/><Relationship Id="rId78" Type="http://schemas.openxmlformats.org/officeDocument/2006/relationships/hyperlink" Target="http://www.aph.gov.au/Parliamentary_Business/Committees/House/Social_Policy_and_Legal_Affairs/Inquiry_into_surrogacy/Report" TargetMode="External"/><Relationship Id="rId81" Type="http://schemas.openxmlformats.org/officeDocument/2006/relationships/hyperlink" Target="https://www.humanrights.gov.au/our-work/aboriginal-and-torres-strait-islander-social-justice/publications/social-justice-and-nati-2" TargetMode="External"/><Relationship Id="rId86" Type="http://schemas.openxmlformats.org/officeDocument/2006/relationships/hyperlink" Target="http://www.humanrights.gov.au/sites/default/files/document/publication/AHRC_Snapshot%20report_2nd%20edition_2017_WEB.pdf" TargetMode="External"/><Relationship Id="rId94" Type="http://schemas.openxmlformats.org/officeDocument/2006/relationships/hyperlink" Target="https://cew.org.au/wp-content/uploads/2017/09/CEW-Executive-Census-2017.pdf" TargetMode="External"/><Relationship Id="rId99" Type="http://schemas.openxmlformats.org/officeDocument/2006/relationships/hyperlink" Target="https://www.wgea.gov.au/sites/default/files/20160801_Industry_occupational_segregation_factsheet.pdf" TargetMode="External"/><Relationship Id="rId101" Type="http://schemas.openxmlformats.org/officeDocument/2006/relationships/hyperlink" Target="http://www.humanrights.gov.au/legal/submissions/2011/20110421_family_violence.html" TargetMode="External"/><Relationship Id="rId4" Type="http://schemas.openxmlformats.org/officeDocument/2006/relationships/hyperlink" Target="http://www.aph.gov.au/DocumentStore.ashx?id=616c80fd-9f8d-4f90-8e71-202e8bea67f8&amp;subId=411685" TargetMode="External"/><Relationship Id="rId9" Type="http://schemas.openxmlformats.org/officeDocument/2006/relationships/hyperlink" Target="https://www.humanrights.gov.au/our-work/sex-discrimination/publications/supporting-working-parents-pregnancy-and-return-work" TargetMode="External"/><Relationship Id="rId13" Type="http://schemas.openxmlformats.org/officeDocument/2006/relationships/hyperlink" Target="https://www.humanrights.gov.au/our-work/family-and-domestic-violence/publications/national-system-domestic-and-family-violence" TargetMode="External"/><Relationship Id="rId18" Type="http://schemas.openxmlformats.org/officeDocument/2006/relationships/hyperlink" Target="https://www.wgea.gov.au/addressing-pay-equity/what-gender-pay-gap" TargetMode="External"/><Relationship Id="rId39" Type="http://schemas.openxmlformats.org/officeDocument/2006/relationships/hyperlink" Target="https://www.pwd.org.au/%20documents/temp/FS_Violence_WWD's.pdf" TargetMode="External"/><Relationship Id="rId109" Type="http://schemas.openxmlformats.org/officeDocument/2006/relationships/hyperlink" Target="http://simonemcgurk.com.au/domestic-violence-victims-to-get-the-support-they-deserve-in-the-workplace/" TargetMode="External"/><Relationship Id="rId34" Type="http://schemas.openxmlformats.org/officeDocument/2006/relationships/hyperlink" Target="https://www.dss.gov.au/women/programs-services/reducing-violence/the-national-plan-to-reduce-violence-against-women-and-their-children-2010-2022" TargetMode="External"/><Relationship Id="rId50" Type="http://schemas.openxmlformats.org/officeDocument/2006/relationships/hyperlink" Target="http://www.awe.asn.au/drupal/sites/default/files/what_it_takes.pdf" TargetMode="External"/><Relationship Id="rId55" Type="http://schemas.openxmlformats.org/officeDocument/2006/relationships/hyperlink" Target="https://www.humanrights.gov.au/our-work/race-discrimination/projects/isma-listen-national-consultations-eliminating-prejudice" TargetMode="External"/><Relationship Id="rId76" Type="http://schemas.openxmlformats.org/officeDocument/2006/relationships/hyperlink" Target="http://www.humanrights.gov.au/submissions/submission-inquiry-human-trafficking-2016" TargetMode="External"/><Relationship Id="rId97" Type="http://schemas.openxmlformats.org/officeDocument/2006/relationships/hyperlink" Target="http://www.aph.gov.au/Parliamentary_Business/Committees/Senate/Finance_and_Public_Administration/Gendersegregation/Report" TargetMode="External"/><Relationship Id="rId104" Type="http://schemas.openxmlformats.org/officeDocument/2006/relationships/hyperlink" Target="http://www.humanrights.gov.au/legal/submissions/2011/20110421_family_violence.html" TargetMode="External"/><Relationship Id="rId120" Type="http://schemas.openxmlformats.org/officeDocument/2006/relationships/hyperlink" Target="http://www.defence.gov.au/PathwayToChange/Docs/120410%20Pathway%20to%20Change%20-%20Evolving%20Defence%20Culture%20-%20web%20version.pdf" TargetMode="External"/><Relationship Id="rId7" Type="http://schemas.openxmlformats.org/officeDocument/2006/relationships/hyperlink" Target="https://www.humanrights.gov.au/news/stories/report-shines-light-universities" TargetMode="External"/><Relationship Id="rId71" Type="http://schemas.openxmlformats.org/officeDocument/2006/relationships/hyperlink" Target="http://www.ag.gov.au/CrimeAndCorruption/HumanTrafficking/Pages/Australiasresponsetohumantrafficking.aspx" TargetMode="External"/><Relationship Id="rId92" Type="http://schemas.openxmlformats.org/officeDocument/2006/relationships/hyperlink" Target="https://www.wgea.gov.au/sites/default/.../80653_2015-16-gender-equality-scorecard.pdf" TargetMode="External"/><Relationship Id="rId2" Type="http://schemas.openxmlformats.org/officeDocument/2006/relationships/hyperlink" Target="https://www.humanrights.gov.au/submissions/gender-segregation-workplace-and-its-impact-women-s-economic-equality" TargetMode="External"/><Relationship Id="rId29" Type="http://schemas.openxmlformats.org/officeDocument/2006/relationships/hyperlink" Target="https://www.ourwatch.org.au/.../Change-the-story-framework-foundations-2.pdf.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EF74-BAA5-490A-B88E-EB0594F6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50</TotalTime>
  <Pages>27</Pages>
  <Words>5654</Words>
  <Characters>33860</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39436</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Anastasia Krivenkova</dc:creator>
  <cp:keywords/>
  <cp:lastModifiedBy>Anastasia Krivenkova</cp:lastModifiedBy>
  <cp:revision>11</cp:revision>
  <cp:lastPrinted>2017-10-09T06:13:00Z</cp:lastPrinted>
  <dcterms:created xsi:type="dcterms:W3CDTF">2017-10-05T03:27:00Z</dcterms:created>
  <dcterms:modified xsi:type="dcterms:W3CDTF">2017-10-09T06:13:00Z</dcterms:modified>
  <cp:contentStatus/>
</cp:coreProperties>
</file>