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F86" w:rsidRDefault="007A1F86" w:rsidP="00777520">
      <w:pPr>
        <w:rPr>
          <w:rFonts w:ascii="Arial" w:hAnsi="Arial" w:cs="Arial"/>
          <w:b/>
          <w:sz w:val="24"/>
          <w:szCs w:val="24"/>
        </w:rPr>
      </w:pPr>
      <w:r w:rsidRPr="007A1F86">
        <w:rPr>
          <w:rFonts w:ascii="Arial" w:hAnsi="Arial" w:cs="Arial"/>
          <w:b/>
          <w:noProof/>
          <w:sz w:val="24"/>
          <w:szCs w:val="24"/>
          <w:lang w:eastAsia="en-AU"/>
        </w:rPr>
        <mc:AlternateContent>
          <mc:Choice Requires="wps">
            <w:drawing>
              <wp:anchor distT="45720" distB="45720" distL="114300" distR="114300" simplePos="0" relativeHeight="251661312" behindDoc="0" locked="0" layoutInCell="1" allowOverlap="1" wp14:anchorId="296B15CF" wp14:editId="0C307181">
                <wp:simplePos x="0" y="0"/>
                <wp:positionH relativeFrom="column">
                  <wp:posOffset>2587625</wp:posOffset>
                </wp:positionH>
                <wp:positionV relativeFrom="paragraph">
                  <wp:posOffset>186055</wp:posOffset>
                </wp:positionV>
                <wp:extent cx="3251835" cy="802640"/>
                <wp:effectExtent l="0" t="0" r="2476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802640"/>
                        </a:xfrm>
                        <a:prstGeom prst="rect">
                          <a:avLst/>
                        </a:prstGeom>
                        <a:solidFill>
                          <a:schemeClr val="accent1">
                            <a:lumMod val="20000"/>
                            <a:lumOff val="80000"/>
                          </a:schemeClr>
                        </a:solidFill>
                        <a:ln>
                          <a:headEnd/>
                          <a:tailEnd/>
                        </a:ln>
                      </wps:spPr>
                      <wps:style>
                        <a:lnRef idx="2">
                          <a:schemeClr val="accent5"/>
                        </a:lnRef>
                        <a:fillRef idx="1">
                          <a:schemeClr val="lt1"/>
                        </a:fillRef>
                        <a:effectRef idx="0">
                          <a:schemeClr val="accent5"/>
                        </a:effectRef>
                        <a:fontRef idx="minor">
                          <a:schemeClr val="dk1"/>
                        </a:fontRef>
                      </wps:style>
                      <wps:txbx>
                        <w:txbxContent>
                          <w:p w:rsidR="007A1F86" w:rsidRPr="007A1F86" w:rsidRDefault="007A1F86" w:rsidP="007A1F86">
                            <w:pPr>
                              <w:jc w:val="center"/>
                              <w:rPr>
                                <w:b/>
                                <w:sz w:val="28"/>
                                <w:szCs w:val="28"/>
                              </w:rPr>
                            </w:pPr>
                            <w:r w:rsidRPr="007A1F86">
                              <w:rPr>
                                <w:b/>
                                <w:sz w:val="28"/>
                                <w:szCs w:val="28"/>
                              </w:rPr>
                              <w:t>Guardianship, Power of Attorney and Superan</w:t>
                            </w:r>
                            <w:r>
                              <w:rPr>
                                <w:b/>
                                <w:sz w:val="28"/>
                                <w:szCs w:val="28"/>
                              </w:rPr>
                              <w:t>nuation Issues for LGBTI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6B15CF" id="_x0000_t202" coordsize="21600,21600" o:spt="202" path="m,l,21600r21600,l21600,xe">
                <v:stroke joinstyle="miter"/>
                <v:path gradientshapeok="t" o:connecttype="rect"/>
              </v:shapetype>
              <v:shape id="Text Box 2" o:spid="_x0000_s1026" type="#_x0000_t202" style="position:absolute;margin-left:203.75pt;margin-top:14.65pt;width:256.05pt;height:63.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" fillcolor="#deeaf6 [660]" strokecolor="#4472c4 [3208]" strokeweight="1pt">
                <v:textbox>
                  <w:txbxContent>
                    <w:p w:rsidR="007A1F86" w:rsidRPr="007A1F86" w:rsidRDefault="007A1F86" w:rsidP="007A1F86">
                      <w:pPr>
                        <w:jc w:val="center"/>
                        <w:rPr>
                          <w:b/>
                          <w:sz w:val="28"/>
                          <w:szCs w:val="28"/>
                        </w:rPr>
                      </w:pPr>
                      <w:r w:rsidRPr="007A1F86">
                        <w:rPr>
                          <w:b/>
                          <w:sz w:val="28"/>
                          <w:szCs w:val="28"/>
                        </w:rPr>
                        <w:t>Guardianship, Power of Attorney and Superan</w:t>
                      </w:r>
                      <w:r>
                        <w:rPr>
                          <w:b/>
                          <w:sz w:val="28"/>
                          <w:szCs w:val="28"/>
                        </w:rPr>
                        <w:t>nuation Issues for LGBTI People</w:t>
                      </w:r>
                    </w:p>
                  </w:txbxContent>
                </v:textbox>
                <w10:wrap type="square"/>
              </v:shape>
            </w:pict>
          </mc:Fallback>
        </mc:AlternateContent>
      </w:r>
      <w:r>
        <w:rPr>
          <w:noProof/>
          <w:lang w:eastAsia="en-AU"/>
        </w:rPr>
        <w:drawing>
          <wp:anchor distT="0" distB="0" distL="114300" distR="114300" simplePos="0" relativeHeight="251659264" behindDoc="0" locked="0" layoutInCell="1" allowOverlap="1" wp14:anchorId="641E6532" wp14:editId="7D1D29D1">
            <wp:simplePos x="0" y="0"/>
            <wp:positionH relativeFrom="column">
              <wp:posOffset>-386715</wp:posOffset>
            </wp:positionH>
            <wp:positionV relativeFrom="paragraph">
              <wp:posOffset>3175</wp:posOffset>
            </wp:positionV>
            <wp:extent cx="2583815" cy="1414780"/>
            <wp:effectExtent l="0" t="0" r="6985" b="0"/>
            <wp:wrapSquare wrapText="bothSides"/>
            <wp:docPr id="2" name="Picture 2" descr="LGBTI Final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BTI Final Logo (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3815"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1F86" w:rsidRDefault="007A1F86" w:rsidP="00777520">
      <w:pPr>
        <w:rPr>
          <w:rFonts w:ascii="Arial" w:hAnsi="Arial" w:cs="Arial"/>
          <w:b/>
          <w:sz w:val="24"/>
          <w:szCs w:val="24"/>
        </w:rPr>
      </w:pPr>
    </w:p>
    <w:p w:rsidR="007A1F86" w:rsidRDefault="007A1F86" w:rsidP="00777520">
      <w:pPr>
        <w:rPr>
          <w:rFonts w:ascii="Arial" w:hAnsi="Arial" w:cs="Arial"/>
          <w:b/>
          <w:sz w:val="24"/>
          <w:szCs w:val="24"/>
        </w:rPr>
      </w:pPr>
    </w:p>
    <w:p w:rsidR="00777520" w:rsidRPr="00117CD2" w:rsidRDefault="004E03FB" w:rsidP="00777520">
      <w:pPr>
        <w:rPr>
          <w:rFonts w:ascii="Arial" w:hAnsi="Arial" w:cs="Arial"/>
          <w:b/>
          <w:sz w:val="26"/>
          <w:szCs w:val="26"/>
        </w:rPr>
      </w:pPr>
      <w:r w:rsidRPr="00117CD2">
        <w:rPr>
          <w:rFonts w:ascii="Arial" w:hAnsi="Arial" w:cs="Arial"/>
          <w:b/>
          <w:sz w:val="26"/>
          <w:szCs w:val="26"/>
        </w:rPr>
        <w:t>Guardianship</w:t>
      </w:r>
    </w:p>
    <w:p w:rsidR="004E03FB" w:rsidRPr="004E03FB" w:rsidRDefault="004E03FB" w:rsidP="00777520">
      <w:pPr>
        <w:rPr>
          <w:rFonts w:ascii="Arial" w:hAnsi="Arial" w:cs="Arial"/>
        </w:rPr>
      </w:pPr>
    </w:p>
    <w:p w:rsidR="004E03FB" w:rsidRPr="00117CD2" w:rsidRDefault="007A1F86" w:rsidP="00777520">
      <w:pPr>
        <w:rPr>
          <w:rFonts w:ascii="Arial" w:hAnsi="Arial" w:cs="Arial"/>
          <w:b/>
        </w:rPr>
      </w:pPr>
      <w:r w:rsidRPr="00117CD2">
        <w:rPr>
          <w:rFonts w:ascii="Arial" w:hAnsi="Arial" w:cs="Arial"/>
          <w:b/>
        </w:rPr>
        <w:t>Relevant Acts</w:t>
      </w:r>
    </w:p>
    <w:p w:rsidR="004E03FB" w:rsidRPr="004E03FB" w:rsidRDefault="004E03FB" w:rsidP="00777520">
      <w:pPr>
        <w:rPr>
          <w:rFonts w:ascii="Arial" w:hAnsi="Arial" w:cs="Arial"/>
        </w:rPr>
      </w:pPr>
    </w:p>
    <w:p w:rsidR="00777520" w:rsidRPr="007A1F86" w:rsidRDefault="00777520" w:rsidP="007A1F86">
      <w:pPr>
        <w:pStyle w:val="ListParagraph"/>
        <w:numPr>
          <w:ilvl w:val="0"/>
          <w:numId w:val="2"/>
        </w:numPr>
        <w:autoSpaceDE w:val="0"/>
        <w:autoSpaceDN w:val="0"/>
        <w:adjustRightInd w:val="0"/>
        <w:rPr>
          <w:rFonts w:ascii="Arial" w:hAnsi="Arial" w:cs="Arial"/>
          <w:i/>
          <w:iCs/>
        </w:rPr>
      </w:pPr>
      <w:r w:rsidRPr="007A1F86">
        <w:rPr>
          <w:rFonts w:ascii="Arial" w:hAnsi="Arial" w:cs="Arial"/>
        </w:rPr>
        <w:t xml:space="preserve">Australian Capital Territory: </w:t>
      </w:r>
      <w:r w:rsidRPr="007A1F86">
        <w:rPr>
          <w:rFonts w:ascii="Arial" w:hAnsi="Arial" w:cs="Arial"/>
          <w:i/>
          <w:iCs/>
        </w:rPr>
        <w:t>Guardianship and Management of Property Act 1991</w:t>
      </w:r>
    </w:p>
    <w:p w:rsidR="00777520" w:rsidRPr="007A1F86" w:rsidRDefault="00777520" w:rsidP="007A1F86">
      <w:pPr>
        <w:pStyle w:val="ListParagraph"/>
        <w:numPr>
          <w:ilvl w:val="0"/>
          <w:numId w:val="2"/>
        </w:numPr>
        <w:autoSpaceDE w:val="0"/>
        <w:autoSpaceDN w:val="0"/>
        <w:adjustRightInd w:val="0"/>
        <w:rPr>
          <w:rFonts w:ascii="Arial" w:hAnsi="Arial" w:cs="Arial"/>
          <w:i/>
          <w:iCs/>
        </w:rPr>
      </w:pPr>
      <w:r w:rsidRPr="007A1F86">
        <w:rPr>
          <w:rFonts w:ascii="Arial" w:hAnsi="Arial" w:cs="Arial"/>
        </w:rPr>
        <w:t xml:space="preserve">Queensland: </w:t>
      </w:r>
      <w:r w:rsidRPr="007A1F86">
        <w:rPr>
          <w:rFonts w:ascii="Arial" w:hAnsi="Arial" w:cs="Arial"/>
          <w:i/>
          <w:iCs/>
        </w:rPr>
        <w:t>Guardianship and Administration Act 2000</w:t>
      </w:r>
    </w:p>
    <w:p w:rsidR="00777520" w:rsidRPr="007A1F86" w:rsidRDefault="00777520" w:rsidP="007A1F86">
      <w:pPr>
        <w:pStyle w:val="ListParagraph"/>
        <w:numPr>
          <w:ilvl w:val="0"/>
          <w:numId w:val="2"/>
        </w:numPr>
        <w:autoSpaceDE w:val="0"/>
        <w:autoSpaceDN w:val="0"/>
        <w:adjustRightInd w:val="0"/>
        <w:rPr>
          <w:rFonts w:ascii="Arial" w:hAnsi="Arial" w:cs="Arial"/>
          <w:i/>
          <w:iCs/>
        </w:rPr>
      </w:pPr>
      <w:r w:rsidRPr="007A1F86">
        <w:rPr>
          <w:rFonts w:ascii="Arial" w:hAnsi="Arial" w:cs="Arial"/>
        </w:rPr>
        <w:t xml:space="preserve">New South Wales: </w:t>
      </w:r>
      <w:r w:rsidRPr="007A1F86">
        <w:rPr>
          <w:rFonts w:ascii="Arial" w:hAnsi="Arial" w:cs="Arial"/>
          <w:i/>
          <w:iCs/>
        </w:rPr>
        <w:t>Guardianship Act 1987</w:t>
      </w:r>
    </w:p>
    <w:p w:rsidR="00777520" w:rsidRPr="007A1F86" w:rsidRDefault="00777520" w:rsidP="007A1F86">
      <w:pPr>
        <w:pStyle w:val="ListParagraph"/>
        <w:numPr>
          <w:ilvl w:val="0"/>
          <w:numId w:val="2"/>
        </w:numPr>
        <w:autoSpaceDE w:val="0"/>
        <w:autoSpaceDN w:val="0"/>
        <w:adjustRightInd w:val="0"/>
        <w:rPr>
          <w:rFonts w:ascii="Arial" w:hAnsi="Arial" w:cs="Arial"/>
          <w:i/>
          <w:iCs/>
        </w:rPr>
      </w:pPr>
      <w:r w:rsidRPr="007A1F86">
        <w:rPr>
          <w:rFonts w:ascii="Arial" w:hAnsi="Arial" w:cs="Arial"/>
        </w:rPr>
        <w:t xml:space="preserve">Northern Territory: </w:t>
      </w:r>
      <w:r w:rsidRPr="007A1F86">
        <w:rPr>
          <w:rFonts w:ascii="Arial" w:hAnsi="Arial" w:cs="Arial"/>
          <w:i/>
          <w:iCs/>
        </w:rPr>
        <w:t>Adult Guardianship Act 1988</w:t>
      </w:r>
    </w:p>
    <w:p w:rsidR="00777520" w:rsidRPr="007A1F86" w:rsidRDefault="00777520" w:rsidP="007A1F86">
      <w:pPr>
        <w:pStyle w:val="ListParagraph"/>
        <w:numPr>
          <w:ilvl w:val="0"/>
          <w:numId w:val="2"/>
        </w:numPr>
        <w:autoSpaceDE w:val="0"/>
        <w:autoSpaceDN w:val="0"/>
        <w:adjustRightInd w:val="0"/>
        <w:rPr>
          <w:rFonts w:ascii="Arial" w:hAnsi="Arial" w:cs="Arial"/>
          <w:i/>
          <w:iCs/>
        </w:rPr>
      </w:pPr>
      <w:r w:rsidRPr="007A1F86">
        <w:rPr>
          <w:rFonts w:ascii="Arial" w:hAnsi="Arial" w:cs="Arial"/>
        </w:rPr>
        <w:t xml:space="preserve">South Australia: </w:t>
      </w:r>
      <w:r w:rsidRPr="007A1F86">
        <w:rPr>
          <w:rFonts w:ascii="Arial" w:hAnsi="Arial" w:cs="Arial"/>
          <w:i/>
          <w:iCs/>
        </w:rPr>
        <w:t>Guardianship and Administration Act 1993</w:t>
      </w:r>
    </w:p>
    <w:p w:rsidR="00777520" w:rsidRPr="007A1F86" w:rsidRDefault="00777520" w:rsidP="007A1F86">
      <w:pPr>
        <w:pStyle w:val="ListParagraph"/>
        <w:numPr>
          <w:ilvl w:val="0"/>
          <w:numId w:val="2"/>
        </w:numPr>
        <w:autoSpaceDE w:val="0"/>
        <w:autoSpaceDN w:val="0"/>
        <w:adjustRightInd w:val="0"/>
        <w:rPr>
          <w:rFonts w:ascii="Arial" w:hAnsi="Arial" w:cs="Arial"/>
          <w:i/>
          <w:iCs/>
        </w:rPr>
      </w:pPr>
      <w:r w:rsidRPr="007A1F86">
        <w:rPr>
          <w:rFonts w:ascii="Arial" w:hAnsi="Arial" w:cs="Arial"/>
        </w:rPr>
        <w:t xml:space="preserve">Tasmania: </w:t>
      </w:r>
      <w:r w:rsidRPr="007A1F86">
        <w:rPr>
          <w:rFonts w:ascii="Arial" w:hAnsi="Arial" w:cs="Arial"/>
          <w:i/>
          <w:iCs/>
        </w:rPr>
        <w:t>Guardianship and Administration Act 1995</w:t>
      </w:r>
    </w:p>
    <w:p w:rsidR="00777520" w:rsidRPr="007A1F86" w:rsidRDefault="00777520" w:rsidP="007A1F86">
      <w:pPr>
        <w:pStyle w:val="ListParagraph"/>
        <w:numPr>
          <w:ilvl w:val="0"/>
          <w:numId w:val="2"/>
        </w:numPr>
        <w:autoSpaceDE w:val="0"/>
        <w:autoSpaceDN w:val="0"/>
        <w:adjustRightInd w:val="0"/>
        <w:rPr>
          <w:rFonts w:ascii="Arial" w:hAnsi="Arial" w:cs="Arial"/>
          <w:i/>
          <w:iCs/>
        </w:rPr>
      </w:pPr>
      <w:r w:rsidRPr="007A1F86">
        <w:rPr>
          <w:rFonts w:ascii="Arial" w:hAnsi="Arial" w:cs="Arial"/>
        </w:rPr>
        <w:t xml:space="preserve">Victoria: </w:t>
      </w:r>
      <w:r w:rsidRPr="007A1F86">
        <w:rPr>
          <w:rFonts w:ascii="Arial" w:hAnsi="Arial" w:cs="Arial"/>
          <w:i/>
          <w:iCs/>
        </w:rPr>
        <w:t>Guardianship and Administration Act 1986</w:t>
      </w:r>
    </w:p>
    <w:p w:rsidR="00777520" w:rsidRPr="007A1F86" w:rsidRDefault="00777520" w:rsidP="007A1F86">
      <w:pPr>
        <w:pStyle w:val="ListParagraph"/>
        <w:numPr>
          <w:ilvl w:val="0"/>
          <w:numId w:val="2"/>
        </w:numPr>
        <w:autoSpaceDE w:val="0"/>
        <w:autoSpaceDN w:val="0"/>
        <w:adjustRightInd w:val="0"/>
        <w:rPr>
          <w:rFonts w:ascii="Arial" w:hAnsi="Arial" w:cs="Arial"/>
          <w:i/>
          <w:iCs/>
        </w:rPr>
      </w:pPr>
      <w:r w:rsidRPr="007A1F86">
        <w:rPr>
          <w:rFonts w:ascii="Arial" w:hAnsi="Arial" w:cs="Arial"/>
        </w:rPr>
        <w:t xml:space="preserve">Western Australia: </w:t>
      </w:r>
      <w:r w:rsidRPr="007A1F86">
        <w:rPr>
          <w:rFonts w:ascii="Arial" w:hAnsi="Arial" w:cs="Arial"/>
          <w:i/>
          <w:iCs/>
        </w:rPr>
        <w:t>Guardianship and Administration Act 1990</w:t>
      </w:r>
    </w:p>
    <w:p w:rsidR="00777520" w:rsidRDefault="00777520" w:rsidP="00777520"/>
    <w:p w:rsidR="004E03FB" w:rsidRPr="00117CD2" w:rsidRDefault="004E03FB" w:rsidP="00777520">
      <w:r w:rsidRPr="00117CD2">
        <w:rPr>
          <w:b/>
        </w:rPr>
        <w:t>Issues</w:t>
      </w:r>
    </w:p>
    <w:p w:rsidR="004E03FB" w:rsidRDefault="004E03FB" w:rsidP="00777520"/>
    <w:p w:rsidR="007A1F86" w:rsidRDefault="007A1F86" w:rsidP="00777520">
      <w:r>
        <w:t xml:space="preserve">On an initial review of existing Guardianship Acts three Acts stand out as causing potential problems for LGBTI people. These are the </w:t>
      </w:r>
      <w:r w:rsidRPr="007A1F86">
        <w:rPr>
          <w:i/>
        </w:rPr>
        <w:t>Guardianship Act 1987 (NSW),</w:t>
      </w:r>
      <w:r>
        <w:t xml:space="preserve"> </w:t>
      </w:r>
      <w:r w:rsidRPr="007A1F86">
        <w:rPr>
          <w:i/>
        </w:rPr>
        <w:t>Guardianship and Administration Act 1995 (TAS)</w:t>
      </w:r>
      <w:r>
        <w:t xml:space="preserve"> and </w:t>
      </w:r>
      <w:r w:rsidRPr="007A1F86">
        <w:rPr>
          <w:i/>
        </w:rPr>
        <w:t>Adult Guardianship Act 1988 (NT)</w:t>
      </w:r>
      <w:r>
        <w:rPr>
          <w:i/>
        </w:rPr>
        <w:t>.</w:t>
      </w:r>
      <w:r>
        <w:t xml:space="preserve"> The main problem is caused by the hierarchy of identification of the ‘person responsible’ in NSW and Tasmanian legislation and the definition of ‘near relative’ in the Northern Territory legislation.</w:t>
      </w:r>
    </w:p>
    <w:p w:rsidR="00117CD2" w:rsidRDefault="00117CD2" w:rsidP="00777520"/>
    <w:p w:rsidR="00117CD2" w:rsidRDefault="00117CD2" w:rsidP="00777520">
      <w:r>
        <w:t>Other Guardianship Acts may have similar issues and this needs a closer investigation.</w:t>
      </w:r>
    </w:p>
    <w:p w:rsidR="007A1F86" w:rsidRDefault="007A1F86" w:rsidP="00777520"/>
    <w:p w:rsidR="007A1F86" w:rsidRDefault="007A1F86" w:rsidP="00777520">
      <w:r>
        <w:t>In NSW and Tasmania if there is no guardian appointed then there is a hierarchy of people that can be approached to make decisions on a person’s behalf. This commences with the ‘spouse’</w:t>
      </w:r>
      <w:r w:rsidR="00117CD2">
        <w:t xml:space="preserve"> </w:t>
      </w:r>
      <w:r>
        <w:t xml:space="preserve">and concludes </w:t>
      </w:r>
      <w:r w:rsidR="00117CD2">
        <w:t>with a ‘person who has care of the person’ and ‘close friend or relative of the person’.</w:t>
      </w:r>
    </w:p>
    <w:p w:rsidR="00117CD2" w:rsidRDefault="00117CD2" w:rsidP="00777520"/>
    <w:p w:rsidR="00E555AA" w:rsidRDefault="00117CD2" w:rsidP="00777520">
      <w:r>
        <w:t>This is problematic for a number of reasons for LGBTI people</w:t>
      </w:r>
      <w:r w:rsidR="00E555AA">
        <w:t xml:space="preserve">, especially so if the person has dementia, is unconscious or is unable to clearly state who they want to make decisions on their behalf. In addition their partner may also be fearful of identifying themselves if the family is unaware of, or disapproves of, their relationship. For example in recent interviews conducted by Val’s Café a key issue arising for LGBTI people with dementia </w:t>
      </w:r>
      <w:r w:rsidR="00A04AF4">
        <w:t xml:space="preserve">is </w:t>
      </w:r>
      <w:r w:rsidR="00E555AA" w:rsidRPr="00E555AA">
        <w:t xml:space="preserve">that </w:t>
      </w:r>
      <w:r w:rsidR="00A04AF4">
        <w:t xml:space="preserve">they are </w:t>
      </w:r>
      <w:r w:rsidR="00E555AA" w:rsidRPr="00E555AA">
        <w:t>having their rights violated by family members – who take the opportunity to reassert control over sexuality or gender.</w:t>
      </w:r>
    </w:p>
    <w:p w:rsidR="00E555AA" w:rsidRDefault="00E555AA" w:rsidP="00777520"/>
    <w:p w:rsidR="00117CD2" w:rsidRDefault="00A04AF4" w:rsidP="00777520">
      <w:r>
        <w:t>In addition a</w:t>
      </w:r>
      <w:r w:rsidR="00E555AA">
        <w:t xml:space="preserve"> health </w:t>
      </w:r>
      <w:r>
        <w:t xml:space="preserve">or aged care </w:t>
      </w:r>
      <w:r w:rsidR="00E555AA">
        <w:t>service will follow the hierarchy and is more likely to listen to someone identifying as a relative – the service will not spend the time identifying if a there is an ‘ongoing’ relationship or not. In addition a family member can identify as a person ‘having care’ of the person in care and by default are higher in the hierarchy</w:t>
      </w:r>
      <w:r>
        <w:t>. Other potential issues are:</w:t>
      </w:r>
    </w:p>
    <w:p w:rsidR="00117CD2" w:rsidRDefault="00117CD2" w:rsidP="00777520"/>
    <w:p w:rsidR="00117CD2" w:rsidRDefault="00117CD2" w:rsidP="00117CD2">
      <w:pPr>
        <w:pStyle w:val="ListParagraph"/>
        <w:numPr>
          <w:ilvl w:val="0"/>
          <w:numId w:val="3"/>
        </w:numPr>
      </w:pPr>
      <w:r>
        <w:t>They may not be living with the person who they want to have make decisions on their behalf</w:t>
      </w:r>
      <w:r w:rsidR="00E555AA">
        <w:t xml:space="preserve"> or they may be fearful of identifying their partner</w:t>
      </w:r>
    </w:p>
    <w:p w:rsidR="00117CD2" w:rsidRDefault="00117CD2" w:rsidP="00117CD2">
      <w:pPr>
        <w:pStyle w:val="ListParagraph"/>
        <w:numPr>
          <w:ilvl w:val="0"/>
          <w:numId w:val="3"/>
        </w:numPr>
      </w:pPr>
      <w:r>
        <w:t>They may still legally be identified as being in a relationship with a ‘spouse’ even though the ‘spousal’ relationship has ended</w:t>
      </w:r>
    </w:p>
    <w:p w:rsidR="00117CD2" w:rsidRDefault="00117CD2" w:rsidP="00117CD2">
      <w:pPr>
        <w:pStyle w:val="ListParagraph"/>
        <w:numPr>
          <w:ilvl w:val="0"/>
          <w:numId w:val="3"/>
        </w:numPr>
      </w:pPr>
      <w:r>
        <w:lastRenderedPageBreak/>
        <w:t>Many older LGBTI people identify their partner as their ‘close friend’ due to a history of discrimination and fear of exposure as LGBTI</w:t>
      </w:r>
    </w:p>
    <w:p w:rsidR="00777427" w:rsidRDefault="00777427" w:rsidP="00677A4A">
      <w:pPr>
        <w:pStyle w:val="ListParagraph"/>
        <w:numPr>
          <w:ilvl w:val="0"/>
          <w:numId w:val="3"/>
        </w:numPr>
      </w:pPr>
      <w:r w:rsidRPr="00777427">
        <w:t xml:space="preserve">There is also a reluctance among certain same-sex couples to formally declare their </w:t>
      </w:r>
      <w:proofErr w:type="spellStart"/>
      <w:r w:rsidRPr="00777427">
        <w:t>defacto</w:t>
      </w:r>
      <w:proofErr w:type="spellEnd"/>
      <w:r w:rsidRPr="00777427">
        <w:t xml:space="preserve"> relationship because of the financial disadvantage of a reduction in Centrelink entitlements (i.e., two people living as a couple receive less than two single persons).</w:t>
      </w:r>
    </w:p>
    <w:p w:rsidR="00777427" w:rsidRDefault="00777427" w:rsidP="00677A4A"/>
    <w:p w:rsidR="00677A4A" w:rsidRDefault="00677A4A" w:rsidP="00677A4A">
      <w:r>
        <w:t xml:space="preserve">In the Northern Territory it is the definition of ‘near relative’ that is concerning for LGBTI people. Again the requirement that there is either a </w:t>
      </w:r>
      <w:proofErr w:type="spellStart"/>
      <w:r>
        <w:t>defacto</w:t>
      </w:r>
      <w:proofErr w:type="spellEnd"/>
      <w:r>
        <w:t xml:space="preserve"> or domestic relationship can exclude those older LGBTI people who may not live together and, as mentioned above, may not identify their partner due to past treatment and fear of exposure.</w:t>
      </w:r>
    </w:p>
    <w:p w:rsidR="00677A4A" w:rsidRDefault="00677A4A" w:rsidP="00777520"/>
    <w:p w:rsidR="004E03FB" w:rsidRPr="00117CD2" w:rsidRDefault="004E03FB" w:rsidP="00777520">
      <w:pPr>
        <w:rPr>
          <w:b/>
          <w:i/>
        </w:rPr>
      </w:pPr>
      <w:r w:rsidRPr="00117CD2">
        <w:rPr>
          <w:b/>
          <w:i/>
        </w:rPr>
        <w:t xml:space="preserve">NSW </w:t>
      </w:r>
      <w:r w:rsidR="00117CD2" w:rsidRPr="00117CD2">
        <w:rPr>
          <w:b/>
          <w:i/>
        </w:rPr>
        <w:t>Guardianship</w:t>
      </w:r>
      <w:r w:rsidRPr="00117CD2">
        <w:rPr>
          <w:b/>
          <w:i/>
        </w:rPr>
        <w:t xml:space="preserve"> Act</w:t>
      </w:r>
    </w:p>
    <w:p w:rsidR="004E03FB" w:rsidRDefault="004E03FB" w:rsidP="00777520"/>
    <w:p w:rsidR="004E03FB" w:rsidRDefault="004E03FB" w:rsidP="004E03FB">
      <w:pPr>
        <w:rPr>
          <w:rFonts w:eastAsia="Times New Roman" w:cs="Tahoma"/>
          <w:lang w:eastAsia="en-AU"/>
        </w:rPr>
      </w:pPr>
      <w:r w:rsidRPr="004E03FB">
        <w:rPr>
          <w:rFonts w:eastAsia="Times New Roman" w:cs="Tahoma"/>
          <w:lang w:eastAsia="en-AU"/>
        </w:rPr>
        <w:t xml:space="preserve">(4) Person responsible for another person </w:t>
      </w:r>
      <w:proofErr w:type="gramStart"/>
      <w:r w:rsidRPr="004E03FB">
        <w:rPr>
          <w:rFonts w:eastAsia="Times New Roman" w:cs="Tahoma"/>
          <w:lang w:eastAsia="en-AU"/>
        </w:rPr>
        <w:t>There</w:t>
      </w:r>
      <w:proofErr w:type="gramEnd"/>
      <w:r w:rsidRPr="004E03FB">
        <w:rPr>
          <w:rFonts w:eastAsia="Times New Roman" w:cs="Tahoma"/>
          <w:lang w:eastAsia="en-AU"/>
        </w:rPr>
        <w:t xml:space="preserve"> is a hierarchy of persons from whom the </w:t>
      </w:r>
      <w:r w:rsidRPr="004E03FB">
        <w:rPr>
          <w:rFonts w:eastAsia="Times New Roman" w:cs="Tahoma"/>
          <w:lang w:eastAsia="en-AU"/>
        </w:rPr>
        <w:br/>
      </w:r>
      <w:r w:rsidRPr="004E03FB">
        <w:rPr>
          <w:rFonts w:eastAsia="Times New Roman" w:cs="Tahoma"/>
          <w:b/>
          <w:bCs/>
          <w:lang w:eastAsia="en-AU"/>
        </w:rPr>
        <w:t xml:space="preserve">"person responsible" </w:t>
      </w:r>
      <w:r w:rsidRPr="004E03FB">
        <w:rPr>
          <w:rFonts w:eastAsia="Times New Roman" w:cs="Tahoma"/>
          <w:lang w:eastAsia="en-AU"/>
        </w:rPr>
        <w:t>for a person other than a</w:t>
      </w:r>
      <w:r w:rsidR="00117CD2">
        <w:rPr>
          <w:rFonts w:eastAsia="Times New Roman" w:cs="Tahoma"/>
          <w:lang w:eastAsia="en-AU"/>
        </w:rPr>
        <w:t xml:space="preserve"> child</w:t>
      </w:r>
      <w:r w:rsidRPr="004E03FB">
        <w:rPr>
          <w:rFonts w:eastAsia="Times New Roman" w:cs="Tahoma"/>
          <w:lang w:eastAsia="en-AU"/>
        </w:rPr>
        <w:t xml:space="preserve"> or a person in the care of the</w:t>
      </w:r>
      <w:r w:rsidR="00117CD2">
        <w:rPr>
          <w:rFonts w:eastAsia="Times New Roman" w:cs="Tahoma"/>
          <w:lang w:eastAsia="en-AU"/>
        </w:rPr>
        <w:t xml:space="preserve"> Director-General</w:t>
      </w:r>
      <w:r w:rsidRPr="004E03FB">
        <w:rPr>
          <w:rFonts w:eastAsia="Times New Roman" w:cs="Tahoma"/>
          <w:lang w:eastAsia="en-AU"/>
        </w:rPr>
        <w:t xml:space="preserve"> under section 13 is to be ascertained. That hierarchy is, in descending order: </w:t>
      </w:r>
    </w:p>
    <w:p w:rsidR="00117CD2" w:rsidRPr="004E03FB" w:rsidRDefault="00117CD2" w:rsidP="004E03FB">
      <w:pPr>
        <w:rPr>
          <w:rFonts w:eastAsia="Times New Roman" w:cs="Tahoma"/>
          <w:lang w:eastAsia="en-AU"/>
        </w:rPr>
      </w:pPr>
    </w:p>
    <w:p w:rsidR="004E03FB" w:rsidRPr="004E03FB" w:rsidRDefault="004E03FB" w:rsidP="004E03FB">
      <w:pPr>
        <w:rPr>
          <w:rFonts w:eastAsia="Times New Roman" w:cs="Tahoma"/>
          <w:lang w:eastAsia="en-AU"/>
        </w:rPr>
      </w:pPr>
      <w:r w:rsidRPr="004E03FB">
        <w:rPr>
          <w:rFonts w:eastAsia="Times New Roman" w:cs="Tahoma"/>
          <w:lang w:eastAsia="en-AU"/>
        </w:rPr>
        <w:t>(a) the person’s</w:t>
      </w:r>
      <w:r w:rsidR="00117CD2">
        <w:rPr>
          <w:rFonts w:eastAsia="Times New Roman" w:cs="Tahoma"/>
          <w:lang w:eastAsia="en-AU"/>
        </w:rPr>
        <w:t xml:space="preserve"> guardian</w:t>
      </w:r>
      <w:r w:rsidRPr="004E03FB">
        <w:rPr>
          <w:rFonts w:eastAsia="Times New Roman" w:cs="Tahoma"/>
          <w:lang w:eastAsia="en-AU"/>
        </w:rPr>
        <w:t>, if any, but only if the order or instrument appointing the</w:t>
      </w:r>
      <w:r w:rsidR="00117CD2">
        <w:rPr>
          <w:rFonts w:eastAsia="Times New Roman" w:cs="Tahoma"/>
          <w:lang w:eastAsia="en-AU"/>
        </w:rPr>
        <w:t xml:space="preserve"> guardian</w:t>
      </w:r>
      <w:r w:rsidRPr="004E03FB">
        <w:rPr>
          <w:rFonts w:eastAsia="Times New Roman" w:cs="Tahoma"/>
          <w:lang w:eastAsia="en-AU"/>
        </w:rPr>
        <w:t xml:space="preserve"> provides for the</w:t>
      </w:r>
      <w:r w:rsidR="00117CD2">
        <w:rPr>
          <w:rFonts w:eastAsia="Times New Roman" w:cs="Tahoma"/>
          <w:lang w:eastAsia="en-AU"/>
        </w:rPr>
        <w:t xml:space="preserve"> guardian</w:t>
      </w:r>
      <w:r w:rsidRPr="004E03FB">
        <w:rPr>
          <w:rFonts w:eastAsia="Times New Roman" w:cs="Tahoma"/>
          <w:lang w:eastAsia="en-AU"/>
        </w:rPr>
        <w:t xml:space="preserve"> to exercise the function of giving consent to the carrying out of medical or dental treatment on the person, </w:t>
      </w:r>
    </w:p>
    <w:p w:rsidR="004E03FB" w:rsidRPr="004E03FB" w:rsidRDefault="004E03FB" w:rsidP="004E03FB">
      <w:pPr>
        <w:rPr>
          <w:rFonts w:eastAsia="Times New Roman" w:cs="Tahoma"/>
          <w:lang w:eastAsia="en-AU"/>
        </w:rPr>
      </w:pPr>
      <w:r w:rsidRPr="004E03FB">
        <w:rPr>
          <w:rFonts w:eastAsia="Times New Roman" w:cs="Tahoma"/>
          <w:lang w:eastAsia="en-AU"/>
        </w:rPr>
        <w:t xml:space="preserve">(b) </w:t>
      </w:r>
      <w:proofErr w:type="gramStart"/>
      <w:r w:rsidRPr="004E03FB">
        <w:rPr>
          <w:rFonts w:eastAsia="Times New Roman" w:cs="Tahoma"/>
          <w:lang w:eastAsia="en-AU"/>
        </w:rPr>
        <w:t>the</w:t>
      </w:r>
      <w:proofErr w:type="gramEnd"/>
      <w:r w:rsidR="00117CD2">
        <w:rPr>
          <w:rFonts w:eastAsia="Times New Roman" w:cs="Tahoma"/>
          <w:lang w:eastAsia="en-AU"/>
        </w:rPr>
        <w:t xml:space="preserve"> spouse</w:t>
      </w:r>
      <w:r w:rsidRPr="004E03FB">
        <w:rPr>
          <w:rFonts w:eastAsia="Times New Roman" w:cs="Tahoma"/>
          <w:lang w:eastAsia="en-AU"/>
        </w:rPr>
        <w:t xml:space="preserve"> of the person, if any, if: </w:t>
      </w:r>
    </w:p>
    <w:p w:rsidR="004E03FB" w:rsidRPr="004E03FB" w:rsidRDefault="004E03FB" w:rsidP="00117CD2">
      <w:pPr>
        <w:ind w:firstLine="720"/>
        <w:rPr>
          <w:rFonts w:eastAsia="Times New Roman" w:cs="Tahoma"/>
          <w:lang w:eastAsia="en-AU"/>
        </w:rPr>
      </w:pPr>
      <w:r w:rsidRPr="004E03FB">
        <w:rPr>
          <w:rFonts w:eastAsia="Times New Roman" w:cs="Tahoma"/>
          <w:lang w:eastAsia="en-AU"/>
        </w:rPr>
        <w:t>(</w:t>
      </w:r>
      <w:proofErr w:type="spellStart"/>
      <w:r w:rsidRPr="004E03FB">
        <w:rPr>
          <w:rFonts w:eastAsia="Times New Roman" w:cs="Tahoma"/>
          <w:lang w:eastAsia="en-AU"/>
        </w:rPr>
        <w:t>i</w:t>
      </w:r>
      <w:proofErr w:type="spellEnd"/>
      <w:r w:rsidRPr="004E03FB">
        <w:rPr>
          <w:rFonts w:eastAsia="Times New Roman" w:cs="Tahoma"/>
          <w:lang w:eastAsia="en-AU"/>
        </w:rPr>
        <w:t xml:space="preserve">) </w:t>
      </w:r>
      <w:proofErr w:type="gramStart"/>
      <w:r w:rsidRPr="004E03FB">
        <w:rPr>
          <w:rFonts w:eastAsia="Times New Roman" w:cs="Tahoma"/>
          <w:lang w:eastAsia="en-AU"/>
        </w:rPr>
        <w:t>the</w:t>
      </w:r>
      <w:proofErr w:type="gramEnd"/>
      <w:r w:rsidRPr="004E03FB">
        <w:rPr>
          <w:rFonts w:eastAsia="Times New Roman" w:cs="Tahoma"/>
          <w:lang w:eastAsia="en-AU"/>
        </w:rPr>
        <w:t xml:space="preserve"> relationship between the person and the</w:t>
      </w:r>
      <w:r w:rsidR="00117CD2">
        <w:rPr>
          <w:rFonts w:eastAsia="Times New Roman" w:cs="Tahoma"/>
          <w:lang w:eastAsia="en-AU"/>
        </w:rPr>
        <w:t xml:space="preserve"> spouse</w:t>
      </w:r>
      <w:r w:rsidRPr="004E03FB">
        <w:rPr>
          <w:rFonts w:eastAsia="Times New Roman" w:cs="Tahoma"/>
          <w:lang w:eastAsia="en-AU"/>
        </w:rPr>
        <w:t xml:space="preserve"> is close and continuing, and </w:t>
      </w:r>
    </w:p>
    <w:p w:rsidR="004E03FB" w:rsidRPr="004E03FB" w:rsidRDefault="004E03FB" w:rsidP="00117CD2">
      <w:pPr>
        <w:ind w:firstLine="720"/>
        <w:rPr>
          <w:rFonts w:eastAsia="Times New Roman" w:cs="Tahoma"/>
          <w:lang w:eastAsia="en-AU"/>
        </w:rPr>
      </w:pPr>
      <w:r w:rsidRPr="004E03FB">
        <w:rPr>
          <w:rFonts w:eastAsia="Times New Roman" w:cs="Tahoma"/>
          <w:lang w:eastAsia="en-AU"/>
        </w:rPr>
        <w:t xml:space="preserve">(ii) </w:t>
      </w:r>
      <w:proofErr w:type="gramStart"/>
      <w:r w:rsidRPr="004E03FB">
        <w:rPr>
          <w:rFonts w:eastAsia="Times New Roman" w:cs="Tahoma"/>
          <w:lang w:eastAsia="en-AU"/>
        </w:rPr>
        <w:t>the</w:t>
      </w:r>
      <w:proofErr w:type="gramEnd"/>
      <w:r w:rsidR="00117CD2">
        <w:rPr>
          <w:rFonts w:eastAsia="Times New Roman" w:cs="Tahoma"/>
          <w:lang w:eastAsia="en-AU"/>
        </w:rPr>
        <w:t xml:space="preserve"> spouse</w:t>
      </w:r>
      <w:r w:rsidRPr="004E03FB">
        <w:rPr>
          <w:rFonts w:eastAsia="Times New Roman" w:cs="Tahoma"/>
          <w:lang w:eastAsia="en-AU"/>
        </w:rPr>
        <w:t xml:space="preserve"> is not a</w:t>
      </w:r>
      <w:r w:rsidR="00117CD2">
        <w:rPr>
          <w:rFonts w:eastAsia="Times New Roman" w:cs="Tahoma"/>
          <w:lang w:eastAsia="en-AU"/>
        </w:rPr>
        <w:t xml:space="preserve"> person under guardianship</w:t>
      </w:r>
      <w:r w:rsidRPr="004E03FB">
        <w:rPr>
          <w:rFonts w:eastAsia="Times New Roman" w:cs="Tahoma"/>
          <w:lang w:eastAsia="en-AU"/>
        </w:rPr>
        <w:t xml:space="preserve">, </w:t>
      </w:r>
    </w:p>
    <w:p w:rsidR="004E03FB" w:rsidRPr="004E03FB" w:rsidRDefault="004E03FB" w:rsidP="004E03FB">
      <w:pPr>
        <w:rPr>
          <w:rFonts w:eastAsia="Times New Roman" w:cs="Tahoma"/>
          <w:lang w:eastAsia="en-AU"/>
        </w:rPr>
      </w:pPr>
      <w:r w:rsidRPr="004E03FB">
        <w:rPr>
          <w:rFonts w:eastAsia="Times New Roman" w:cs="Tahoma"/>
          <w:lang w:eastAsia="en-AU"/>
        </w:rPr>
        <w:t xml:space="preserve">(c) </w:t>
      </w:r>
      <w:proofErr w:type="gramStart"/>
      <w:r w:rsidRPr="004E03FB">
        <w:rPr>
          <w:rFonts w:eastAsia="Times New Roman" w:cs="Tahoma"/>
          <w:lang w:eastAsia="en-AU"/>
        </w:rPr>
        <w:t>a</w:t>
      </w:r>
      <w:proofErr w:type="gramEnd"/>
      <w:r w:rsidRPr="004E03FB">
        <w:rPr>
          <w:rFonts w:eastAsia="Times New Roman" w:cs="Tahoma"/>
          <w:lang w:eastAsia="en-AU"/>
        </w:rPr>
        <w:t xml:space="preserve"> person who has the care of the person, </w:t>
      </w:r>
    </w:p>
    <w:p w:rsidR="004E03FB" w:rsidRPr="004E03FB" w:rsidRDefault="004E03FB" w:rsidP="004E03FB">
      <w:pPr>
        <w:rPr>
          <w:rFonts w:eastAsia="Times New Roman" w:cs="Tahoma"/>
          <w:lang w:eastAsia="en-AU"/>
        </w:rPr>
      </w:pPr>
      <w:r w:rsidRPr="004E03FB">
        <w:rPr>
          <w:rFonts w:eastAsia="Times New Roman" w:cs="Tahoma"/>
          <w:lang w:eastAsia="en-AU"/>
        </w:rPr>
        <w:t xml:space="preserve">(d) </w:t>
      </w:r>
      <w:proofErr w:type="gramStart"/>
      <w:r w:rsidRPr="004E03FB">
        <w:rPr>
          <w:rFonts w:eastAsia="Times New Roman" w:cs="Tahoma"/>
          <w:lang w:eastAsia="en-AU"/>
        </w:rPr>
        <w:t>a</w:t>
      </w:r>
      <w:proofErr w:type="gramEnd"/>
      <w:r w:rsidRPr="004E03FB">
        <w:rPr>
          <w:rFonts w:eastAsia="Times New Roman" w:cs="Tahoma"/>
          <w:lang w:eastAsia="en-AU"/>
        </w:rPr>
        <w:t xml:space="preserve"> close friend or relative of the person. </w:t>
      </w:r>
    </w:p>
    <w:p w:rsidR="004E03FB" w:rsidRDefault="004E03FB" w:rsidP="00777520"/>
    <w:p w:rsidR="00117CD2" w:rsidRPr="00677A4A" w:rsidRDefault="00117CD2" w:rsidP="00777520">
      <w:pPr>
        <w:rPr>
          <w:i/>
        </w:rPr>
      </w:pPr>
      <w:r w:rsidRPr="00677A4A">
        <w:rPr>
          <w:i/>
        </w:rPr>
        <w:t>(</w:t>
      </w:r>
      <w:proofErr w:type="gramStart"/>
      <w:r w:rsidRPr="00677A4A">
        <w:rPr>
          <w:i/>
        </w:rPr>
        <w:t>spouse</w:t>
      </w:r>
      <w:proofErr w:type="gramEnd"/>
      <w:r w:rsidRPr="00677A4A">
        <w:rPr>
          <w:i/>
        </w:rPr>
        <w:t xml:space="preserve"> is identified as husband, wife or </w:t>
      </w:r>
      <w:proofErr w:type="spellStart"/>
      <w:r w:rsidRPr="00677A4A">
        <w:rPr>
          <w:i/>
        </w:rPr>
        <w:t>defacto</w:t>
      </w:r>
      <w:proofErr w:type="spellEnd"/>
      <w:r w:rsidRPr="00677A4A">
        <w:rPr>
          <w:i/>
        </w:rPr>
        <w:t xml:space="preserve"> partner)</w:t>
      </w:r>
    </w:p>
    <w:p w:rsidR="00117CD2" w:rsidRDefault="00117CD2" w:rsidP="00777520"/>
    <w:p w:rsidR="004E03FB" w:rsidRPr="00677A4A" w:rsidRDefault="004E03FB" w:rsidP="00777520">
      <w:pPr>
        <w:rPr>
          <w:b/>
        </w:rPr>
      </w:pPr>
      <w:r w:rsidRPr="00677A4A">
        <w:rPr>
          <w:b/>
        </w:rPr>
        <w:t xml:space="preserve">Tasmanian </w:t>
      </w:r>
      <w:r w:rsidR="00677A4A" w:rsidRPr="00677A4A">
        <w:rPr>
          <w:b/>
        </w:rPr>
        <w:t>Guardianship</w:t>
      </w:r>
      <w:r w:rsidRPr="00677A4A">
        <w:rPr>
          <w:b/>
        </w:rPr>
        <w:t xml:space="preserve"> and Administration Act</w:t>
      </w:r>
    </w:p>
    <w:p w:rsidR="004E03FB" w:rsidRDefault="004E03FB" w:rsidP="00777520"/>
    <w:p w:rsidR="004E03FB" w:rsidRPr="00677A4A" w:rsidRDefault="004E03FB" w:rsidP="00677A4A">
      <w:pPr>
        <w:pStyle w:val="NormalWeb"/>
        <w:spacing w:before="0" w:beforeAutospacing="0" w:after="0" w:afterAutospacing="0"/>
        <w:rPr>
          <w:rFonts w:ascii="Tahoma" w:hAnsi="Tahoma" w:cs="Tahoma"/>
          <w:sz w:val="22"/>
          <w:szCs w:val="22"/>
        </w:rPr>
      </w:pPr>
      <w:r w:rsidRPr="00677A4A">
        <w:rPr>
          <w:rFonts w:ascii="Tahoma" w:hAnsi="Tahoma" w:cs="Tahoma"/>
          <w:sz w:val="22"/>
          <w:szCs w:val="22"/>
        </w:rPr>
        <w:t>(1) In this Act,</w:t>
      </w:r>
      <w:r w:rsidR="00677A4A">
        <w:rPr>
          <w:rFonts w:ascii="Tahoma" w:hAnsi="Tahoma" w:cs="Tahoma"/>
          <w:sz w:val="22"/>
          <w:szCs w:val="22"/>
        </w:rPr>
        <w:t xml:space="preserve"> person responsible</w:t>
      </w:r>
      <w:r w:rsidRPr="00677A4A">
        <w:rPr>
          <w:rFonts w:ascii="Tahoma" w:hAnsi="Tahoma" w:cs="Tahoma"/>
          <w:sz w:val="22"/>
          <w:szCs w:val="22"/>
        </w:rPr>
        <w:t xml:space="preserve"> for another person means – </w:t>
      </w:r>
    </w:p>
    <w:p w:rsidR="004E03FB" w:rsidRPr="00677A4A" w:rsidRDefault="004E03FB" w:rsidP="00677A4A">
      <w:pPr>
        <w:pStyle w:val="NormalWeb"/>
        <w:spacing w:before="0" w:beforeAutospacing="0" w:after="0" w:afterAutospacing="0"/>
        <w:ind w:firstLine="720"/>
        <w:rPr>
          <w:rFonts w:ascii="Tahoma" w:hAnsi="Tahoma" w:cs="Tahoma"/>
          <w:sz w:val="22"/>
          <w:szCs w:val="22"/>
        </w:rPr>
      </w:pPr>
      <w:r w:rsidRPr="00677A4A">
        <w:rPr>
          <w:rFonts w:ascii="Tahoma" w:hAnsi="Tahoma" w:cs="Tahoma"/>
          <w:sz w:val="22"/>
          <w:szCs w:val="22"/>
        </w:rPr>
        <w:t xml:space="preserve">(a) </w:t>
      </w:r>
      <w:proofErr w:type="gramStart"/>
      <w:r w:rsidRPr="00677A4A">
        <w:rPr>
          <w:rFonts w:ascii="Tahoma" w:hAnsi="Tahoma" w:cs="Tahoma"/>
          <w:sz w:val="22"/>
          <w:szCs w:val="22"/>
        </w:rPr>
        <w:t>where</w:t>
      </w:r>
      <w:proofErr w:type="gramEnd"/>
      <w:r w:rsidRPr="00677A4A">
        <w:rPr>
          <w:rFonts w:ascii="Tahoma" w:hAnsi="Tahoma" w:cs="Tahoma"/>
          <w:sz w:val="22"/>
          <w:szCs w:val="22"/>
        </w:rPr>
        <w:t xml:space="preserve"> the other person is under the age of 18 years and has a spouse, the spouse; or </w:t>
      </w:r>
    </w:p>
    <w:p w:rsidR="004E03FB" w:rsidRPr="00677A4A" w:rsidRDefault="004E03FB" w:rsidP="00677A4A">
      <w:pPr>
        <w:pStyle w:val="NormalWeb"/>
        <w:spacing w:before="0" w:beforeAutospacing="0" w:after="0" w:afterAutospacing="0"/>
        <w:ind w:left="720"/>
        <w:rPr>
          <w:rFonts w:ascii="Tahoma" w:hAnsi="Tahoma" w:cs="Tahoma"/>
          <w:sz w:val="22"/>
          <w:szCs w:val="22"/>
        </w:rPr>
      </w:pPr>
      <w:r w:rsidRPr="00677A4A">
        <w:rPr>
          <w:rFonts w:ascii="Tahoma" w:hAnsi="Tahoma" w:cs="Tahoma"/>
          <w:sz w:val="22"/>
          <w:szCs w:val="22"/>
        </w:rPr>
        <w:t xml:space="preserve">(b) </w:t>
      </w:r>
      <w:proofErr w:type="gramStart"/>
      <w:r w:rsidRPr="00677A4A">
        <w:rPr>
          <w:rFonts w:ascii="Tahoma" w:hAnsi="Tahoma" w:cs="Tahoma"/>
          <w:sz w:val="22"/>
          <w:szCs w:val="22"/>
        </w:rPr>
        <w:t>where</w:t>
      </w:r>
      <w:proofErr w:type="gramEnd"/>
      <w:r w:rsidRPr="00677A4A">
        <w:rPr>
          <w:rFonts w:ascii="Tahoma" w:hAnsi="Tahoma" w:cs="Tahoma"/>
          <w:sz w:val="22"/>
          <w:szCs w:val="22"/>
        </w:rPr>
        <w:t xml:space="preserve"> the other person is under the age of 18 years and has no spouse, his or her parent; or </w:t>
      </w:r>
    </w:p>
    <w:p w:rsidR="004E03FB" w:rsidRPr="00677A4A" w:rsidRDefault="004E03FB" w:rsidP="00677A4A">
      <w:pPr>
        <w:pStyle w:val="NormalWeb"/>
        <w:spacing w:before="0" w:beforeAutospacing="0" w:after="0" w:afterAutospacing="0"/>
        <w:ind w:left="720"/>
        <w:rPr>
          <w:rFonts w:ascii="Tahoma" w:hAnsi="Tahoma" w:cs="Tahoma"/>
          <w:sz w:val="22"/>
          <w:szCs w:val="22"/>
        </w:rPr>
      </w:pPr>
      <w:r w:rsidRPr="00677A4A">
        <w:rPr>
          <w:rFonts w:ascii="Tahoma" w:hAnsi="Tahoma" w:cs="Tahoma"/>
          <w:sz w:val="22"/>
          <w:szCs w:val="22"/>
        </w:rPr>
        <w:t xml:space="preserve">(c) </w:t>
      </w:r>
      <w:proofErr w:type="gramStart"/>
      <w:r w:rsidRPr="00677A4A">
        <w:rPr>
          <w:rFonts w:ascii="Tahoma" w:hAnsi="Tahoma" w:cs="Tahoma"/>
          <w:sz w:val="22"/>
          <w:szCs w:val="22"/>
        </w:rPr>
        <w:t>where</w:t>
      </w:r>
      <w:proofErr w:type="gramEnd"/>
      <w:r w:rsidRPr="00677A4A">
        <w:rPr>
          <w:rFonts w:ascii="Tahoma" w:hAnsi="Tahoma" w:cs="Tahoma"/>
          <w:sz w:val="22"/>
          <w:szCs w:val="22"/>
        </w:rPr>
        <w:t xml:space="preserve"> the other person is of or over the age of 18 years, one of the following persons, in order of priority: </w:t>
      </w:r>
    </w:p>
    <w:p w:rsidR="004E03FB" w:rsidRPr="00677A4A" w:rsidRDefault="004E03FB" w:rsidP="00677A4A">
      <w:pPr>
        <w:pStyle w:val="NormalWeb"/>
        <w:spacing w:before="0" w:beforeAutospacing="0" w:after="0" w:afterAutospacing="0"/>
        <w:ind w:left="720" w:firstLine="720"/>
        <w:rPr>
          <w:rFonts w:ascii="Tahoma" w:hAnsi="Tahoma" w:cs="Tahoma"/>
          <w:sz w:val="22"/>
          <w:szCs w:val="22"/>
        </w:rPr>
      </w:pPr>
      <w:r w:rsidRPr="00677A4A">
        <w:rPr>
          <w:rFonts w:ascii="Tahoma" w:hAnsi="Tahoma" w:cs="Tahoma"/>
          <w:sz w:val="22"/>
          <w:szCs w:val="22"/>
        </w:rPr>
        <w:t>(</w:t>
      </w:r>
      <w:proofErr w:type="spellStart"/>
      <w:r w:rsidRPr="00677A4A">
        <w:rPr>
          <w:rFonts w:ascii="Tahoma" w:hAnsi="Tahoma" w:cs="Tahoma"/>
          <w:sz w:val="22"/>
          <w:szCs w:val="22"/>
        </w:rPr>
        <w:t>i</w:t>
      </w:r>
      <w:proofErr w:type="spellEnd"/>
      <w:r w:rsidRPr="00677A4A">
        <w:rPr>
          <w:rFonts w:ascii="Tahoma" w:hAnsi="Tahoma" w:cs="Tahoma"/>
          <w:sz w:val="22"/>
          <w:szCs w:val="22"/>
        </w:rPr>
        <w:t xml:space="preserve">) </w:t>
      </w:r>
      <w:proofErr w:type="gramStart"/>
      <w:r w:rsidRPr="00677A4A">
        <w:rPr>
          <w:rFonts w:ascii="Tahoma" w:hAnsi="Tahoma" w:cs="Tahoma"/>
          <w:sz w:val="22"/>
          <w:szCs w:val="22"/>
        </w:rPr>
        <w:t>his</w:t>
      </w:r>
      <w:proofErr w:type="gramEnd"/>
      <w:r w:rsidRPr="00677A4A">
        <w:rPr>
          <w:rFonts w:ascii="Tahoma" w:hAnsi="Tahoma" w:cs="Tahoma"/>
          <w:sz w:val="22"/>
          <w:szCs w:val="22"/>
        </w:rPr>
        <w:t xml:space="preserve"> or her guardian; </w:t>
      </w:r>
    </w:p>
    <w:p w:rsidR="004E03FB" w:rsidRPr="00677A4A" w:rsidRDefault="004E03FB" w:rsidP="00677A4A">
      <w:pPr>
        <w:pStyle w:val="NormalWeb"/>
        <w:spacing w:before="0" w:beforeAutospacing="0" w:after="0" w:afterAutospacing="0"/>
        <w:ind w:left="720" w:firstLine="720"/>
        <w:rPr>
          <w:rFonts w:ascii="Tahoma" w:hAnsi="Tahoma" w:cs="Tahoma"/>
          <w:sz w:val="22"/>
          <w:szCs w:val="22"/>
        </w:rPr>
      </w:pPr>
      <w:r w:rsidRPr="00677A4A">
        <w:rPr>
          <w:rFonts w:ascii="Tahoma" w:hAnsi="Tahoma" w:cs="Tahoma"/>
          <w:sz w:val="22"/>
          <w:szCs w:val="22"/>
        </w:rPr>
        <w:t xml:space="preserve">(ii) </w:t>
      </w:r>
      <w:proofErr w:type="gramStart"/>
      <w:r w:rsidRPr="00677A4A">
        <w:rPr>
          <w:rFonts w:ascii="Tahoma" w:hAnsi="Tahoma" w:cs="Tahoma"/>
          <w:sz w:val="22"/>
          <w:szCs w:val="22"/>
        </w:rPr>
        <w:t>his</w:t>
      </w:r>
      <w:proofErr w:type="gramEnd"/>
      <w:r w:rsidRPr="00677A4A">
        <w:rPr>
          <w:rFonts w:ascii="Tahoma" w:hAnsi="Tahoma" w:cs="Tahoma"/>
          <w:sz w:val="22"/>
          <w:szCs w:val="22"/>
        </w:rPr>
        <w:t xml:space="preserve"> or her spouse; </w:t>
      </w:r>
    </w:p>
    <w:p w:rsidR="004E03FB" w:rsidRPr="00677A4A" w:rsidRDefault="004E03FB" w:rsidP="00677A4A">
      <w:pPr>
        <w:pStyle w:val="NormalWeb"/>
        <w:spacing w:before="0" w:beforeAutospacing="0" w:after="0" w:afterAutospacing="0"/>
        <w:ind w:left="720" w:firstLine="720"/>
        <w:rPr>
          <w:rFonts w:ascii="Tahoma" w:hAnsi="Tahoma" w:cs="Tahoma"/>
          <w:sz w:val="22"/>
          <w:szCs w:val="22"/>
        </w:rPr>
      </w:pPr>
      <w:r w:rsidRPr="00677A4A">
        <w:rPr>
          <w:rFonts w:ascii="Tahoma" w:hAnsi="Tahoma" w:cs="Tahoma"/>
          <w:sz w:val="22"/>
          <w:szCs w:val="22"/>
        </w:rPr>
        <w:t xml:space="preserve">(iii) </w:t>
      </w:r>
      <w:proofErr w:type="gramStart"/>
      <w:r w:rsidRPr="00677A4A">
        <w:rPr>
          <w:rFonts w:ascii="Tahoma" w:hAnsi="Tahoma" w:cs="Tahoma"/>
          <w:sz w:val="22"/>
          <w:szCs w:val="22"/>
        </w:rPr>
        <w:t>the</w:t>
      </w:r>
      <w:proofErr w:type="gramEnd"/>
      <w:r w:rsidRPr="00677A4A">
        <w:rPr>
          <w:rFonts w:ascii="Tahoma" w:hAnsi="Tahoma" w:cs="Tahoma"/>
          <w:sz w:val="22"/>
          <w:szCs w:val="22"/>
        </w:rPr>
        <w:t xml:space="preserve"> person having the care of the other person; </w:t>
      </w:r>
    </w:p>
    <w:p w:rsidR="004E03FB" w:rsidRPr="00677A4A" w:rsidRDefault="004E03FB" w:rsidP="00677A4A">
      <w:pPr>
        <w:pStyle w:val="NormalWeb"/>
        <w:spacing w:before="0" w:beforeAutospacing="0" w:after="0" w:afterAutospacing="0"/>
        <w:ind w:left="720" w:firstLine="720"/>
        <w:rPr>
          <w:rFonts w:ascii="Tahoma" w:hAnsi="Tahoma" w:cs="Tahoma"/>
          <w:sz w:val="22"/>
          <w:szCs w:val="22"/>
        </w:rPr>
      </w:pPr>
      <w:r w:rsidRPr="00677A4A">
        <w:rPr>
          <w:rFonts w:ascii="Tahoma" w:hAnsi="Tahoma" w:cs="Tahoma"/>
          <w:sz w:val="22"/>
          <w:szCs w:val="22"/>
        </w:rPr>
        <w:t xml:space="preserve">(iv) </w:t>
      </w:r>
      <w:proofErr w:type="gramStart"/>
      <w:r w:rsidRPr="00677A4A">
        <w:rPr>
          <w:rFonts w:ascii="Tahoma" w:hAnsi="Tahoma" w:cs="Tahoma"/>
          <w:sz w:val="22"/>
          <w:szCs w:val="22"/>
        </w:rPr>
        <w:t>a</w:t>
      </w:r>
      <w:proofErr w:type="gramEnd"/>
      <w:r w:rsidRPr="00677A4A">
        <w:rPr>
          <w:rFonts w:ascii="Tahoma" w:hAnsi="Tahoma" w:cs="Tahoma"/>
          <w:sz w:val="22"/>
          <w:szCs w:val="22"/>
        </w:rPr>
        <w:t xml:space="preserve"> close friend or relative of the other person. </w:t>
      </w:r>
    </w:p>
    <w:p w:rsidR="00677A4A" w:rsidRDefault="00677A4A" w:rsidP="00777520"/>
    <w:p w:rsidR="004E03FB" w:rsidRDefault="004E03FB" w:rsidP="00777520">
      <w:pPr>
        <w:rPr>
          <w:b/>
        </w:rPr>
      </w:pPr>
      <w:r w:rsidRPr="00677A4A">
        <w:rPr>
          <w:b/>
        </w:rPr>
        <w:t>Northern Territory</w:t>
      </w:r>
      <w:r w:rsidR="00677A4A" w:rsidRPr="00677A4A">
        <w:rPr>
          <w:b/>
        </w:rPr>
        <w:t xml:space="preserve"> Adult Guardianship Act</w:t>
      </w:r>
    </w:p>
    <w:p w:rsidR="00347D57" w:rsidRPr="00677A4A" w:rsidRDefault="00347D57" w:rsidP="00777520">
      <w:pPr>
        <w:rPr>
          <w:b/>
        </w:rPr>
      </w:pPr>
    </w:p>
    <w:p w:rsidR="004E03FB" w:rsidRPr="00677A4A" w:rsidRDefault="004E03FB" w:rsidP="00677A4A">
      <w:pPr>
        <w:pStyle w:val="NormalWeb"/>
        <w:spacing w:before="0" w:beforeAutospacing="0" w:after="0" w:afterAutospacing="0"/>
        <w:rPr>
          <w:rFonts w:ascii="Tahoma" w:hAnsi="Tahoma" w:cs="Tahoma"/>
          <w:sz w:val="22"/>
          <w:szCs w:val="22"/>
        </w:rPr>
      </w:pPr>
      <w:r w:rsidRPr="00677A4A">
        <w:rPr>
          <w:rFonts w:ascii="Tahoma" w:hAnsi="Tahoma" w:cs="Tahoma"/>
          <w:sz w:val="22"/>
          <w:szCs w:val="22"/>
        </w:rPr>
        <w:t>(2)     In the definition of</w:t>
      </w:r>
      <w:r w:rsidR="00347D57">
        <w:rPr>
          <w:rFonts w:ascii="Tahoma" w:hAnsi="Tahoma" w:cs="Tahoma"/>
          <w:sz w:val="22"/>
          <w:szCs w:val="22"/>
        </w:rPr>
        <w:t xml:space="preserve"> near rela</w:t>
      </w:r>
      <w:r w:rsidR="00677A4A">
        <w:rPr>
          <w:rFonts w:ascii="Tahoma" w:hAnsi="Tahoma" w:cs="Tahoma"/>
          <w:sz w:val="22"/>
          <w:szCs w:val="22"/>
        </w:rPr>
        <w:t>tive:</w:t>
      </w:r>
    </w:p>
    <w:p w:rsidR="004E03FB" w:rsidRPr="00677A4A" w:rsidRDefault="004E03FB" w:rsidP="00347D57">
      <w:pPr>
        <w:pStyle w:val="NormalWeb"/>
        <w:spacing w:before="0" w:beforeAutospacing="0" w:after="0" w:afterAutospacing="0"/>
        <w:ind w:left="720"/>
        <w:rPr>
          <w:rFonts w:ascii="Tahoma" w:hAnsi="Tahoma" w:cs="Tahoma"/>
          <w:sz w:val="22"/>
          <w:szCs w:val="22"/>
        </w:rPr>
      </w:pPr>
      <w:r w:rsidRPr="00677A4A">
        <w:rPr>
          <w:rFonts w:ascii="Tahoma" w:hAnsi="Tahoma" w:cs="Tahoma"/>
          <w:sz w:val="22"/>
          <w:szCs w:val="22"/>
        </w:rPr>
        <w:t xml:space="preserve">(a)     </w:t>
      </w:r>
      <w:proofErr w:type="gramStart"/>
      <w:r w:rsidRPr="00677A4A">
        <w:rPr>
          <w:rFonts w:ascii="Tahoma" w:hAnsi="Tahoma" w:cs="Tahoma"/>
          <w:sz w:val="22"/>
          <w:szCs w:val="22"/>
        </w:rPr>
        <w:t>the</w:t>
      </w:r>
      <w:proofErr w:type="gramEnd"/>
      <w:r w:rsidRPr="00677A4A">
        <w:rPr>
          <w:rFonts w:ascii="Tahoma" w:hAnsi="Tahoma" w:cs="Tahoma"/>
          <w:sz w:val="22"/>
          <w:szCs w:val="22"/>
        </w:rPr>
        <w:t xml:space="preserve"> reference to </w:t>
      </w:r>
      <w:r w:rsidRPr="00677A4A">
        <w:rPr>
          <w:rFonts w:ascii="Tahoma" w:hAnsi="Tahoma" w:cs="Tahoma"/>
          <w:b/>
          <w:bCs/>
          <w:i/>
          <w:iCs/>
          <w:sz w:val="22"/>
          <w:szCs w:val="22"/>
        </w:rPr>
        <w:t xml:space="preserve">another relative </w:t>
      </w:r>
      <w:r w:rsidRPr="00677A4A">
        <w:rPr>
          <w:rFonts w:ascii="Tahoma" w:hAnsi="Tahoma" w:cs="Tahoma"/>
          <w:sz w:val="22"/>
          <w:szCs w:val="22"/>
        </w:rPr>
        <w:t xml:space="preserve">is a reference to a person connected by blood relationship, marriage, de facto relationship, adoption or custom, and for this purpose persons are connected: </w:t>
      </w:r>
    </w:p>
    <w:p w:rsidR="004E03FB" w:rsidRPr="00677A4A" w:rsidRDefault="004E03FB" w:rsidP="00677A4A">
      <w:pPr>
        <w:pStyle w:val="NormalWeb"/>
        <w:spacing w:before="0" w:beforeAutospacing="0" w:after="0" w:afterAutospacing="0"/>
        <w:rPr>
          <w:rFonts w:ascii="Tahoma" w:hAnsi="Tahoma" w:cs="Tahoma"/>
          <w:sz w:val="22"/>
          <w:szCs w:val="22"/>
        </w:rPr>
      </w:pPr>
      <w:r w:rsidRPr="00677A4A">
        <w:rPr>
          <w:rFonts w:ascii="Tahoma" w:hAnsi="Tahoma" w:cs="Tahoma"/>
          <w:sz w:val="22"/>
          <w:szCs w:val="22"/>
        </w:rPr>
        <w:t>         </w:t>
      </w:r>
      <w:r w:rsidR="00347D57">
        <w:rPr>
          <w:rFonts w:ascii="Tahoma" w:hAnsi="Tahoma" w:cs="Tahoma"/>
          <w:sz w:val="22"/>
          <w:szCs w:val="22"/>
        </w:rPr>
        <w:tab/>
      </w:r>
      <w:r w:rsidRPr="00677A4A">
        <w:rPr>
          <w:rFonts w:ascii="Tahoma" w:hAnsi="Tahoma" w:cs="Tahoma"/>
          <w:sz w:val="22"/>
          <w:szCs w:val="22"/>
        </w:rPr>
        <w:t xml:space="preserve">   </w:t>
      </w:r>
      <w:r w:rsidR="00347D57">
        <w:rPr>
          <w:rFonts w:ascii="Tahoma" w:hAnsi="Tahoma" w:cs="Tahoma"/>
          <w:sz w:val="22"/>
          <w:szCs w:val="22"/>
        </w:rPr>
        <w:tab/>
      </w:r>
      <w:r w:rsidRPr="00677A4A">
        <w:rPr>
          <w:rFonts w:ascii="Tahoma" w:hAnsi="Tahoma" w:cs="Tahoma"/>
          <w:sz w:val="22"/>
          <w:szCs w:val="22"/>
        </w:rPr>
        <w:t>(</w:t>
      </w:r>
      <w:proofErr w:type="spellStart"/>
      <w:r w:rsidRPr="00677A4A">
        <w:rPr>
          <w:rFonts w:ascii="Tahoma" w:hAnsi="Tahoma" w:cs="Tahoma"/>
          <w:sz w:val="22"/>
          <w:szCs w:val="22"/>
        </w:rPr>
        <w:t>i</w:t>
      </w:r>
      <w:proofErr w:type="spellEnd"/>
      <w:r w:rsidRPr="00677A4A">
        <w:rPr>
          <w:rFonts w:ascii="Tahoma" w:hAnsi="Tahoma" w:cs="Tahoma"/>
          <w:sz w:val="22"/>
          <w:szCs w:val="22"/>
        </w:rPr>
        <w:t xml:space="preserve">)     </w:t>
      </w:r>
      <w:proofErr w:type="gramStart"/>
      <w:r w:rsidRPr="00677A4A">
        <w:rPr>
          <w:rFonts w:ascii="Tahoma" w:hAnsi="Tahoma" w:cs="Tahoma"/>
          <w:sz w:val="22"/>
          <w:szCs w:val="22"/>
        </w:rPr>
        <w:t>by</w:t>
      </w:r>
      <w:proofErr w:type="gramEnd"/>
      <w:r w:rsidRPr="00677A4A">
        <w:rPr>
          <w:rFonts w:ascii="Tahoma" w:hAnsi="Tahoma" w:cs="Tahoma"/>
          <w:sz w:val="22"/>
          <w:szCs w:val="22"/>
        </w:rPr>
        <w:t xml:space="preserve"> blood relationship if within the fourth degree of relationship; </w:t>
      </w:r>
    </w:p>
    <w:p w:rsidR="004E03FB" w:rsidRPr="00677A4A" w:rsidRDefault="004E03FB" w:rsidP="00347D57">
      <w:pPr>
        <w:pStyle w:val="NormalWeb"/>
        <w:spacing w:before="0" w:beforeAutospacing="0" w:after="0" w:afterAutospacing="0"/>
        <w:ind w:left="1440"/>
        <w:rPr>
          <w:rFonts w:ascii="Tahoma" w:hAnsi="Tahoma" w:cs="Tahoma"/>
          <w:sz w:val="22"/>
          <w:szCs w:val="22"/>
        </w:rPr>
      </w:pPr>
      <w:r w:rsidRPr="00677A4A">
        <w:rPr>
          <w:rFonts w:ascii="Tahoma" w:hAnsi="Tahoma" w:cs="Tahoma"/>
          <w:sz w:val="22"/>
          <w:szCs w:val="22"/>
        </w:rPr>
        <w:t xml:space="preserve">(ii)     </w:t>
      </w:r>
      <w:proofErr w:type="gramStart"/>
      <w:r w:rsidRPr="00677A4A">
        <w:rPr>
          <w:rFonts w:ascii="Tahoma" w:hAnsi="Tahoma" w:cs="Tahoma"/>
          <w:sz w:val="22"/>
          <w:szCs w:val="22"/>
        </w:rPr>
        <w:t>by</w:t>
      </w:r>
      <w:proofErr w:type="gramEnd"/>
      <w:r w:rsidRPr="00677A4A">
        <w:rPr>
          <w:rFonts w:ascii="Tahoma" w:hAnsi="Tahoma" w:cs="Tahoma"/>
          <w:sz w:val="22"/>
          <w:szCs w:val="22"/>
        </w:rPr>
        <w:t xml:space="preserve"> marriage if one is married to the other or to a person who is connected by blood relationship to the other; </w:t>
      </w:r>
    </w:p>
    <w:p w:rsidR="004E03FB" w:rsidRPr="00677A4A" w:rsidRDefault="004E03FB" w:rsidP="00347D57">
      <w:pPr>
        <w:pStyle w:val="NormalWeb"/>
        <w:spacing w:before="0" w:beforeAutospacing="0" w:after="0" w:afterAutospacing="0"/>
        <w:ind w:left="1440"/>
        <w:rPr>
          <w:rFonts w:ascii="Tahoma" w:hAnsi="Tahoma" w:cs="Tahoma"/>
          <w:sz w:val="22"/>
          <w:szCs w:val="22"/>
        </w:rPr>
      </w:pPr>
      <w:r w:rsidRPr="00677A4A">
        <w:rPr>
          <w:rFonts w:ascii="Tahoma" w:hAnsi="Tahoma" w:cs="Tahoma"/>
          <w:sz w:val="22"/>
          <w:szCs w:val="22"/>
        </w:rPr>
        <w:t>(</w:t>
      </w:r>
      <w:proofErr w:type="spellStart"/>
      <w:r w:rsidRPr="00677A4A">
        <w:rPr>
          <w:rFonts w:ascii="Tahoma" w:hAnsi="Tahoma" w:cs="Tahoma"/>
          <w:sz w:val="22"/>
          <w:szCs w:val="22"/>
        </w:rPr>
        <w:t>iia</w:t>
      </w:r>
      <w:proofErr w:type="spellEnd"/>
      <w:r w:rsidRPr="00677A4A">
        <w:rPr>
          <w:rFonts w:ascii="Tahoma" w:hAnsi="Tahoma" w:cs="Tahoma"/>
          <w:sz w:val="22"/>
          <w:szCs w:val="22"/>
        </w:rPr>
        <w:t xml:space="preserve">)     by de facto relationship if one is in a de facto relationship with the other or with a person who is connected by blood relationship to the other; </w:t>
      </w:r>
    </w:p>
    <w:p w:rsidR="004E03FB" w:rsidRPr="00677A4A" w:rsidRDefault="004E03FB" w:rsidP="00347D57">
      <w:pPr>
        <w:pStyle w:val="NormalWeb"/>
        <w:spacing w:before="0" w:beforeAutospacing="0" w:after="0" w:afterAutospacing="0"/>
        <w:ind w:left="1440"/>
        <w:rPr>
          <w:rFonts w:ascii="Tahoma" w:hAnsi="Tahoma" w:cs="Tahoma"/>
          <w:sz w:val="22"/>
          <w:szCs w:val="22"/>
        </w:rPr>
      </w:pPr>
      <w:r w:rsidRPr="00677A4A">
        <w:rPr>
          <w:rFonts w:ascii="Tahoma" w:hAnsi="Tahoma" w:cs="Tahoma"/>
          <w:sz w:val="22"/>
          <w:szCs w:val="22"/>
        </w:rPr>
        <w:t xml:space="preserve">(iii)     </w:t>
      </w:r>
      <w:proofErr w:type="gramStart"/>
      <w:r w:rsidRPr="00677A4A">
        <w:rPr>
          <w:rFonts w:ascii="Tahoma" w:hAnsi="Tahoma" w:cs="Tahoma"/>
          <w:sz w:val="22"/>
          <w:szCs w:val="22"/>
        </w:rPr>
        <w:t>by</w:t>
      </w:r>
      <w:proofErr w:type="gramEnd"/>
      <w:r w:rsidRPr="00677A4A">
        <w:rPr>
          <w:rFonts w:ascii="Tahoma" w:hAnsi="Tahoma" w:cs="Tahoma"/>
          <w:sz w:val="22"/>
          <w:szCs w:val="22"/>
        </w:rPr>
        <w:t xml:space="preserve"> adoption if one has been adopted as the child of the other or as a child of a person who is within the third degree of relationship to the other; and </w:t>
      </w:r>
    </w:p>
    <w:p w:rsidR="004E03FB" w:rsidRDefault="004E03FB" w:rsidP="00347D57">
      <w:pPr>
        <w:pStyle w:val="NormalWeb"/>
        <w:spacing w:before="0" w:beforeAutospacing="0" w:after="0" w:afterAutospacing="0"/>
        <w:ind w:left="1440"/>
        <w:rPr>
          <w:rFonts w:ascii="Tahoma" w:hAnsi="Tahoma" w:cs="Tahoma"/>
          <w:sz w:val="22"/>
          <w:szCs w:val="22"/>
        </w:rPr>
      </w:pPr>
      <w:r w:rsidRPr="00677A4A">
        <w:rPr>
          <w:rFonts w:ascii="Tahoma" w:hAnsi="Tahoma" w:cs="Tahoma"/>
          <w:sz w:val="22"/>
          <w:szCs w:val="22"/>
        </w:rPr>
        <w:lastRenderedPageBreak/>
        <w:t xml:space="preserve">(iv)     </w:t>
      </w:r>
      <w:proofErr w:type="gramStart"/>
      <w:r w:rsidRPr="00677A4A">
        <w:rPr>
          <w:rFonts w:ascii="Tahoma" w:hAnsi="Tahoma" w:cs="Tahoma"/>
          <w:sz w:val="22"/>
          <w:szCs w:val="22"/>
        </w:rPr>
        <w:t>by</w:t>
      </w:r>
      <w:proofErr w:type="gramEnd"/>
      <w:r w:rsidRPr="00677A4A">
        <w:rPr>
          <w:rFonts w:ascii="Tahoma" w:hAnsi="Tahoma" w:cs="Tahoma"/>
          <w:sz w:val="22"/>
          <w:szCs w:val="22"/>
        </w:rPr>
        <w:t xml:space="preserve"> custom if the relationship is generally regarded in a community as being akin to one of blood, marriage or adoption; and </w:t>
      </w:r>
    </w:p>
    <w:p w:rsidR="00347D57" w:rsidRPr="00677A4A" w:rsidRDefault="00347D57" w:rsidP="00347D57">
      <w:pPr>
        <w:pStyle w:val="NormalWeb"/>
        <w:spacing w:before="0" w:beforeAutospacing="0" w:after="0" w:afterAutospacing="0"/>
        <w:ind w:left="1440"/>
        <w:rPr>
          <w:rFonts w:ascii="Tahoma" w:hAnsi="Tahoma" w:cs="Tahoma"/>
          <w:sz w:val="22"/>
          <w:szCs w:val="22"/>
        </w:rPr>
      </w:pPr>
    </w:p>
    <w:p w:rsidR="00347D57" w:rsidRPr="00A04AF4" w:rsidRDefault="004E03FB" w:rsidP="00A04AF4">
      <w:pPr>
        <w:pStyle w:val="NormalWeb"/>
        <w:spacing w:before="0" w:beforeAutospacing="0" w:after="0" w:afterAutospacing="0"/>
        <w:ind w:left="555"/>
        <w:rPr>
          <w:rFonts w:ascii="Tahoma" w:hAnsi="Tahoma" w:cs="Tahoma"/>
          <w:sz w:val="22"/>
          <w:szCs w:val="22"/>
        </w:rPr>
      </w:pPr>
      <w:r w:rsidRPr="00677A4A">
        <w:rPr>
          <w:rFonts w:ascii="Tahoma" w:hAnsi="Tahoma" w:cs="Tahoma"/>
          <w:sz w:val="22"/>
          <w:szCs w:val="22"/>
        </w:rPr>
        <w:t xml:space="preserve">(b)     </w:t>
      </w:r>
      <w:proofErr w:type="gramStart"/>
      <w:r w:rsidRPr="00677A4A">
        <w:rPr>
          <w:rFonts w:ascii="Tahoma" w:hAnsi="Tahoma" w:cs="Tahoma"/>
          <w:sz w:val="22"/>
          <w:szCs w:val="22"/>
        </w:rPr>
        <w:t>the</w:t>
      </w:r>
      <w:proofErr w:type="gramEnd"/>
      <w:r w:rsidRPr="00677A4A">
        <w:rPr>
          <w:rFonts w:ascii="Tahoma" w:hAnsi="Tahoma" w:cs="Tahoma"/>
          <w:sz w:val="22"/>
          <w:szCs w:val="22"/>
        </w:rPr>
        <w:t xml:space="preserve"> reference to the spouse of a person includes a reference to a person who is not legally married to the first-mentioned person but who lives with that person on a bona fide domestic basis. </w:t>
      </w:r>
    </w:p>
    <w:p w:rsidR="00347D57" w:rsidRDefault="00347D57" w:rsidP="004E03FB">
      <w:pPr>
        <w:autoSpaceDE w:val="0"/>
        <w:autoSpaceDN w:val="0"/>
        <w:adjustRightInd w:val="0"/>
        <w:rPr>
          <w:rFonts w:ascii="Arial" w:hAnsi="Arial" w:cs="Arial"/>
          <w:sz w:val="21"/>
          <w:szCs w:val="21"/>
        </w:rPr>
      </w:pPr>
    </w:p>
    <w:p w:rsidR="004E03FB" w:rsidRPr="00347D57" w:rsidRDefault="004E03FB" w:rsidP="004E03FB">
      <w:pPr>
        <w:autoSpaceDE w:val="0"/>
        <w:autoSpaceDN w:val="0"/>
        <w:adjustRightInd w:val="0"/>
        <w:rPr>
          <w:rFonts w:cs="Tahoma"/>
          <w:b/>
          <w:sz w:val="26"/>
          <w:szCs w:val="26"/>
        </w:rPr>
      </w:pPr>
      <w:r w:rsidRPr="00347D57">
        <w:rPr>
          <w:rFonts w:cs="Tahoma"/>
          <w:b/>
          <w:sz w:val="26"/>
          <w:szCs w:val="26"/>
        </w:rPr>
        <w:t>Powers of Attorney</w:t>
      </w:r>
    </w:p>
    <w:p w:rsidR="006D5858" w:rsidRDefault="006D5858" w:rsidP="004E03FB">
      <w:pPr>
        <w:autoSpaceDE w:val="0"/>
        <w:autoSpaceDN w:val="0"/>
        <w:adjustRightInd w:val="0"/>
        <w:rPr>
          <w:rFonts w:ascii="Arial" w:hAnsi="Arial" w:cs="Arial"/>
          <w:sz w:val="21"/>
          <w:szCs w:val="21"/>
        </w:rPr>
      </w:pPr>
    </w:p>
    <w:p w:rsidR="006D5858" w:rsidRPr="00347D57" w:rsidRDefault="006D5858" w:rsidP="004E03FB">
      <w:pPr>
        <w:autoSpaceDE w:val="0"/>
        <w:autoSpaceDN w:val="0"/>
        <w:adjustRightInd w:val="0"/>
        <w:rPr>
          <w:rFonts w:cs="Tahoma"/>
        </w:rPr>
      </w:pPr>
      <w:r w:rsidRPr="00347D57">
        <w:rPr>
          <w:rFonts w:cs="Tahoma"/>
        </w:rPr>
        <w:t xml:space="preserve">While a quick perusal does not show a problem specific to LGBTI people there may be some issues where the Power of </w:t>
      </w:r>
      <w:r w:rsidR="00347D57" w:rsidRPr="00347D57">
        <w:rPr>
          <w:rFonts w:cs="Tahoma"/>
        </w:rPr>
        <w:t>A</w:t>
      </w:r>
      <w:r w:rsidRPr="00347D57">
        <w:rPr>
          <w:rFonts w:cs="Tahoma"/>
        </w:rPr>
        <w:t>ttorney Act refers to the relevant Guardianship Act in that State or Territory.</w:t>
      </w:r>
    </w:p>
    <w:p w:rsidR="004E03FB" w:rsidRPr="00347D57" w:rsidRDefault="004E03FB" w:rsidP="004E03FB">
      <w:pPr>
        <w:autoSpaceDE w:val="0"/>
        <w:autoSpaceDN w:val="0"/>
        <w:adjustRightInd w:val="0"/>
        <w:rPr>
          <w:rFonts w:cs="Tahoma"/>
        </w:rPr>
      </w:pPr>
    </w:p>
    <w:p w:rsidR="004E03FB" w:rsidRPr="00347D57" w:rsidRDefault="004E03FB" w:rsidP="00347D57">
      <w:pPr>
        <w:pStyle w:val="ListParagraph"/>
        <w:numPr>
          <w:ilvl w:val="0"/>
          <w:numId w:val="4"/>
        </w:numPr>
        <w:autoSpaceDE w:val="0"/>
        <w:autoSpaceDN w:val="0"/>
        <w:adjustRightInd w:val="0"/>
        <w:rPr>
          <w:rFonts w:cs="Tahoma"/>
          <w:i/>
          <w:iCs/>
        </w:rPr>
      </w:pPr>
      <w:r w:rsidRPr="00347D57">
        <w:rPr>
          <w:rFonts w:cs="Tahoma"/>
        </w:rPr>
        <w:t xml:space="preserve">Australian Capital Territory: </w:t>
      </w:r>
      <w:r w:rsidRPr="00347D57">
        <w:rPr>
          <w:rFonts w:cs="Tahoma"/>
          <w:i/>
          <w:iCs/>
        </w:rPr>
        <w:t>Powers of Attorney Act 2006</w:t>
      </w:r>
    </w:p>
    <w:p w:rsidR="004E03FB" w:rsidRPr="00347D57" w:rsidRDefault="004E03FB" w:rsidP="00347D57">
      <w:pPr>
        <w:pStyle w:val="ListParagraph"/>
        <w:numPr>
          <w:ilvl w:val="0"/>
          <w:numId w:val="4"/>
        </w:numPr>
        <w:autoSpaceDE w:val="0"/>
        <w:autoSpaceDN w:val="0"/>
        <w:adjustRightInd w:val="0"/>
        <w:rPr>
          <w:rFonts w:cs="Tahoma"/>
          <w:i/>
          <w:iCs/>
        </w:rPr>
      </w:pPr>
      <w:r w:rsidRPr="00347D57">
        <w:rPr>
          <w:rFonts w:cs="Tahoma"/>
        </w:rPr>
        <w:t xml:space="preserve">New South Wales: </w:t>
      </w:r>
      <w:r w:rsidRPr="00347D57">
        <w:rPr>
          <w:rFonts w:cs="Tahoma"/>
          <w:i/>
          <w:iCs/>
        </w:rPr>
        <w:t>Powers of Attorney Act 2003</w:t>
      </w:r>
    </w:p>
    <w:p w:rsidR="004E03FB" w:rsidRPr="00347D57" w:rsidRDefault="004E03FB" w:rsidP="00347D57">
      <w:pPr>
        <w:pStyle w:val="ListParagraph"/>
        <w:numPr>
          <w:ilvl w:val="0"/>
          <w:numId w:val="4"/>
        </w:numPr>
        <w:autoSpaceDE w:val="0"/>
        <w:autoSpaceDN w:val="0"/>
        <w:adjustRightInd w:val="0"/>
        <w:rPr>
          <w:rFonts w:cs="Tahoma"/>
          <w:i/>
          <w:iCs/>
        </w:rPr>
      </w:pPr>
      <w:r w:rsidRPr="00347D57">
        <w:rPr>
          <w:rFonts w:cs="Tahoma"/>
        </w:rPr>
        <w:t xml:space="preserve">Northern Territory: </w:t>
      </w:r>
      <w:r w:rsidRPr="00347D57">
        <w:rPr>
          <w:rFonts w:cs="Tahoma"/>
          <w:i/>
          <w:iCs/>
        </w:rPr>
        <w:t>Powers of Attorney Act 2011</w:t>
      </w:r>
    </w:p>
    <w:p w:rsidR="004E03FB" w:rsidRPr="00347D57" w:rsidRDefault="004E03FB" w:rsidP="00347D57">
      <w:pPr>
        <w:pStyle w:val="ListParagraph"/>
        <w:numPr>
          <w:ilvl w:val="0"/>
          <w:numId w:val="4"/>
        </w:numPr>
        <w:autoSpaceDE w:val="0"/>
        <w:autoSpaceDN w:val="0"/>
        <w:adjustRightInd w:val="0"/>
        <w:rPr>
          <w:rFonts w:cs="Tahoma"/>
          <w:i/>
          <w:iCs/>
        </w:rPr>
      </w:pPr>
      <w:r w:rsidRPr="00347D57">
        <w:rPr>
          <w:rFonts w:cs="Tahoma"/>
        </w:rPr>
        <w:t xml:space="preserve">Queensland: </w:t>
      </w:r>
      <w:r w:rsidRPr="00347D57">
        <w:rPr>
          <w:rFonts w:cs="Tahoma"/>
          <w:i/>
          <w:iCs/>
        </w:rPr>
        <w:t>Powers of Attorney Act 1998</w:t>
      </w:r>
    </w:p>
    <w:p w:rsidR="004E03FB" w:rsidRPr="00347D57" w:rsidRDefault="004E03FB" w:rsidP="00347D57">
      <w:pPr>
        <w:pStyle w:val="ListParagraph"/>
        <w:numPr>
          <w:ilvl w:val="0"/>
          <w:numId w:val="4"/>
        </w:numPr>
        <w:autoSpaceDE w:val="0"/>
        <w:autoSpaceDN w:val="0"/>
        <w:adjustRightInd w:val="0"/>
        <w:rPr>
          <w:rFonts w:cs="Tahoma"/>
          <w:i/>
          <w:iCs/>
        </w:rPr>
      </w:pPr>
      <w:r w:rsidRPr="00347D57">
        <w:rPr>
          <w:rFonts w:cs="Tahoma"/>
        </w:rPr>
        <w:t xml:space="preserve">South Australia: </w:t>
      </w:r>
      <w:r w:rsidRPr="00347D57">
        <w:rPr>
          <w:rFonts w:cs="Tahoma"/>
          <w:i/>
          <w:iCs/>
        </w:rPr>
        <w:t>Powers of Attorney and Agency Act 1984</w:t>
      </w:r>
    </w:p>
    <w:p w:rsidR="004E03FB" w:rsidRPr="00347D57" w:rsidRDefault="004E03FB" w:rsidP="00347D57">
      <w:pPr>
        <w:pStyle w:val="ListParagraph"/>
        <w:numPr>
          <w:ilvl w:val="0"/>
          <w:numId w:val="4"/>
        </w:numPr>
        <w:autoSpaceDE w:val="0"/>
        <w:autoSpaceDN w:val="0"/>
        <w:adjustRightInd w:val="0"/>
        <w:rPr>
          <w:rFonts w:cs="Tahoma"/>
          <w:i/>
          <w:iCs/>
        </w:rPr>
      </w:pPr>
      <w:r w:rsidRPr="00347D57">
        <w:rPr>
          <w:rFonts w:cs="Tahoma"/>
        </w:rPr>
        <w:t xml:space="preserve">Tasmania: </w:t>
      </w:r>
      <w:r w:rsidRPr="00347D57">
        <w:rPr>
          <w:rFonts w:cs="Tahoma"/>
          <w:i/>
          <w:iCs/>
        </w:rPr>
        <w:t>Powers of Attorney Act 2000</w:t>
      </w:r>
    </w:p>
    <w:p w:rsidR="004E03FB" w:rsidRPr="00347D57" w:rsidRDefault="004E03FB" w:rsidP="00347D57">
      <w:pPr>
        <w:pStyle w:val="ListParagraph"/>
        <w:numPr>
          <w:ilvl w:val="0"/>
          <w:numId w:val="4"/>
        </w:numPr>
        <w:autoSpaceDE w:val="0"/>
        <w:autoSpaceDN w:val="0"/>
        <w:adjustRightInd w:val="0"/>
        <w:rPr>
          <w:rFonts w:cs="Tahoma"/>
          <w:i/>
          <w:iCs/>
        </w:rPr>
      </w:pPr>
      <w:r w:rsidRPr="00347D57">
        <w:rPr>
          <w:rFonts w:cs="Tahoma"/>
        </w:rPr>
        <w:t xml:space="preserve">Victoria: </w:t>
      </w:r>
      <w:r w:rsidRPr="00347D57">
        <w:rPr>
          <w:rFonts w:cs="Tahoma"/>
          <w:i/>
          <w:iCs/>
        </w:rPr>
        <w:t>Instruments Act 1958</w:t>
      </w:r>
    </w:p>
    <w:p w:rsidR="004E03FB" w:rsidRPr="00347D57" w:rsidRDefault="004E03FB" w:rsidP="00347D57">
      <w:pPr>
        <w:pStyle w:val="ListParagraph"/>
        <w:numPr>
          <w:ilvl w:val="0"/>
          <w:numId w:val="4"/>
        </w:numPr>
        <w:rPr>
          <w:rFonts w:cs="Tahoma"/>
          <w:i/>
          <w:iCs/>
        </w:rPr>
      </w:pPr>
      <w:r w:rsidRPr="00347D57">
        <w:rPr>
          <w:rFonts w:cs="Tahoma"/>
        </w:rPr>
        <w:t xml:space="preserve">Western Australia: </w:t>
      </w:r>
      <w:r w:rsidRPr="00347D57">
        <w:rPr>
          <w:rFonts w:cs="Tahoma"/>
          <w:i/>
          <w:iCs/>
        </w:rPr>
        <w:t>Guardianship and Administration Act 1990</w:t>
      </w:r>
    </w:p>
    <w:p w:rsidR="006D5858" w:rsidRDefault="006D5858" w:rsidP="004E03FB">
      <w:pPr>
        <w:rPr>
          <w:rFonts w:ascii="Arial" w:hAnsi="Arial" w:cs="Arial"/>
          <w:i/>
          <w:iCs/>
          <w:sz w:val="21"/>
          <w:szCs w:val="21"/>
        </w:rPr>
      </w:pPr>
    </w:p>
    <w:p w:rsidR="00347D57" w:rsidRDefault="00347D57" w:rsidP="004E03FB">
      <w:pPr>
        <w:rPr>
          <w:rFonts w:ascii="Arial" w:hAnsi="Arial" w:cs="Arial"/>
          <w:i/>
          <w:iCs/>
          <w:sz w:val="21"/>
          <w:szCs w:val="21"/>
        </w:rPr>
      </w:pPr>
    </w:p>
    <w:p w:rsidR="006D5858" w:rsidRPr="00347D57" w:rsidRDefault="006D5858" w:rsidP="004E03FB">
      <w:pPr>
        <w:rPr>
          <w:rFonts w:cs="Tahoma"/>
          <w:b/>
          <w:iCs/>
          <w:sz w:val="26"/>
          <w:szCs w:val="26"/>
        </w:rPr>
      </w:pPr>
      <w:r w:rsidRPr="00347D57">
        <w:rPr>
          <w:rFonts w:cs="Tahoma"/>
          <w:b/>
          <w:iCs/>
          <w:sz w:val="26"/>
          <w:szCs w:val="26"/>
        </w:rPr>
        <w:t>Superannuation</w:t>
      </w:r>
    </w:p>
    <w:p w:rsidR="006D5858" w:rsidRDefault="006D5858" w:rsidP="004E03FB">
      <w:pPr>
        <w:rPr>
          <w:rFonts w:ascii="Arial" w:hAnsi="Arial" w:cs="Arial"/>
          <w:iCs/>
          <w:sz w:val="21"/>
          <w:szCs w:val="21"/>
        </w:rPr>
      </w:pPr>
    </w:p>
    <w:p w:rsidR="00347D57" w:rsidRDefault="00347D57" w:rsidP="004E03FB">
      <w:pPr>
        <w:rPr>
          <w:rFonts w:cs="Tahoma"/>
          <w:iCs/>
        </w:rPr>
      </w:pPr>
      <w:r w:rsidRPr="00347D57">
        <w:rPr>
          <w:rFonts w:cs="Tahoma"/>
          <w:iCs/>
        </w:rPr>
        <w:t>Superannuation was identified as an issue in the Australian Human Rights Commission Same Sex: Same Entitlements Report of 2007. The Report notes in section 13.4:</w:t>
      </w:r>
    </w:p>
    <w:p w:rsidR="00347D57" w:rsidRPr="00347D57" w:rsidRDefault="00347D57" w:rsidP="004E03FB">
      <w:pPr>
        <w:rPr>
          <w:rFonts w:cs="Tahoma"/>
          <w:iCs/>
        </w:rPr>
      </w:pPr>
    </w:p>
    <w:p w:rsidR="00347D57" w:rsidRDefault="00347D57" w:rsidP="00347D57">
      <w:pPr>
        <w:ind w:left="720"/>
        <w:rPr>
          <w:rFonts w:eastAsia="Times New Roman" w:cs="Tahoma"/>
          <w:lang w:eastAsia="en-AU"/>
        </w:rPr>
      </w:pPr>
      <w:r w:rsidRPr="00347D57">
        <w:rPr>
          <w:rFonts w:cs="Tahoma"/>
          <w:iCs/>
        </w:rPr>
        <w:t>“</w:t>
      </w:r>
      <w:r w:rsidR="006D5858" w:rsidRPr="006D5858">
        <w:rPr>
          <w:rFonts w:eastAsia="Times New Roman" w:cs="Tahoma"/>
          <w:lang w:eastAsia="en-AU"/>
        </w:rPr>
        <w:t>Since 1 July 2004, the Superannuation Industry Act has provided that a same-sex partner may qualify as a ‘dependant’ if the couple meets the criteria for an ‘interdependency relationship’ or if he or she can establish financial dependency on the deceased. A member of an opposite-sex couple will qualify as a ‘dependant’ if he or she meets the criteria of a ‘spouse’.</w:t>
      </w:r>
    </w:p>
    <w:p w:rsidR="006D5858" w:rsidRDefault="006D5858" w:rsidP="00347D57">
      <w:pPr>
        <w:ind w:left="720"/>
        <w:rPr>
          <w:rFonts w:eastAsia="Times New Roman" w:cs="Tahoma"/>
          <w:lang w:eastAsia="en-AU"/>
        </w:rPr>
      </w:pPr>
      <w:r w:rsidRPr="006D5858">
        <w:rPr>
          <w:rFonts w:eastAsia="Times New Roman" w:cs="Tahoma"/>
          <w:lang w:eastAsia="en-AU"/>
        </w:rPr>
        <w:br/>
        <w:t>A child born to an opposite-sex couple will also qualify as a ‘dependant’. But a child born to a same-sex couple will only qualify as the ‘dependant’ of the birth mother or birth father (not the lesbian co-mother or gay co-father) unless he or she can establish financial dependency on the deceased.</w:t>
      </w:r>
      <w:r w:rsidR="00347D57">
        <w:rPr>
          <w:rFonts w:eastAsia="Times New Roman" w:cs="Tahoma"/>
          <w:lang w:eastAsia="en-AU"/>
        </w:rPr>
        <w:t>”</w:t>
      </w:r>
    </w:p>
    <w:p w:rsidR="00347D57" w:rsidRDefault="00347D57" w:rsidP="00347D57">
      <w:pPr>
        <w:rPr>
          <w:rFonts w:eastAsia="Times New Roman" w:cs="Tahoma"/>
          <w:lang w:eastAsia="en-AU"/>
        </w:rPr>
      </w:pPr>
    </w:p>
    <w:p w:rsidR="00347D57" w:rsidRDefault="00347D57" w:rsidP="00347D57">
      <w:pPr>
        <w:rPr>
          <w:rFonts w:eastAsia="Times New Roman" w:cs="Tahoma"/>
          <w:lang w:eastAsia="en-AU"/>
        </w:rPr>
      </w:pPr>
      <w:r>
        <w:rPr>
          <w:rFonts w:eastAsia="Times New Roman" w:cs="Tahoma"/>
          <w:lang w:eastAsia="en-AU"/>
        </w:rPr>
        <w:t>As noted above in Guardianship this excludes older LGBTI people who may identify their partner as their friend or alternatively the partners may not live together</w:t>
      </w:r>
      <w:r w:rsidR="00D72E5F">
        <w:rPr>
          <w:rFonts w:eastAsia="Times New Roman" w:cs="Tahoma"/>
          <w:lang w:eastAsia="en-AU"/>
        </w:rPr>
        <w:t xml:space="preserve"> for a number of reasons</w:t>
      </w:r>
      <w:r>
        <w:rPr>
          <w:rFonts w:eastAsia="Times New Roman" w:cs="Tahoma"/>
          <w:lang w:eastAsia="en-AU"/>
        </w:rPr>
        <w:t xml:space="preserve">. </w:t>
      </w:r>
      <w:r w:rsidR="00CC5D78">
        <w:rPr>
          <w:rFonts w:eastAsia="Times New Roman" w:cs="Tahoma"/>
          <w:lang w:eastAsia="en-AU"/>
        </w:rPr>
        <w:t>It is acknowledged that this can be overcome to some extent by people being able to nominate their beneficiary</w:t>
      </w:r>
      <w:r w:rsidR="00E555AA">
        <w:rPr>
          <w:rFonts w:eastAsia="Times New Roman" w:cs="Tahoma"/>
          <w:lang w:eastAsia="en-AU"/>
        </w:rPr>
        <w:t xml:space="preserve">. However, as noted above, many older LGBTI people do not identify their partner as a result of the years of discrimination they faced and fear of facing further discrimination and harassment. </w:t>
      </w:r>
      <w:r>
        <w:rPr>
          <w:rFonts w:eastAsia="Times New Roman" w:cs="Tahoma"/>
          <w:lang w:eastAsia="en-AU"/>
        </w:rPr>
        <w:t>It also places an additional burden of proof on LGBTI people that non-LGBTI people do not face.</w:t>
      </w:r>
    </w:p>
    <w:p w:rsidR="00347D57" w:rsidRPr="006D5858" w:rsidRDefault="00347D57" w:rsidP="00347D57">
      <w:pPr>
        <w:rPr>
          <w:rFonts w:eastAsia="Times New Roman" w:cs="Tahoma"/>
          <w:lang w:eastAsia="en-AU"/>
        </w:rPr>
      </w:pPr>
    </w:p>
    <w:p w:rsidR="006D5858" w:rsidRPr="006D5858" w:rsidRDefault="006D5858" w:rsidP="00347D57">
      <w:pPr>
        <w:outlineLvl w:val="2"/>
        <w:rPr>
          <w:rFonts w:eastAsia="Times New Roman" w:cs="Tahoma"/>
          <w:b/>
          <w:bCs/>
          <w:i/>
          <w:lang w:eastAsia="en-AU"/>
        </w:rPr>
      </w:pPr>
      <w:r w:rsidRPr="006D5858">
        <w:rPr>
          <w:rFonts w:eastAsia="Times New Roman" w:cs="Tahoma"/>
          <w:b/>
          <w:bCs/>
          <w:i/>
          <w:lang w:eastAsia="en-AU"/>
        </w:rPr>
        <w:t xml:space="preserve">SUPERANNUATION INDUSTRY (SUPERVISION) ACT 1993 - SECT 10A </w:t>
      </w:r>
    </w:p>
    <w:p w:rsidR="00347D57" w:rsidRDefault="00347D57" w:rsidP="00347D57">
      <w:pPr>
        <w:rPr>
          <w:rFonts w:eastAsia="Times New Roman" w:cs="Tahoma"/>
          <w:b/>
          <w:bCs/>
          <w:lang w:eastAsia="en-AU"/>
        </w:rPr>
      </w:pPr>
    </w:p>
    <w:p w:rsidR="006D5858" w:rsidRPr="006D5858" w:rsidRDefault="006D5858" w:rsidP="00347D57">
      <w:pPr>
        <w:rPr>
          <w:rFonts w:eastAsia="Times New Roman" w:cs="Tahoma"/>
          <w:i/>
          <w:lang w:eastAsia="en-AU"/>
        </w:rPr>
      </w:pPr>
      <w:r w:rsidRPr="006D5858">
        <w:rPr>
          <w:rFonts w:eastAsia="Times New Roman" w:cs="Tahoma"/>
          <w:bCs/>
          <w:i/>
          <w:lang w:eastAsia="en-AU"/>
        </w:rPr>
        <w:t>Interdependency relationship</w:t>
      </w:r>
      <w:r w:rsidRPr="006D5858">
        <w:rPr>
          <w:rFonts w:eastAsia="Times New Roman" w:cs="Tahoma"/>
          <w:i/>
          <w:lang w:eastAsia="en-AU"/>
        </w:rPr>
        <w:t xml:space="preserve"> </w:t>
      </w:r>
    </w:p>
    <w:p w:rsidR="00347D57" w:rsidRDefault="00347D57" w:rsidP="00347D57">
      <w:pPr>
        <w:rPr>
          <w:rFonts w:eastAsia="Times New Roman" w:cs="Tahoma"/>
          <w:lang w:eastAsia="en-AU"/>
        </w:rPr>
      </w:pPr>
    </w:p>
    <w:p w:rsidR="006D5858" w:rsidRPr="006D5858" w:rsidRDefault="006D5858" w:rsidP="00347D57">
      <w:pPr>
        <w:rPr>
          <w:rFonts w:eastAsia="Times New Roman" w:cs="Tahoma"/>
          <w:lang w:eastAsia="en-AU"/>
        </w:rPr>
      </w:pPr>
      <w:r w:rsidRPr="006D5858">
        <w:rPr>
          <w:rFonts w:eastAsia="Times New Roman" w:cs="Tahoma"/>
          <w:lang w:eastAsia="en-AU"/>
        </w:rPr>
        <w:t xml:space="preserve">(1) </w:t>
      </w:r>
      <w:r w:rsidRPr="006D5858">
        <w:rPr>
          <w:rFonts w:eastAsia="Times New Roman" w:cs="Tahoma"/>
          <w:b/>
          <w:bCs/>
          <w:i/>
          <w:iCs/>
          <w:lang w:eastAsia="en-AU"/>
        </w:rPr>
        <w:t xml:space="preserve">  </w:t>
      </w:r>
      <w:r w:rsidRPr="006D5858">
        <w:rPr>
          <w:rFonts w:eastAsia="Times New Roman" w:cs="Tahoma"/>
          <w:lang w:eastAsia="en-AU"/>
        </w:rPr>
        <w:t>Subject to subsection (3), for the purposes of this Act, 2 persons (whether or not</w:t>
      </w:r>
      <w:r w:rsidR="00347D57">
        <w:rPr>
          <w:rFonts w:eastAsia="Times New Roman" w:cs="Tahoma"/>
          <w:lang w:eastAsia="en-AU"/>
        </w:rPr>
        <w:t xml:space="preserve"> related</w:t>
      </w:r>
      <w:r w:rsidRPr="006D5858">
        <w:rPr>
          <w:rFonts w:eastAsia="Times New Roman" w:cs="Tahoma"/>
          <w:lang w:eastAsia="en-AU"/>
        </w:rPr>
        <w:t xml:space="preserve"> by family) have an</w:t>
      </w:r>
      <w:r w:rsidR="00347D57">
        <w:rPr>
          <w:rFonts w:eastAsia="Times New Roman" w:cs="Tahoma"/>
          <w:lang w:eastAsia="en-AU"/>
        </w:rPr>
        <w:t xml:space="preserve"> interdependency relationship if:</w:t>
      </w:r>
      <w:r w:rsidRPr="006D5858">
        <w:rPr>
          <w:rFonts w:eastAsia="Times New Roman" w:cs="Tahoma"/>
          <w:lang w:eastAsia="en-AU"/>
        </w:rPr>
        <w:t xml:space="preserve"> </w:t>
      </w:r>
    </w:p>
    <w:p w:rsidR="006D5858" w:rsidRPr="006D5858" w:rsidRDefault="00347D57" w:rsidP="00347D57">
      <w:pPr>
        <w:rPr>
          <w:rFonts w:eastAsia="Times New Roman" w:cs="Tahoma"/>
          <w:lang w:eastAsia="en-AU"/>
        </w:rPr>
      </w:pPr>
      <w:r>
        <w:rPr>
          <w:rFonts w:eastAsia="Times New Roman" w:cs="Tahoma"/>
          <w:lang w:eastAsia="en-AU"/>
        </w:rPr>
        <w:t>                </w:t>
      </w:r>
      <w:r w:rsidR="006D5858" w:rsidRPr="006D5858">
        <w:rPr>
          <w:rFonts w:eastAsia="Times New Roman" w:cs="Tahoma"/>
          <w:lang w:eastAsia="en-AU"/>
        </w:rPr>
        <w:t xml:space="preserve">(a)  </w:t>
      </w:r>
      <w:proofErr w:type="gramStart"/>
      <w:r w:rsidR="006D5858" w:rsidRPr="006D5858">
        <w:rPr>
          <w:rFonts w:eastAsia="Times New Roman" w:cs="Tahoma"/>
          <w:lang w:eastAsia="en-AU"/>
        </w:rPr>
        <w:t>they</w:t>
      </w:r>
      <w:proofErr w:type="gramEnd"/>
      <w:r w:rsidR="006D5858" w:rsidRPr="006D5858">
        <w:rPr>
          <w:rFonts w:eastAsia="Times New Roman" w:cs="Tahoma"/>
          <w:lang w:eastAsia="en-AU"/>
        </w:rPr>
        <w:t xml:space="preserve"> have a close personal relationship; and </w:t>
      </w:r>
    </w:p>
    <w:p w:rsidR="006D5858" w:rsidRPr="006D5858" w:rsidRDefault="00347D57" w:rsidP="00347D57">
      <w:pPr>
        <w:rPr>
          <w:rFonts w:eastAsia="Times New Roman" w:cs="Tahoma"/>
          <w:lang w:eastAsia="en-AU"/>
        </w:rPr>
      </w:pPr>
      <w:r>
        <w:rPr>
          <w:rFonts w:eastAsia="Times New Roman" w:cs="Tahoma"/>
          <w:lang w:eastAsia="en-AU"/>
        </w:rPr>
        <w:t>                </w:t>
      </w:r>
      <w:r w:rsidR="006D5858" w:rsidRPr="006D5858">
        <w:rPr>
          <w:rFonts w:eastAsia="Times New Roman" w:cs="Tahoma"/>
          <w:lang w:eastAsia="en-AU"/>
        </w:rPr>
        <w:t xml:space="preserve">(b)  </w:t>
      </w:r>
      <w:proofErr w:type="gramStart"/>
      <w:r w:rsidR="006D5858" w:rsidRPr="006D5858">
        <w:rPr>
          <w:rFonts w:eastAsia="Times New Roman" w:cs="Tahoma"/>
          <w:lang w:eastAsia="en-AU"/>
        </w:rPr>
        <w:t>they</w:t>
      </w:r>
      <w:proofErr w:type="gramEnd"/>
      <w:r w:rsidR="006D5858" w:rsidRPr="006D5858">
        <w:rPr>
          <w:rFonts w:eastAsia="Times New Roman" w:cs="Tahoma"/>
          <w:lang w:eastAsia="en-AU"/>
        </w:rPr>
        <w:t xml:space="preserve"> live together; and </w:t>
      </w:r>
    </w:p>
    <w:p w:rsidR="00347D57" w:rsidRDefault="00347D57" w:rsidP="00347D57">
      <w:pPr>
        <w:rPr>
          <w:rFonts w:eastAsia="Times New Roman" w:cs="Tahoma"/>
          <w:lang w:eastAsia="en-AU"/>
        </w:rPr>
      </w:pPr>
      <w:r>
        <w:rPr>
          <w:rFonts w:eastAsia="Times New Roman" w:cs="Tahoma"/>
          <w:lang w:eastAsia="en-AU"/>
        </w:rPr>
        <w:lastRenderedPageBreak/>
        <w:t>                </w:t>
      </w:r>
      <w:r w:rsidR="006D5858" w:rsidRPr="006D5858">
        <w:rPr>
          <w:rFonts w:eastAsia="Times New Roman" w:cs="Tahoma"/>
          <w:lang w:eastAsia="en-AU"/>
        </w:rPr>
        <w:t xml:space="preserve">(c)  </w:t>
      </w:r>
      <w:proofErr w:type="gramStart"/>
      <w:r w:rsidR="006D5858" w:rsidRPr="006D5858">
        <w:rPr>
          <w:rFonts w:eastAsia="Times New Roman" w:cs="Tahoma"/>
          <w:lang w:eastAsia="en-AU"/>
        </w:rPr>
        <w:t>one</w:t>
      </w:r>
      <w:proofErr w:type="gramEnd"/>
      <w:r w:rsidR="006D5858" w:rsidRPr="006D5858">
        <w:rPr>
          <w:rFonts w:eastAsia="Times New Roman" w:cs="Tahoma"/>
          <w:lang w:eastAsia="en-AU"/>
        </w:rPr>
        <w:t xml:space="preserve"> or each of them provides the ot</w:t>
      </w:r>
      <w:r>
        <w:rPr>
          <w:rFonts w:eastAsia="Times New Roman" w:cs="Tahoma"/>
          <w:lang w:eastAsia="en-AU"/>
        </w:rPr>
        <w:t>her with financial support; and</w:t>
      </w:r>
    </w:p>
    <w:p w:rsidR="00777427" w:rsidRPr="00CC5D78" w:rsidRDefault="00CC5D78" w:rsidP="00CC5D78">
      <w:pPr>
        <w:ind w:left="720"/>
        <w:rPr>
          <w:rFonts w:eastAsia="Times New Roman" w:cs="Tahoma"/>
          <w:lang w:eastAsia="en-AU"/>
        </w:rPr>
      </w:pPr>
      <w:r>
        <w:rPr>
          <w:rFonts w:eastAsia="Times New Roman" w:cs="Tahoma"/>
          <w:lang w:eastAsia="en-AU"/>
        </w:rPr>
        <w:t xml:space="preserve">     (</w:t>
      </w:r>
      <w:r w:rsidR="006D5858" w:rsidRPr="006D5858">
        <w:rPr>
          <w:rFonts w:eastAsia="Times New Roman" w:cs="Tahoma"/>
          <w:lang w:eastAsia="en-AU"/>
        </w:rPr>
        <w:t xml:space="preserve">d)  </w:t>
      </w:r>
      <w:proofErr w:type="gramStart"/>
      <w:r w:rsidR="006D5858" w:rsidRPr="006D5858">
        <w:rPr>
          <w:rFonts w:eastAsia="Times New Roman" w:cs="Tahoma"/>
          <w:lang w:eastAsia="en-AU"/>
        </w:rPr>
        <w:t>one</w:t>
      </w:r>
      <w:proofErr w:type="gramEnd"/>
      <w:r w:rsidR="006D5858" w:rsidRPr="006D5858">
        <w:rPr>
          <w:rFonts w:eastAsia="Times New Roman" w:cs="Tahoma"/>
          <w:lang w:eastAsia="en-AU"/>
        </w:rPr>
        <w:t xml:space="preserve"> or each of them provides the other with domestic support and personal </w:t>
      </w:r>
      <w:r w:rsidR="00347D57">
        <w:rPr>
          <w:rFonts w:eastAsia="Times New Roman" w:cs="Tahoma"/>
          <w:lang w:eastAsia="en-AU"/>
        </w:rPr>
        <w:t>care</w:t>
      </w:r>
    </w:p>
    <w:p w:rsidR="00CC5D78" w:rsidRDefault="00CC5D78" w:rsidP="004E03FB"/>
    <w:p w:rsidR="00CC5D78" w:rsidRDefault="00CC5D78" w:rsidP="00CC5D78">
      <w:r>
        <w:t xml:space="preserve">  (3)  The regulations may specify:</w:t>
      </w:r>
    </w:p>
    <w:p w:rsidR="00CC5D78" w:rsidRDefault="00CC5D78" w:rsidP="00CC5D78"/>
    <w:p w:rsidR="00CC5D78" w:rsidRDefault="00CC5D78" w:rsidP="00CC5D78">
      <w:pPr>
        <w:ind w:left="720"/>
      </w:pPr>
      <w:r>
        <w:t xml:space="preserve">(a) </w:t>
      </w:r>
      <w:r>
        <w:t xml:space="preserve">matters that are, or are not, to be taken into account in determining under subsection (1) or </w:t>
      </w:r>
      <w:r>
        <w:t xml:space="preserve"> </w:t>
      </w:r>
      <w:r>
        <w:t>(2) whether 2 persons have an interdependency relationship ; and</w:t>
      </w:r>
    </w:p>
    <w:p w:rsidR="00CC5D78" w:rsidRDefault="00CC5D78" w:rsidP="00CC5D78">
      <w:pPr>
        <w:ind w:left="720"/>
      </w:pPr>
      <w:r>
        <w:t xml:space="preserve">(b) </w:t>
      </w:r>
      <w:proofErr w:type="gramStart"/>
      <w:r>
        <w:t>circumstances</w:t>
      </w:r>
      <w:proofErr w:type="gramEnd"/>
      <w:r>
        <w:t xml:space="preserve"> in which 2 persons have, or do not have, an interdependency relationship .</w:t>
      </w:r>
    </w:p>
    <w:p w:rsidR="00CC5D78" w:rsidRDefault="00CC5D78" w:rsidP="004E03FB">
      <w:bookmarkStart w:id="0" w:name="_GoBack"/>
      <w:bookmarkEnd w:id="0"/>
    </w:p>
    <w:p w:rsidR="006D5858" w:rsidRPr="00777427" w:rsidRDefault="00777427" w:rsidP="004E03FB">
      <w:pPr>
        <w:rPr>
          <w:b/>
          <w:sz w:val="26"/>
          <w:szCs w:val="26"/>
        </w:rPr>
      </w:pPr>
      <w:r w:rsidRPr="00777427">
        <w:rPr>
          <w:b/>
          <w:sz w:val="26"/>
          <w:szCs w:val="26"/>
        </w:rPr>
        <w:t>Relevant Resources</w:t>
      </w:r>
    </w:p>
    <w:p w:rsidR="00777427" w:rsidRDefault="00777427" w:rsidP="004E03FB"/>
    <w:p w:rsidR="00777427" w:rsidRDefault="00777427" w:rsidP="00777427">
      <w:pPr>
        <w:rPr>
          <w:rFonts w:ascii="Times New Roman" w:hAnsi="Times New Roman"/>
        </w:rPr>
      </w:pPr>
      <w:r>
        <w:t xml:space="preserve">Cartwright C, </w:t>
      </w:r>
      <w:proofErr w:type="spellStart"/>
      <w:r>
        <w:t>Lienert</w:t>
      </w:r>
      <w:proofErr w:type="spellEnd"/>
      <w:r>
        <w:t xml:space="preserve"> T, Beck K. </w:t>
      </w:r>
      <w:hyperlink r:id="rId6" w:history="1">
        <w:r>
          <w:rPr>
            <w:rStyle w:val="Hyperlink"/>
            <w:i/>
            <w:iCs/>
            <w:color w:val="0066CC"/>
          </w:rPr>
          <w:t>Knowledge about and Attitudes towards End of Life Care for Gay, Lesbian, Bisexual &amp; Transgender People - Phase 2, Stage 1: State-wide Survey Report.</w:t>
        </w:r>
      </w:hyperlink>
      <w:r>
        <w:t> </w:t>
      </w:r>
      <w:proofErr w:type="spellStart"/>
      <w:r>
        <w:t>ASLaRC</w:t>
      </w:r>
      <w:proofErr w:type="spellEnd"/>
      <w:r>
        <w:t xml:space="preserve"> Aged Services Unit. September 2010. </w:t>
      </w:r>
    </w:p>
    <w:p w:rsidR="00777427" w:rsidRDefault="00777427" w:rsidP="00777427">
      <w:r>
        <w:t> </w:t>
      </w:r>
    </w:p>
    <w:p w:rsidR="00777427" w:rsidRDefault="00777427" w:rsidP="00777427">
      <w:proofErr w:type="spellStart"/>
      <w:r>
        <w:t>Lienert</w:t>
      </w:r>
      <w:proofErr w:type="spellEnd"/>
      <w:r>
        <w:t xml:space="preserve"> T, Cartwright C, </w:t>
      </w:r>
      <w:proofErr w:type="gramStart"/>
      <w:r>
        <w:t>Beck</w:t>
      </w:r>
      <w:proofErr w:type="gramEnd"/>
      <w:r>
        <w:t xml:space="preserve"> K. </w:t>
      </w:r>
      <w:hyperlink r:id="rId7" w:history="1">
        <w:r>
          <w:rPr>
            <w:rStyle w:val="Hyperlink"/>
            <w:i/>
            <w:iCs/>
            <w:color w:val="0066CC"/>
          </w:rPr>
          <w:t>The Experiences of Gay, Lesbian, Bisexual and Transgender People around End-of-Life Care</w:t>
        </w:r>
      </w:hyperlink>
      <w:r>
        <w:t>. Scoping Study Report. Aged Services Learning and Research Centre (</w:t>
      </w:r>
      <w:proofErr w:type="spellStart"/>
      <w:r>
        <w:t>ASLaRC</w:t>
      </w:r>
      <w:proofErr w:type="spellEnd"/>
      <w:r>
        <w:t>), January 2010.</w:t>
      </w:r>
    </w:p>
    <w:p w:rsidR="00777427" w:rsidRDefault="00777427" w:rsidP="00777427">
      <w:r>
        <w:t> </w:t>
      </w:r>
    </w:p>
    <w:p w:rsidR="00777427" w:rsidRDefault="00777427" w:rsidP="00777427">
      <w:r>
        <w:t xml:space="preserve">Hughes, M &amp; Cartwright, C 2013, 'Discussing end of life </w:t>
      </w:r>
      <w:proofErr w:type="spellStart"/>
      <w:r>
        <w:t>caer</w:t>
      </w:r>
      <w:proofErr w:type="spellEnd"/>
      <w:r>
        <w:t xml:space="preserve"> planning with LGBT people', paper presented to </w:t>
      </w:r>
      <w:r>
        <w:rPr>
          <w:rStyle w:val="Emphasis"/>
        </w:rPr>
        <w:t>Grey Expectations: Ageing in the 21st Century: 46th Australian Association of Gerontology National Conference,</w:t>
      </w:r>
      <w:r>
        <w:t xml:space="preserve"> Sydney, NSW, 27-29 November</w:t>
      </w:r>
    </w:p>
    <w:p w:rsidR="00777427" w:rsidRPr="004E03FB" w:rsidRDefault="00777427" w:rsidP="004E03FB"/>
    <w:sectPr w:rsidR="00777427" w:rsidRPr="004E03FB" w:rsidSect="007A1F8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80617"/>
    <w:multiLevelType w:val="hybridMultilevel"/>
    <w:tmpl w:val="87507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7754CB"/>
    <w:multiLevelType w:val="multilevel"/>
    <w:tmpl w:val="4D1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CB1DCF"/>
    <w:multiLevelType w:val="hybridMultilevel"/>
    <w:tmpl w:val="6590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F309D3"/>
    <w:multiLevelType w:val="hybridMultilevel"/>
    <w:tmpl w:val="278EC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D2"/>
    <w:rsid w:val="00012ED2"/>
    <w:rsid w:val="00117CD2"/>
    <w:rsid w:val="00347D57"/>
    <w:rsid w:val="004E03FB"/>
    <w:rsid w:val="00677A4A"/>
    <w:rsid w:val="006D5858"/>
    <w:rsid w:val="00777427"/>
    <w:rsid w:val="00777520"/>
    <w:rsid w:val="007A1F86"/>
    <w:rsid w:val="00A017F4"/>
    <w:rsid w:val="00A04AF4"/>
    <w:rsid w:val="00C007F0"/>
    <w:rsid w:val="00CC5D78"/>
    <w:rsid w:val="00CF1873"/>
    <w:rsid w:val="00D72E5F"/>
    <w:rsid w:val="00E555AA"/>
    <w:rsid w:val="00F651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1DB39-7938-4A6B-927D-0D7DC5BA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56"/>
    <w:pPr>
      <w:spacing w:after="0" w:line="240" w:lineRule="auto"/>
    </w:pPr>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752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4E03FB"/>
    <w:rPr>
      <w:color w:val="0000FF"/>
      <w:u w:val="single"/>
    </w:rPr>
  </w:style>
  <w:style w:type="paragraph" w:styleId="ListParagraph">
    <w:name w:val="List Paragraph"/>
    <w:basedOn w:val="Normal"/>
    <w:uiPriority w:val="34"/>
    <w:qFormat/>
    <w:rsid w:val="007A1F86"/>
    <w:pPr>
      <w:ind w:left="720"/>
      <w:contextualSpacing/>
    </w:pPr>
  </w:style>
  <w:style w:type="character" w:styleId="Emphasis">
    <w:name w:val="Emphasis"/>
    <w:basedOn w:val="DefaultParagraphFont"/>
    <w:uiPriority w:val="20"/>
    <w:qFormat/>
    <w:rsid w:val="007774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97762">
      <w:bodyDiv w:val="1"/>
      <w:marLeft w:val="0"/>
      <w:marRight w:val="0"/>
      <w:marTop w:val="0"/>
      <w:marBottom w:val="0"/>
      <w:divBdr>
        <w:top w:val="none" w:sz="0" w:space="0" w:color="auto"/>
        <w:left w:val="none" w:sz="0" w:space="0" w:color="auto"/>
        <w:bottom w:val="none" w:sz="0" w:space="0" w:color="auto"/>
        <w:right w:val="none" w:sz="0" w:space="0" w:color="auto"/>
      </w:divBdr>
    </w:div>
    <w:div w:id="289825239">
      <w:bodyDiv w:val="1"/>
      <w:marLeft w:val="0"/>
      <w:marRight w:val="0"/>
      <w:marTop w:val="0"/>
      <w:marBottom w:val="0"/>
      <w:divBdr>
        <w:top w:val="none" w:sz="0" w:space="0" w:color="auto"/>
        <w:left w:val="none" w:sz="0" w:space="0" w:color="auto"/>
        <w:bottom w:val="none" w:sz="0" w:space="0" w:color="auto"/>
        <w:right w:val="none" w:sz="0" w:space="0" w:color="auto"/>
      </w:divBdr>
    </w:div>
    <w:div w:id="384111285">
      <w:bodyDiv w:val="1"/>
      <w:marLeft w:val="0"/>
      <w:marRight w:val="0"/>
      <w:marTop w:val="0"/>
      <w:marBottom w:val="0"/>
      <w:divBdr>
        <w:top w:val="none" w:sz="0" w:space="0" w:color="auto"/>
        <w:left w:val="none" w:sz="0" w:space="0" w:color="auto"/>
        <w:bottom w:val="none" w:sz="0" w:space="0" w:color="auto"/>
        <w:right w:val="none" w:sz="0" w:space="0" w:color="auto"/>
      </w:divBdr>
    </w:div>
    <w:div w:id="471101444">
      <w:bodyDiv w:val="1"/>
      <w:marLeft w:val="0"/>
      <w:marRight w:val="0"/>
      <w:marTop w:val="0"/>
      <w:marBottom w:val="0"/>
      <w:divBdr>
        <w:top w:val="none" w:sz="0" w:space="0" w:color="auto"/>
        <w:left w:val="none" w:sz="0" w:space="0" w:color="auto"/>
        <w:bottom w:val="none" w:sz="0" w:space="0" w:color="auto"/>
        <w:right w:val="none" w:sz="0" w:space="0" w:color="auto"/>
      </w:divBdr>
    </w:div>
    <w:div w:id="688528021">
      <w:bodyDiv w:val="1"/>
      <w:marLeft w:val="0"/>
      <w:marRight w:val="0"/>
      <w:marTop w:val="0"/>
      <w:marBottom w:val="0"/>
      <w:divBdr>
        <w:top w:val="none" w:sz="0" w:space="0" w:color="auto"/>
        <w:left w:val="none" w:sz="0" w:space="0" w:color="auto"/>
        <w:bottom w:val="none" w:sz="0" w:space="0" w:color="auto"/>
        <w:right w:val="none" w:sz="0" w:space="0" w:color="auto"/>
      </w:divBdr>
      <w:divsChild>
        <w:div w:id="2067676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924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0602754">
      <w:bodyDiv w:val="1"/>
      <w:marLeft w:val="0"/>
      <w:marRight w:val="0"/>
      <w:marTop w:val="0"/>
      <w:marBottom w:val="0"/>
      <w:divBdr>
        <w:top w:val="none" w:sz="0" w:space="0" w:color="auto"/>
        <w:left w:val="none" w:sz="0" w:space="0" w:color="auto"/>
        <w:bottom w:val="none" w:sz="0" w:space="0" w:color="auto"/>
        <w:right w:val="none" w:sz="0" w:space="0" w:color="auto"/>
      </w:divBdr>
      <w:divsChild>
        <w:div w:id="543908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80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294326">
              <w:blockQuote w:val="1"/>
              <w:marLeft w:val="720"/>
              <w:marRight w:val="720"/>
              <w:marTop w:val="100"/>
              <w:marBottom w:val="100"/>
              <w:divBdr>
                <w:top w:val="none" w:sz="0" w:space="0" w:color="auto"/>
                <w:left w:val="none" w:sz="0" w:space="0" w:color="auto"/>
                <w:bottom w:val="none" w:sz="0" w:space="0" w:color="auto"/>
                <w:right w:val="none" w:sz="0" w:space="0" w:color="auto"/>
              </w:divBdr>
            </w:div>
            <w:div w:id="751198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9497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4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28303">
      <w:bodyDiv w:val="1"/>
      <w:marLeft w:val="0"/>
      <w:marRight w:val="0"/>
      <w:marTop w:val="0"/>
      <w:marBottom w:val="0"/>
      <w:divBdr>
        <w:top w:val="none" w:sz="0" w:space="0" w:color="auto"/>
        <w:left w:val="none" w:sz="0" w:space="0" w:color="auto"/>
        <w:bottom w:val="none" w:sz="0" w:space="0" w:color="auto"/>
        <w:right w:val="none" w:sz="0" w:space="0" w:color="auto"/>
      </w:divBdr>
    </w:div>
    <w:div w:id="199113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u.edu.au/health-sciences/download.php?doc_id=14962&amp;site_id=64&amp;file_e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edu.au/health-sciences/download.php?doc_id=14960&amp;site_id=64&amp;file_ext=.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5475C4E6</Template>
  <TotalTime>359</TotalTime>
  <Pages>4</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Edmonds</dc:creator>
  <cp:keywords/>
  <dc:description/>
  <cp:lastModifiedBy>Samantha Edmonds</cp:lastModifiedBy>
  <cp:revision>3</cp:revision>
  <dcterms:created xsi:type="dcterms:W3CDTF">2014-12-02T22:05:00Z</dcterms:created>
  <dcterms:modified xsi:type="dcterms:W3CDTF">2014-12-07T22:49:00Z</dcterms:modified>
</cp:coreProperties>
</file>