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F0" w:rsidRDefault="00E462F0" w:rsidP="00E462F0">
      <w:pPr>
        <w:rPr>
          <w:b/>
          <w:sz w:val="32"/>
          <w:szCs w:val="32"/>
        </w:rPr>
      </w:pPr>
    </w:p>
    <w:p w:rsidR="008A2AF7" w:rsidRPr="00003D5B" w:rsidRDefault="005807EA" w:rsidP="00E462F0">
      <w:pPr>
        <w:jc w:val="center"/>
        <w:rPr>
          <w:b/>
          <w:color w:val="1F497D" w:themeColor="text2"/>
          <w:sz w:val="36"/>
          <w:szCs w:val="36"/>
        </w:rPr>
      </w:pPr>
      <w:r w:rsidRPr="00003D5B">
        <w:rPr>
          <w:b/>
          <w:color w:val="1F497D" w:themeColor="text2"/>
          <w:sz w:val="36"/>
          <w:szCs w:val="36"/>
        </w:rPr>
        <w:t xml:space="preserve">Factsheet: </w:t>
      </w:r>
      <w:r w:rsidR="00BC35DC" w:rsidRPr="00003D5B">
        <w:rPr>
          <w:b/>
          <w:color w:val="1F497D" w:themeColor="text2"/>
          <w:sz w:val="36"/>
          <w:szCs w:val="36"/>
        </w:rPr>
        <w:t>Criminal Justice System</w:t>
      </w:r>
    </w:p>
    <w:p w:rsidR="007E7C9F" w:rsidRPr="00003D5B" w:rsidRDefault="007E7C9F" w:rsidP="007E7C9F">
      <w:pPr>
        <w:rPr>
          <w:b/>
          <w:color w:val="1F497D" w:themeColor="text2"/>
          <w:sz w:val="28"/>
          <w:szCs w:val="28"/>
        </w:rPr>
      </w:pPr>
      <w:r w:rsidRPr="00003D5B">
        <w:rPr>
          <w:b/>
          <w:color w:val="1F497D" w:themeColor="text2"/>
          <w:sz w:val="28"/>
          <w:szCs w:val="28"/>
        </w:rPr>
        <w:t>Background Information</w:t>
      </w:r>
    </w:p>
    <w:p w:rsidR="002A1BBC" w:rsidRPr="002A1BBC" w:rsidRDefault="00C12BF9" w:rsidP="007E7C9F">
      <w:r>
        <w:t xml:space="preserve">Aboriginal and Torres Strait Islander adults and juveniles, </w:t>
      </w:r>
      <w:r w:rsidR="0026267F">
        <w:t>as well as</w:t>
      </w:r>
      <w:r>
        <w:t xml:space="preserve"> </w:t>
      </w:r>
      <w:r w:rsidR="002A1BBC">
        <w:t>people with disabilities</w:t>
      </w:r>
      <w:r w:rsidR="0026267F">
        <w:t>, are disproportionately represented</w:t>
      </w:r>
      <w:r w:rsidR="002A1BBC">
        <w:t xml:space="preserve"> in </w:t>
      </w:r>
      <w:r>
        <w:t xml:space="preserve">the </w:t>
      </w:r>
      <w:r w:rsidR="002A1BBC">
        <w:t xml:space="preserve">Australian </w:t>
      </w:r>
      <w:r>
        <w:t>criminal justice system</w:t>
      </w:r>
      <w:r w:rsidR="003B5800">
        <w:t>.</w:t>
      </w:r>
      <w:r w:rsidR="002A1BBC">
        <w:t xml:space="preserve">  </w:t>
      </w:r>
      <w:r w:rsidR="005A406C">
        <w:t xml:space="preserve">This issue </w:t>
      </w:r>
      <w:r w:rsidR="002A1BBC">
        <w:t>continues to present significant challenges</w:t>
      </w:r>
      <w:r w:rsidR="005A406C">
        <w:t xml:space="preserve"> including </w:t>
      </w:r>
      <w:r w:rsidR="003B5800">
        <w:t xml:space="preserve">ensuring </w:t>
      </w:r>
      <w:r w:rsidR="005A406C">
        <w:t>adequate funding of the Indigenous legal aid program</w:t>
      </w:r>
      <w:r w:rsidR="002A1BBC">
        <w:t>.</w:t>
      </w:r>
    </w:p>
    <w:p w:rsidR="002A1BBC" w:rsidRPr="00003D5B" w:rsidRDefault="005A406C" w:rsidP="007E7C9F">
      <w:pPr>
        <w:rPr>
          <w:b/>
          <w:color w:val="1F497D" w:themeColor="text2"/>
          <w:sz w:val="28"/>
          <w:szCs w:val="28"/>
        </w:rPr>
      </w:pPr>
      <w:r w:rsidRPr="00003D5B">
        <w:rPr>
          <w:b/>
          <w:color w:val="1F497D" w:themeColor="text2"/>
          <w:sz w:val="28"/>
          <w:szCs w:val="28"/>
        </w:rPr>
        <w:t>Key Issue – Aboriginal and Torres Strait Islander adults and juveniles</w:t>
      </w:r>
    </w:p>
    <w:p w:rsidR="00381795" w:rsidRDefault="00F53230" w:rsidP="00F53230">
      <w:r w:rsidRPr="00F53230">
        <w:t>Aboriginal and Torres Strait Islander adults and juveniles, are significantly over-represented in Australia’s prison population.</w:t>
      </w:r>
      <w:r w:rsidR="00793676">
        <w:rPr>
          <w:rStyle w:val="EndnoteReference"/>
        </w:rPr>
        <w:endnoteReference w:id="1"/>
      </w:r>
      <w:r w:rsidRPr="00F53230">
        <w:t xml:space="preserve"> </w:t>
      </w:r>
      <w:r w:rsidR="00381795">
        <w:t xml:space="preserve">The overrepresentation of Aboriginal and Torres Strait Islander </w:t>
      </w:r>
      <w:r w:rsidR="00B24EA6">
        <w:t>Australians</w:t>
      </w:r>
      <w:r w:rsidR="00381795">
        <w:t xml:space="preserve"> as both victims and offenders remains one of the most glaring disparities between Aboriginal and Torres Strait Islander Australians and non-Indigenous Australians. </w:t>
      </w:r>
    </w:p>
    <w:p w:rsidR="00022DCD" w:rsidRPr="00022DCD" w:rsidRDefault="00022DCD" w:rsidP="00022DCD">
      <w:pPr>
        <w:rPr>
          <w:rFonts w:cs="Arial"/>
        </w:rPr>
      </w:pPr>
      <w:r w:rsidRPr="00022DCD">
        <w:rPr>
          <w:rFonts w:cs="Arial"/>
        </w:rPr>
        <w:t>It has been recommended that justice targets be set to halve the gap in rates of incarceration for Aboriginal and Torres Strait Islander people. The justice targets could be included in the existing Close the Gap framework.</w:t>
      </w:r>
      <w:r w:rsidRPr="00022DCD">
        <w:rPr>
          <w:vertAlign w:val="superscript"/>
        </w:rPr>
        <w:endnoteReference w:id="2"/>
      </w:r>
      <w:r w:rsidRPr="00022DCD">
        <w:rPr>
          <w:rFonts w:cs="Arial"/>
        </w:rPr>
        <w:t xml:space="preserve"> Justice reinvestment strategies have also been recommended by the Senate Legal and Constitutional Affairs Committee and successive Social Justice Commissioners.</w:t>
      </w:r>
      <w:r w:rsidRPr="00022DCD">
        <w:rPr>
          <w:rFonts w:cs="Arial"/>
          <w:sz w:val="20"/>
          <w:vertAlign w:val="superscript"/>
        </w:rPr>
        <w:endnoteReference w:id="3"/>
      </w:r>
      <w:r w:rsidRPr="00022DCD">
        <w:rPr>
          <w:rFonts w:cs="Arial"/>
        </w:rPr>
        <w:t xml:space="preserve"> Justice reinvestment involves diverting and reinvesting funds used for imprisonment to services that address underlying causes of crime in communities with high rates of offending. </w:t>
      </w:r>
    </w:p>
    <w:p w:rsidR="00B2571E" w:rsidRDefault="00B2571E" w:rsidP="00B2571E">
      <w:pPr>
        <w:rPr>
          <w:rFonts w:cs="Arial"/>
        </w:rPr>
      </w:pPr>
      <w:r>
        <w:rPr>
          <w:rFonts w:cs="Arial"/>
        </w:rPr>
        <w:t>T</w:t>
      </w:r>
      <w:r w:rsidRPr="00840E6D">
        <w:rPr>
          <w:rFonts w:cs="Arial"/>
        </w:rPr>
        <w:t xml:space="preserve">he Australian Government </w:t>
      </w:r>
      <w:r>
        <w:rPr>
          <w:rFonts w:cs="Arial"/>
        </w:rPr>
        <w:t xml:space="preserve">has </w:t>
      </w:r>
      <w:r w:rsidRPr="00840E6D">
        <w:rPr>
          <w:rFonts w:cs="Arial"/>
        </w:rPr>
        <w:t xml:space="preserve">announced a $13.4 million reduction in funding of the Indigenous Legal Aid and Policy Reform Program. The cuts will take effect from 1 July 2015. The reduction in funding may affect various services provided by the community controlled not-for-profits funded out of this program, including legal assistance, community legal education, prison, </w:t>
      </w:r>
      <w:proofErr w:type="gramStart"/>
      <w:r w:rsidRPr="00840E6D">
        <w:rPr>
          <w:rFonts w:cs="Arial"/>
        </w:rPr>
        <w:t>law</w:t>
      </w:r>
      <w:proofErr w:type="gramEnd"/>
      <w:r w:rsidRPr="00840E6D">
        <w:rPr>
          <w:rFonts w:cs="Arial"/>
        </w:rPr>
        <w:t xml:space="preserve"> reform and advocacy activities.</w:t>
      </w:r>
      <w:r w:rsidRPr="00F53230">
        <w:rPr>
          <w:vertAlign w:val="superscript"/>
        </w:rPr>
        <w:endnoteReference w:id="4"/>
      </w:r>
    </w:p>
    <w:p w:rsidR="005A406C" w:rsidRPr="00003D5B" w:rsidRDefault="00793676" w:rsidP="00F53230">
      <w:pPr>
        <w:rPr>
          <w:b/>
          <w:color w:val="1F497D" w:themeColor="text2"/>
          <w:sz w:val="28"/>
          <w:szCs w:val="28"/>
        </w:rPr>
      </w:pPr>
      <w:r w:rsidRPr="00003D5B">
        <w:rPr>
          <w:b/>
          <w:color w:val="1F497D" w:themeColor="text2"/>
          <w:sz w:val="28"/>
          <w:szCs w:val="28"/>
        </w:rPr>
        <w:t>Recommendation</w:t>
      </w:r>
      <w:r w:rsidR="00F53230" w:rsidRPr="00003D5B">
        <w:rPr>
          <w:b/>
          <w:color w:val="1F497D" w:themeColor="text2"/>
          <w:sz w:val="28"/>
          <w:szCs w:val="28"/>
        </w:rPr>
        <w:t xml:space="preserve"> </w:t>
      </w:r>
    </w:p>
    <w:p w:rsidR="00793676" w:rsidRPr="00793676" w:rsidRDefault="00F53230" w:rsidP="00F53230">
      <w:pPr>
        <w:rPr>
          <w:b/>
          <w:i/>
        </w:rPr>
      </w:pPr>
      <w:r w:rsidRPr="00793676">
        <w:rPr>
          <w:b/>
          <w:i/>
        </w:rPr>
        <w:t xml:space="preserve">The Commission recommends that </w:t>
      </w:r>
      <w:r w:rsidR="00793676" w:rsidRPr="00793676">
        <w:rPr>
          <w:b/>
          <w:i/>
        </w:rPr>
        <w:t xml:space="preserve">Australian </w:t>
      </w:r>
      <w:r w:rsidRPr="00793676">
        <w:rPr>
          <w:b/>
          <w:i/>
        </w:rPr>
        <w:t>Government</w:t>
      </w:r>
      <w:r w:rsidR="00793676" w:rsidRPr="00793676">
        <w:rPr>
          <w:b/>
          <w:i/>
        </w:rPr>
        <w:t>s</w:t>
      </w:r>
      <w:r w:rsidRPr="00793676">
        <w:rPr>
          <w:b/>
          <w:i/>
        </w:rPr>
        <w:t xml:space="preserve"> adopt </w:t>
      </w:r>
      <w:r w:rsidR="00793676" w:rsidRPr="00793676">
        <w:rPr>
          <w:b/>
          <w:i/>
        </w:rPr>
        <w:t xml:space="preserve">justice </w:t>
      </w:r>
      <w:r w:rsidRPr="00793676">
        <w:rPr>
          <w:b/>
          <w:i/>
        </w:rPr>
        <w:t>targets and introduce justice reinvestment trials to reduce Indigenous incarceration rates</w:t>
      </w:r>
      <w:r w:rsidR="00793676" w:rsidRPr="00793676">
        <w:rPr>
          <w:b/>
          <w:i/>
        </w:rPr>
        <w:t>.</w:t>
      </w:r>
    </w:p>
    <w:p w:rsidR="00F53230" w:rsidRPr="00793676" w:rsidRDefault="00793676" w:rsidP="00F53230">
      <w:pPr>
        <w:rPr>
          <w:b/>
          <w:i/>
        </w:rPr>
      </w:pPr>
      <w:r w:rsidRPr="00793676">
        <w:rPr>
          <w:b/>
          <w:i/>
        </w:rPr>
        <w:t>The Commission recommends that</w:t>
      </w:r>
      <w:r w:rsidR="00F53230" w:rsidRPr="00793676">
        <w:rPr>
          <w:b/>
          <w:i/>
        </w:rPr>
        <w:t xml:space="preserve"> </w:t>
      </w:r>
      <w:r w:rsidRPr="00793676">
        <w:rPr>
          <w:b/>
          <w:i/>
        </w:rPr>
        <w:t>adequate funding be provided for Indigenous legal aid.</w:t>
      </w:r>
    </w:p>
    <w:p w:rsidR="005A406C" w:rsidRPr="00003D5B" w:rsidRDefault="005A406C" w:rsidP="00F53230">
      <w:pPr>
        <w:rPr>
          <w:b/>
          <w:color w:val="1F497D" w:themeColor="text2"/>
          <w:sz w:val="28"/>
          <w:szCs w:val="28"/>
        </w:rPr>
      </w:pPr>
      <w:r w:rsidRPr="00003D5B">
        <w:rPr>
          <w:b/>
          <w:color w:val="1F497D" w:themeColor="text2"/>
          <w:sz w:val="28"/>
          <w:szCs w:val="28"/>
        </w:rPr>
        <w:t>Key Issue – People with disabilities</w:t>
      </w:r>
    </w:p>
    <w:p w:rsidR="00485CF8" w:rsidRDefault="0052532A" w:rsidP="0052532A">
      <w:pPr>
        <w:rPr>
          <w:rFonts w:cs="Arial"/>
          <w:iCs/>
        </w:rPr>
        <w:sectPr w:rsidR="00485CF8" w:rsidSect="00CE7182">
          <w:headerReference w:type="default" r:id="rId8"/>
          <w:footerReference w:type="default" r:id="rId9"/>
          <w:endnotePr>
            <w:numFmt w:val="decimal"/>
          </w:endnotePr>
          <w:pgSz w:w="11906" w:h="16838" w:code="9"/>
          <w:pgMar w:top="1134" w:right="1418" w:bottom="1134" w:left="1418" w:header="709" w:footer="709" w:gutter="0"/>
          <w:cols w:space="708"/>
          <w:docGrid w:linePitch="360"/>
        </w:sectPr>
      </w:pPr>
      <w:r>
        <w:rPr>
          <w:rFonts w:cs="Arial"/>
          <w:iCs/>
        </w:rPr>
        <w:t>Access to justice for people with disabilities continues to present significant challenges.</w:t>
      </w:r>
    </w:p>
    <w:p w:rsidR="00F25168" w:rsidRDefault="00F0660F" w:rsidP="00F53230">
      <w:pPr>
        <w:rPr>
          <w:rFonts w:cs="Arial"/>
          <w:iCs/>
        </w:rPr>
      </w:pPr>
      <w:r w:rsidRPr="00840E6D">
        <w:rPr>
          <w:rFonts w:cs="Arial"/>
          <w:iCs/>
        </w:rPr>
        <w:lastRenderedPageBreak/>
        <w:t xml:space="preserve">The Commission’s report, </w:t>
      </w:r>
      <w:r w:rsidRPr="00840E6D">
        <w:rPr>
          <w:rFonts w:cs="Arial"/>
          <w:i/>
          <w:iCs/>
        </w:rPr>
        <w:t xml:space="preserve">Equal </w:t>
      </w:r>
      <w:proofErr w:type="gramStart"/>
      <w:r w:rsidRPr="00840E6D">
        <w:rPr>
          <w:rFonts w:cs="Arial"/>
          <w:i/>
          <w:iCs/>
        </w:rPr>
        <w:t>Before</w:t>
      </w:r>
      <w:proofErr w:type="gramEnd"/>
      <w:r>
        <w:rPr>
          <w:rFonts w:cs="Arial"/>
          <w:i/>
          <w:iCs/>
        </w:rPr>
        <w:t xml:space="preserve"> t</w:t>
      </w:r>
      <w:r w:rsidRPr="00840E6D">
        <w:rPr>
          <w:rFonts w:cs="Arial"/>
          <w:i/>
          <w:iCs/>
        </w:rPr>
        <w:t>he Law,</w:t>
      </w:r>
      <w:r w:rsidRPr="00F53230">
        <w:rPr>
          <w:bCs/>
          <w:vertAlign w:val="superscript"/>
        </w:rPr>
        <w:endnoteReference w:id="5"/>
      </w:r>
      <w:r>
        <w:rPr>
          <w:bCs/>
          <w:vertAlign w:val="superscript"/>
        </w:rPr>
        <w:t xml:space="preserve"> </w:t>
      </w:r>
      <w:r w:rsidRPr="00840E6D">
        <w:rPr>
          <w:rFonts w:cs="Arial"/>
          <w:iCs/>
        </w:rPr>
        <w:t>concluded that people with disabilities have higher rates of interaction with the criminal justice system than other Australians</w:t>
      </w:r>
      <w:r>
        <w:rPr>
          <w:rFonts w:cs="Arial"/>
          <w:iCs/>
        </w:rPr>
        <w:t xml:space="preserve">. The Report cited </w:t>
      </w:r>
      <w:r w:rsidRPr="00840E6D">
        <w:rPr>
          <w:rFonts w:cs="Arial"/>
          <w:iCs/>
        </w:rPr>
        <w:t>2012 statistics</w:t>
      </w:r>
      <w:r>
        <w:rPr>
          <w:rFonts w:cs="Arial"/>
          <w:iCs/>
        </w:rPr>
        <w:t xml:space="preserve">, which </w:t>
      </w:r>
      <w:r w:rsidRPr="00840E6D">
        <w:rPr>
          <w:rFonts w:cs="Arial"/>
          <w:iCs/>
        </w:rPr>
        <w:t xml:space="preserve">indicate </w:t>
      </w:r>
      <w:r>
        <w:rPr>
          <w:rFonts w:cs="Arial"/>
          <w:iCs/>
        </w:rPr>
        <w:t xml:space="preserve">that </w:t>
      </w:r>
      <w:r w:rsidRPr="00840E6D">
        <w:rPr>
          <w:rFonts w:cs="Arial"/>
          <w:iCs/>
        </w:rPr>
        <w:t>38% of prison entrants reported they have ever been told by a doctor, psychiatrist, psychologist or nurse that they have a mental health disorder and 46% of prison discharges reported that they have ever been told they have a health condition – mental health, including drug and alcohol</w:t>
      </w:r>
      <w:r>
        <w:rPr>
          <w:rFonts w:cs="Arial"/>
          <w:iCs/>
        </w:rPr>
        <w:t xml:space="preserve"> </w:t>
      </w:r>
      <w:r w:rsidRPr="00840E6D">
        <w:rPr>
          <w:rFonts w:cs="Arial"/>
          <w:iCs/>
        </w:rPr>
        <w:t>abuse.</w:t>
      </w:r>
      <w:r w:rsidR="00485CF8">
        <w:rPr>
          <w:rFonts w:cs="Arial"/>
          <w:iCs/>
        </w:rPr>
        <w:t xml:space="preserve"> </w:t>
      </w:r>
      <w:r w:rsidR="00F25168">
        <w:rPr>
          <w:rFonts w:cs="Arial"/>
          <w:iCs/>
        </w:rPr>
        <w:t>The report found that necessary supports and adjustments for people with disabilities were frequently not provided in the criminal justice system.</w:t>
      </w:r>
    </w:p>
    <w:p w:rsidR="005A406C" w:rsidRPr="00F25168" w:rsidRDefault="00F25168" w:rsidP="00F53230">
      <w:pPr>
        <w:rPr>
          <w:rFonts w:cs="Arial"/>
          <w:iCs/>
        </w:rPr>
      </w:pPr>
      <w:r>
        <w:rPr>
          <w:rFonts w:cs="Arial"/>
          <w:iCs/>
        </w:rPr>
        <w:t xml:space="preserve">The indefinite detention of people with a cognitive impairment is also of concern. </w:t>
      </w:r>
      <w:r w:rsidR="004C2DDE" w:rsidRPr="00840E6D">
        <w:rPr>
          <w:rFonts w:cs="Arial"/>
        </w:rPr>
        <w:t xml:space="preserve">In 2014 the Commission inquired into complaints </w:t>
      </w:r>
      <w:r w:rsidR="004C2DDE">
        <w:rPr>
          <w:rFonts w:cs="Arial"/>
        </w:rPr>
        <w:t xml:space="preserve">by </w:t>
      </w:r>
      <w:r w:rsidR="004C2DDE" w:rsidRPr="00840E6D">
        <w:rPr>
          <w:rFonts w:cs="Arial"/>
        </w:rPr>
        <w:t>four Aboriginal men with intellectual and cognitive disabilities who had been incarcerated for a number of years despite being found unfit to stand trial or not guilty by reason of insanity.</w:t>
      </w:r>
      <w:r w:rsidR="004C2DDE">
        <w:rPr>
          <w:rFonts w:cs="Arial"/>
          <w:iCs/>
        </w:rPr>
        <w:t xml:space="preserve"> </w:t>
      </w:r>
      <w:r>
        <w:rPr>
          <w:rStyle w:val="EndnoteReference"/>
          <w:rFonts w:cs="Arial"/>
          <w:iCs/>
        </w:rPr>
        <w:endnoteReference w:id="6"/>
      </w:r>
      <w:r>
        <w:rPr>
          <w:rFonts w:cs="Arial"/>
          <w:iCs/>
        </w:rPr>
        <w:t xml:space="preserve"> </w:t>
      </w:r>
      <w:r w:rsidRPr="00840E6D">
        <w:rPr>
          <w:rFonts w:cs="Arial"/>
        </w:rPr>
        <w:t>The Aboriginal Disability Justice Campaign advocates for progress in relation to the indefinite incarceration of Aboriginal people with intellectual and cognitive disabilities.</w:t>
      </w:r>
      <w:r>
        <w:rPr>
          <w:rStyle w:val="EndnoteReference"/>
          <w:rFonts w:cs="Arial"/>
        </w:rPr>
        <w:endnoteReference w:id="7"/>
      </w:r>
    </w:p>
    <w:p w:rsidR="005A406C" w:rsidRPr="00003D5B" w:rsidRDefault="005A406C" w:rsidP="00F53230">
      <w:pPr>
        <w:rPr>
          <w:b/>
          <w:color w:val="1F497D" w:themeColor="text2"/>
          <w:sz w:val="28"/>
          <w:szCs w:val="28"/>
        </w:rPr>
      </w:pPr>
      <w:r w:rsidRPr="00003D5B">
        <w:rPr>
          <w:b/>
          <w:color w:val="1F497D" w:themeColor="text2"/>
          <w:sz w:val="28"/>
          <w:szCs w:val="28"/>
        </w:rPr>
        <w:t>Recommendation</w:t>
      </w:r>
    </w:p>
    <w:p w:rsidR="005A406C" w:rsidRPr="005A406C" w:rsidRDefault="005A406C" w:rsidP="00F53230">
      <w:pPr>
        <w:rPr>
          <w:b/>
          <w:i/>
        </w:rPr>
      </w:pPr>
      <w:r w:rsidRPr="005A406C">
        <w:rPr>
          <w:b/>
          <w:i/>
        </w:rPr>
        <w:t>The Commission recommends that Government adopt measures to improve access to justice for people with disabilities, develop alternative care arrangements where people are found unfit to plead for reasons including cognitive impairment or acquired brain injury.</w:t>
      </w:r>
    </w:p>
    <w:p w:rsidR="005A406C" w:rsidRPr="00003D5B" w:rsidRDefault="005A406C" w:rsidP="00F53230">
      <w:pPr>
        <w:rPr>
          <w:b/>
          <w:color w:val="1F497D" w:themeColor="text2"/>
          <w:sz w:val="28"/>
          <w:szCs w:val="28"/>
        </w:rPr>
      </w:pPr>
      <w:r w:rsidRPr="00003D5B">
        <w:rPr>
          <w:b/>
          <w:color w:val="1F497D" w:themeColor="text2"/>
          <w:sz w:val="28"/>
          <w:szCs w:val="28"/>
        </w:rPr>
        <w:t>Key Issue – Mandatory sentencing</w:t>
      </w:r>
    </w:p>
    <w:p w:rsidR="005A406C" w:rsidRDefault="00F53230" w:rsidP="00F53230">
      <w:pPr>
        <w:rPr>
          <w:b/>
        </w:rPr>
      </w:pPr>
      <w:r w:rsidRPr="00F53230">
        <w:t>Several Australian jurisdictions have expanded or introduced mandatory sentencing laws, which prevent appropriate non-custodial measures for certain offences and may lead to disproportionate and arbitrary detention.</w:t>
      </w:r>
      <w:r w:rsidRPr="00F53230">
        <w:rPr>
          <w:vertAlign w:val="superscript"/>
        </w:rPr>
        <w:endnoteReference w:id="8"/>
      </w:r>
      <w:r w:rsidRPr="00F53230">
        <w:t xml:space="preserve"> Victoria has phased out the use of suspended sentences.</w:t>
      </w:r>
      <w:r w:rsidRPr="00F53230">
        <w:rPr>
          <w:bCs/>
          <w:vertAlign w:val="superscript"/>
        </w:rPr>
        <w:endnoteReference w:id="9"/>
      </w:r>
      <w:r w:rsidRPr="00F53230">
        <w:t xml:space="preserve"> There is overcrowding in some prisons.</w:t>
      </w:r>
      <w:r w:rsidRPr="00F53230">
        <w:rPr>
          <w:vertAlign w:val="superscript"/>
        </w:rPr>
        <w:endnoteReference w:id="10"/>
      </w:r>
      <w:r w:rsidRPr="00F53230">
        <w:rPr>
          <w:b/>
        </w:rPr>
        <w:t xml:space="preserve"> </w:t>
      </w:r>
    </w:p>
    <w:p w:rsidR="005A406C" w:rsidRPr="00003D5B" w:rsidRDefault="00F53230" w:rsidP="00F53230">
      <w:pPr>
        <w:rPr>
          <w:b/>
          <w:color w:val="1F497D" w:themeColor="text2"/>
          <w:sz w:val="28"/>
          <w:szCs w:val="28"/>
        </w:rPr>
      </w:pPr>
      <w:r w:rsidRPr="00003D5B">
        <w:rPr>
          <w:b/>
          <w:color w:val="1F497D" w:themeColor="text2"/>
          <w:sz w:val="28"/>
          <w:szCs w:val="28"/>
        </w:rPr>
        <w:t>Recommendation</w:t>
      </w:r>
    </w:p>
    <w:p w:rsidR="00F53230" w:rsidRPr="005A406C" w:rsidRDefault="00F53230" w:rsidP="00F53230">
      <w:pPr>
        <w:rPr>
          <w:i/>
        </w:rPr>
      </w:pPr>
      <w:r w:rsidRPr="005A406C">
        <w:rPr>
          <w:b/>
          <w:i/>
        </w:rPr>
        <w:t>The Commission recommends that Australian governments review mandatory sentencing and laws that limit judicial discretion, and expand the use of non-custodial measures where appropriate.</w:t>
      </w:r>
    </w:p>
    <w:p w:rsidR="007E7C9F" w:rsidRPr="00003D5B" w:rsidRDefault="007E7C9F" w:rsidP="007E7C9F">
      <w:pPr>
        <w:rPr>
          <w:b/>
          <w:color w:val="1F497D" w:themeColor="text2"/>
          <w:sz w:val="28"/>
          <w:szCs w:val="28"/>
        </w:rPr>
      </w:pPr>
      <w:r w:rsidRPr="00003D5B">
        <w:rPr>
          <w:b/>
          <w:color w:val="1F497D" w:themeColor="text2"/>
          <w:sz w:val="28"/>
          <w:szCs w:val="28"/>
        </w:rPr>
        <w:t>Key Issue</w:t>
      </w:r>
      <w:r w:rsidR="00B2571E" w:rsidRPr="00003D5B">
        <w:rPr>
          <w:b/>
          <w:color w:val="1F497D" w:themeColor="text2"/>
          <w:sz w:val="28"/>
          <w:szCs w:val="28"/>
        </w:rPr>
        <w:t xml:space="preserve"> – Child offenders in adult prisons</w:t>
      </w:r>
    </w:p>
    <w:p w:rsidR="00B2571E" w:rsidRDefault="00B2571E" w:rsidP="00B2571E">
      <w:r>
        <w:t>C</w:t>
      </w:r>
      <w:r w:rsidRPr="00F53230">
        <w:t xml:space="preserve">hild offenders </w:t>
      </w:r>
      <w:r>
        <w:t xml:space="preserve">have </w:t>
      </w:r>
      <w:r w:rsidRPr="00F53230">
        <w:t xml:space="preserve">sometimes </w:t>
      </w:r>
      <w:r>
        <w:t xml:space="preserve">been </w:t>
      </w:r>
      <w:r w:rsidRPr="00F53230">
        <w:t xml:space="preserve">held in the same correctional centres as adults. </w:t>
      </w:r>
      <w:r w:rsidRPr="00840E6D">
        <w:rPr>
          <w:rFonts w:cs="Arial"/>
        </w:rPr>
        <w:t>In particular, children have been held in adult detention facilities in Western Australia and Victoria. These transfers have been examined through litigation in which the Commission intervened</w:t>
      </w:r>
      <w:r>
        <w:rPr>
          <w:rFonts w:cs="Arial"/>
        </w:rPr>
        <w:t>.</w:t>
      </w:r>
      <w:r w:rsidRPr="00F53230">
        <w:rPr>
          <w:vertAlign w:val="superscript"/>
        </w:rPr>
        <w:endnoteReference w:id="11"/>
      </w:r>
      <w:r>
        <w:rPr>
          <w:rFonts w:cs="Arial"/>
        </w:rPr>
        <w:t xml:space="preserve"> </w:t>
      </w:r>
      <w:r w:rsidRPr="00840E6D">
        <w:rPr>
          <w:rFonts w:cs="Arial"/>
        </w:rPr>
        <w:t xml:space="preserve">The National Children Commissioner raised this concern in her inaugural </w:t>
      </w:r>
      <w:r>
        <w:rPr>
          <w:rFonts w:cs="Arial"/>
        </w:rPr>
        <w:t>Children’s Rights Report 2013.</w:t>
      </w:r>
      <w:r>
        <w:rPr>
          <w:rStyle w:val="EndnoteReference"/>
          <w:rFonts w:cs="Arial"/>
        </w:rPr>
        <w:endnoteReference w:id="12"/>
      </w:r>
      <w:r w:rsidR="00485CF8">
        <w:rPr>
          <w:rFonts w:cs="Arial"/>
        </w:rPr>
        <w:t xml:space="preserve"> </w:t>
      </w:r>
      <w:r w:rsidRPr="00F53230">
        <w:t>The Commission notes that some jurisdictions have progressed the use of non-custodial measures and strengthened diversionary programs.</w:t>
      </w:r>
      <w:r w:rsidRPr="00F53230">
        <w:rPr>
          <w:vertAlign w:val="superscript"/>
        </w:rPr>
        <w:endnoteReference w:id="13"/>
      </w:r>
    </w:p>
    <w:p w:rsidR="00B2571E" w:rsidRPr="00003D5B" w:rsidRDefault="00B2571E" w:rsidP="00B2571E">
      <w:pPr>
        <w:rPr>
          <w:b/>
          <w:color w:val="1F497D" w:themeColor="text2"/>
          <w:sz w:val="28"/>
          <w:szCs w:val="28"/>
        </w:rPr>
      </w:pPr>
      <w:bookmarkStart w:id="0" w:name="_GoBack"/>
      <w:r w:rsidRPr="00003D5B">
        <w:rPr>
          <w:b/>
          <w:color w:val="1F497D" w:themeColor="text2"/>
          <w:sz w:val="28"/>
          <w:szCs w:val="28"/>
        </w:rPr>
        <w:t>Recommendation</w:t>
      </w:r>
    </w:p>
    <w:bookmarkEnd w:id="0"/>
    <w:p w:rsidR="00B2571E" w:rsidRPr="00793676" w:rsidRDefault="00793676" w:rsidP="00B2571E">
      <w:pPr>
        <w:rPr>
          <w:b/>
          <w:i/>
        </w:rPr>
      </w:pPr>
      <w:r w:rsidRPr="00793676">
        <w:rPr>
          <w:b/>
          <w:i/>
        </w:rPr>
        <w:t xml:space="preserve">The Commission recommends that Australian governments </w:t>
      </w:r>
      <w:r w:rsidR="00B2571E" w:rsidRPr="00793676">
        <w:rPr>
          <w:b/>
          <w:i/>
        </w:rPr>
        <w:t>expand the use of diversionary programs for juveniles, raise the minimum age of criminal responsibility and cease detention of children in adult facilities.</w:t>
      </w:r>
    </w:p>
    <w:sectPr w:rsidR="00B2571E" w:rsidRPr="00793676" w:rsidSect="00CE7182">
      <w:head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37" w:rsidRDefault="007A7937" w:rsidP="00F14C6D">
      <w:r>
        <w:separator/>
      </w:r>
    </w:p>
  </w:endnote>
  <w:endnote w:type="continuationSeparator" w:id="0">
    <w:p w:rsidR="007A7937" w:rsidRDefault="007A7937" w:rsidP="00F14C6D">
      <w:r>
        <w:continuationSeparator/>
      </w:r>
    </w:p>
  </w:endnote>
  <w:endnote w:id="1">
    <w:p w:rsidR="00793676" w:rsidRDefault="00793676">
      <w:pPr>
        <w:pStyle w:val="EndnoteText"/>
      </w:pPr>
      <w:r>
        <w:rPr>
          <w:rStyle w:val="EndnoteReference"/>
        </w:rPr>
        <w:endnoteRef/>
      </w:r>
      <w:r>
        <w:t xml:space="preserve"> </w:t>
      </w:r>
      <w:r w:rsidRPr="00840E6D">
        <w:rPr>
          <w:rFonts w:cs="Arial"/>
        </w:rPr>
        <w:t xml:space="preserve">Steering Committee for the Review of Government Service Provision, </w:t>
      </w:r>
      <w:r w:rsidRPr="00840E6D">
        <w:rPr>
          <w:rFonts w:cs="Arial"/>
          <w:i/>
        </w:rPr>
        <w:t xml:space="preserve">Overcoming Indigenous Disadvantage Key Indicators 2014 </w:t>
      </w:r>
      <w:r w:rsidRPr="00840E6D">
        <w:rPr>
          <w:rFonts w:cs="Arial"/>
        </w:rPr>
        <w:t>(2014), p 4.10</w:t>
      </w:r>
      <w:r w:rsidR="00F52B31">
        <w:rPr>
          <w:rFonts w:cs="Arial"/>
        </w:rPr>
        <w:t>0 (Box 4.12.1)</w:t>
      </w:r>
      <w:r w:rsidRPr="00840E6D">
        <w:rPr>
          <w:rFonts w:cs="Arial"/>
        </w:rPr>
        <w:t xml:space="preserve">. At </w:t>
      </w:r>
      <w:hyperlink r:id="rId1" w:anchor="report" w:history="1">
        <w:r w:rsidRPr="00840E6D">
          <w:rPr>
            <w:rStyle w:val="Hyperlink"/>
            <w:rFonts w:cs="Arial"/>
          </w:rPr>
          <w:t>http://www.pc.gov.au/research/recurring/overcoming-indigenous-disadvantage/key-indicators-2014#report</w:t>
        </w:r>
      </w:hyperlink>
      <w:r w:rsidRPr="00840E6D">
        <w:rPr>
          <w:rFonts w:cs="Arial"/>
        </w:rPr>
        <w:t xml:space="preserve"> (viewed </w:t>
      </w:r>
      <w:r>
        <w:rPr>
          <w:rFonts w:cs="Arial"/>
        </w:rPr>
        <w:t>22 June 2015</w:t>
      </w:r>
      <w:r w:rsidRPr="00840E6D">
        <w:rPr>
          <w:rFonts w:cs="Arial"/>
        </w:rPr>
        <w:t>)</w:t>
      </w:r>
      <w:r w:rsidR="00F52B31">
        <w:rPr>
          <w:rFonts w:cs="Arial"/>
        </w:rPr>
        <w:t xml:space="preserve">: </w:t>
      </w:r>
      <w:r w:rsidRPr="00840E6D">
        <w:rPr>
          <w:rFonts w:cs="Arial"/>
        </w:rPr>
        <w:t>Between 2000 and 2013 the imprisonment rate for Aboriginal Torres Strait Islander adults increased by 57%. Most recent statistics show Aboriginal and Torres Strait Islander adults are imprisoned at 13 times the rate of non-Indigenous adults. Aboriginal children are imprisoned at 24 times the rate of non-Indigenous young people</w:t>
      </w:r>
      <w:r w:rsidR="00F52B31">
        <w:rPr>
          <w:rFonts w:cs="Arial"/>
        </w:rPr>
        <w:t xml:space="preserve">. </w:t>
      </w:r>
      <w:r w:rsidR="00F52B31" w:rsidRPr="00840E6D">
        <w:rPr>
          <w:rFonts w:cs="Arial"/>
        </w:rPr>
        <w:t xml:space="preserve">Australian Institute of Health and Welfare, </w:t>
      </w:r>
      <w:r w:rsidR="00F52B31" w:rsidRPr="00840E6D">
        <w:rPr>
          <w:rFonts w:cs="Arial"/>
          <w:i/>
        </w:rPr>
        <w:t>Youth Justice in Australia 2012–13</w:t>
      </w:r>
      <w:r w:rsidR="00F52B31" w:rsidRPr="00840E6D">
        <w:rPr>
          <w:rFonts w:cs="Arial"/>
        </w:rPr>
        <w:t xml:space="preserve"> (2014), p 13. At </w:t>
      </w:r>
      <w:hyperlink r:id="rId2" w:history="1">
        <w:r w:rsidR="00F52B31" w:rsidRPr="00840E6D">
          <w:rPr>
            <w:rStyle w:val="Hyperlink"/>
            <w:rFonts w:cs="Arial"/>
          </w:rPr>
          <w:t>http://www.aihw.gov.au/publication-detail/?id=60129546738</w:t>
        </w:r>
      </w:hyperlink>
      <w:r w:rsidR="00F52B31" w:rsidRPr="00840E6D">
        <w:rPr>
          <w:rFonts w:cs="Arial"/>
        </w:rPr>
        <w:t xml:space="preserve"> </w:t>
      </w:r>
      <w:r w:rsidR="00F52B31" w:rsidRPr="00840E6D">
        <w:rPr>
          <w:rFonts w:cs="Arial"/>
          <w:iCs/>
        </w:rPr>
        <w:t>(</w:t>
      </w:r>
      <w:r w:rsidR="00F52B31" w:rsidRPr="00840E6D">
        <w:rPr>
          <w:rFonts w:cs="Arial"/>
        </w:rPr>
        <w:t xml:space="preserve">viewed </w:t>
      </w:r>
      <w:r w:rsidR="00F52B31">
        <w:rPr>
          <w:rFonts w:cs="Arial"/>
        </w:rPr>
        <w:t>22 June 2015</w:t>
      </w:r>
      <w:r w:rsidR="00F52B31">
        <w:rPr>
          <w:rFonts w:cs="Arial"/>
          <w:iCs/>
        </w:rPr>
        <w:t xml:space="preserve">): </w:t>
      </w:r>
      <w:r w:rsidR="00F52B31" w:rsidRPr="00840E6D">
        <w:rPr>
          <w:rFonts w:cs="Arial"/>
        </w:rPr>
        <w:t>On an average day</w:t>
      </w:r>
      <w:r w:rsidR="00F52B31">
        <w:rPr>
          <w:rFonts w:cs="Arial"/>
        </w:rPr>
        <w:t xml:space="preserve"> in 2012-13</w:t>
      </w:r>
      <w:r w:rsidR="00F52B31" w:rsidRPr="00840E6D">
        <w:rPr>
          <w:rFonts w:cs="Arial"/>
        </w:rPr>
        <w:t>, Indigenous children aged 10–17 were 16 times as likely to be under community-based supervision as non-Indigenous young people and 28 times as likely to be in juvenile detention</w:t>
      </w:r>
      <w:r w:rsidR="00F52B31">
        <w:rPr>
          <w:rFonts w:cs="Arial"/>
        </w:rPr>
        <w:t>.</w:t>
      </w:r>
    </w:p>
  </w:endnote>
  <w:endnote w:id="2">
    <w:p w:rsidR="00022DCD" w:rsidRDefault="00022DCD" w:rsidP="00022DCD">
      <w:pPr>
        <w:pStyle w:val="EndnoteText"/>
      </w:pPr>
      <w:r w:rsidRPr="00840E6D">
        <w:rPr>
          <w:rStyle w:val="EndnoteReference"/>
          <w:rFonts w:cs="Arial"/>
        </w:rPr>
        <w:endnoteRef/>
      </w:r>
      <w:r w:rsidRPr="00840E6D">
        <w:rPr>
          <w:rFonts w:cs="Arial"/>
        </w:rPr>
        <w:t xml:space="preserve"> See Aboriginal and Torres Strait Islander Social Justice Commissioner, </w:t>
      </w:r>
      <w:r w:rsidRPr="00840E6D">
        <w:rPr>
          <w:rFonts w:cs="Arial"/>
          <w:i/>
        </w:rPr>
        <w:t>Social Justice and Native Title Report 2014</w:t>
      </w:r>
      <w:r w:rsidRPr="00840E6D">
        <w:rPr>
          <w:rFonts w:cs="Arial"/>
        </w:rPr>
        <w:t xml:space="preserve"> (2014), pp 117-123. At </w:t>
      </w:r>
      <w:hyperlink r:id="rId3" w:history="1">
        <w:r w:rsidRPr="00840E6D">
          <w:rPr>
            <w:rStyle w:val="Hyperlink"/>
            <w:rFonts w:cs="Arial"/>
          </w:rPr>
          <w:t>https://www.humanrights.gov.au/publications/social-justice-and-native-title-report-2014</w:t>
        </w:r>
      </w:hyperlink>
      <w:r w:rsidRPr="00840E6D">
        <w:rPr>
          <w:rFonts w:cs="Arial"/>
        </w:rPr>
        <w:t xml:space="preserve"> (viewed </w:t>
      </w:r>
      <w:r>
        <w:rPr>
          <w:rFonts w:cs="Arial"/>
        </w:rPr>
        <w:t>22 June 2015</w:t>
      </w:r>
      <w:r w:rsidRPr="00840E6D">
        <w:rPr>
          <w:rFonts w:cs="Arial"/>
        </w:rPr>
        <w:t>).</w:t>
      </w:r>
    </w:p>
  </w:endnote>
  <w:endnote w:id="3">
    <w:p w:rsidR="00022DCD" w:rsidRDefault="00022DCD" w:rsidP="00022DCD">
      <w:pPr>
        <w:pStyle w:val="EndnoteText"/>
      </w:pPr>
      <w:r>
        <w:rPr>
          <w:rStyle w:val="EndnoteReference"/>
        </w:rPr>
        <w:endnoteRef/>
      </w:r>
      <w:r>
        <w:t xml:space="preserve"> </w:t>
      </w:r>
      <w:r w:rsidRPr="00840E6D">
        <w:rPr>
          <w:rFonts w:cs="Arial"/>
        </w:rPr>
        <w:t xml:space="preserve">Senate Legal and Constitutional Affairs Committee, </w:t>
      </w:r>
      <w:r w:rsidRPr="00840E6D">
        <w:rPr>
          <w:rFonts w:cs="Arial"/>
          <w:i/>
          <w:iCs/>
        </w:rPr>
        <w:t xml:space="preserve">Value of a justice reinvestment approach to criminal justice in Australia </w:t>
      </w:r>
      <w:r w:rsidRPr="00840E6D">
        <w:rPr>
          <w:rFonts w:cs="Arial"/>
        </w:rPr>
        <w:t xml:space="preserve">(2013), p 124. At </w:t>
      </w:r>
      <w:hyperlink r:id="rId4" w:history="1">
        <w:r w:rsidRPr="00840E6D">
          <w:rPr>
            <w:rStyle w:val="Hyperlink"/>
            <w:rFonts w:cs="Arial"/>
          </w:rPr>
          <w:t>http://www.aph.gov.au/Parliamentary_Business/Committees/Senate/Legal_and_Constitutional_Affairs/Completed_inquiries/2010-13/justicereinvestment/report/index</w:t>
        </w:r>
      </w:hyperlink>
      <w:r>
        <w:rPr>
          <w:rFonts w:cs="Arial"/>
        </w:rPr>
        <w:t xml:space="preserve"> (viewed 21 March 2015); </w:t>
      </w:r>
      <w:r w:rsidRPr="00840E6D">
        <w:rPr>
          <w:rFonts w:cs="Arial"/>
        </w:rPr>
        <w:t xml:space="preserve">Australian Human Rights Commission, </w:t>
      </w:r>
      <w:r w:rsidRPr="00840E6D">
        <w:rPr>
          <w:rFonts w:cs="Arial"/>
          <w:i/>
        </w:rPr>
        <w:t>Social Justice and Native Title Report 2014</w:t>
      </w:r>
      <w:r w:rsidRPr="00840E6D">
        <w:rPr>
          <w:rFonts w:cs="Arial"/>
        </w:rPr>
        <w:t xml:space="preserve"> (2014), p 12. At </w:t>
      </w:r>
      <w:hyperlink r:id="rId5" w:history="1">
        <w:r w:rsidRPr="00840E6D">
          <w:rPr>
            <w:rStyle w:val="Hyperlink"/>
            <w:rFonts w:cs="Arial"/>
          </w:rPr>
          <w:t>https://www.humanrights.gov.au/our-work/aboriginal-and-torres-strait-islander-social-justice/publications/social-justice-and-nati-0</w:t>
        </w:r>
      </w:hyperlink>
      <w:r w:rsidRPr="00840E6D">
        <w:rPr>
          <w:rFonts w:cs="Arial"/>
        </w:rPr>
        <w:t xml:space="preserve"> (viewed 5 March 2015).</w:t>
      </w:r>
    </w:p>
  </w:endnote>
  <w:endnote w:id="4">
    <w:p w:rsidR="00B2571E" w:rsidRDefault="00B2571E" w:rsidP="00B2571E">
      <w:pPr>
        <w:pStyle w:val="EndnoteText"/>
      </w:pPr>
      <w:r w:rsidRPr="00840E6D">
        <w:rPr>
          <w:rStyle w:val="EndnoteReference"/>
          <w:rFonts w:cs="Arial"/>
        </w:rPr>
        <w:endnoteRef/>
      </w:r>
      <w:r w:rsidRPr="00840E6D">
        <w:rPr>
          <w:rFonts w:cs="Arial"/>
        </w:rPr>
        <w:t xml:space="preserve"> Aboriginal and Torres Strait Islander Social Justice Commissioner, </w:t>
      </w:r>
      <w:r w:rsidRPr="00840E6D">
        <w:rPr>
          <w:rFonts w:cs="Arial"/>
          <w:i/>
        </w:rPr>
        <w:t xml:space="preserve">Social Justice and Native Title Report 2014 </w:t>
      </w:r>
      <w:r w:rsidRPr="00840E6D">
        <w:rPr>
          <w:rFonts w:cs="Arial"/>
        </w:rPr>
        <w:t xml:space="preserve">(2014), p 24. At </w:t>
      </w:r>
      <w:hyperlink r:id="rId6" w:history="1">
        <w:r w:rsidRPr="00840E6D">
          <w:rPr>
            <w:rStyle w:val="Hyperlink"/>
            <w:rFonts w:cs="Arial"/>
          </w:rPr>
          <w:t>https://www.humanrights.gov.au/publications/social-justice-and-native-title-report-2014</w:t>
        </w:r>
      </w:hyperlink>
      <w:r w:rsidRPr="00840E6D">
        <w:rPr>
          <w:rFonts w:cs="Arial"/>
        </w:rPr>
        <w:t xml:space="preserve"> (viewed </w:t>
      </w:r>
      <w:r>
        <w:rPr>
          <w:rFonts w:cs="Arial"/>
        </w:rPr>
        <w:t>22 June 2015</w:t>
      </w:r>
      <w:r w:rsidRPr="00840E6D">
        <w:rPr>
          <w:rFonts w:cs="Arial"/>
        </w:rPr>
        <w:t>).</w:t>
      </w:r>
    </w:p>
  </w:endnote>
  <w:endnote w:id="5">
    <w:p w:rsidR="00F0660F" w:rsidRDefault="00F0660F" w:rsidP="00F0660F">
      <w:pPr>
        <w:pStyle w:val="EndnoteText"/>
      </w:pPr>
      <w:r w:rsidRPr="00840E6D">
        <w:rPr>
          <w:rStyle w:val="EndnoteReference"/>
          <w:rFonts w:cs="Arial"/>
        </w:rPr>
        <w:endnoteRef/>
      </w:r>
      <w:r w:rsidRPr="00840E6D">
        <w:rPr>
          <w:rFonts w:cs="Arial"/>
        </w:rPr>
        <w:t xml:space="preserve"> </w:t>
      </w:r>
      <w:r w:rsidRPr="00840E6D">
        <w:rPr>
          <w:rFonts w:cs="Arial"/>
          <w:iCs/>
        </w:rPr>
        <w:t>Australian Human Rights Commission</w:t>
      </w:r>
      <w:r w:rsidRPr="00840E6D">
        <w:rPr>
          <w:rFonts w:cs="Arial"/>
          <w:i/>
          <w:iCs/>
        </w:rPr>
        <w:t xml:space="preserve">, Equal </w:t>
      </w:r>
      <w:proofErr w:type="gramStart"/>
      <w:r w:rsidRPr="00840E6D">
        <w:rPr>
          <w:rFonts w:cs="Arial"/>
          <w:i/>
          <w:iCs/>
        </w:rPr>
        <w:t>Before</w:t>
      </w:r>
      <w:proofErr w:type="gramEnd"/>
      <w:r w:rsidRPr="00840E6D">
        <w:rPr>
          <w:rFonts w:cs="Arial"/>
          <w:i/>
          <w:iCs/>
        </w:rPr>
        <w:t xml:space="preserve"> the Law: Towards disability justice strategies</w:t>
      </w:r>
      <w:r w:rsidRPr="00840E6D">
        <w:rPr>
          <w:rFonts w:cs="Arial"/>
          <w:iCs/>
        </w:rPr>
        <w:t xml:space="preserve"> (2014) p 12. At </w:t>
      </w:r>
      <w:hyperlink r:id="rId7" w:history="1">
        <w:r w:rsidRPr="00840E6D">
          <w:rPr>
            <w:rStyle w:val="Hyperlink"/>
            <w:rFonts w:cs="Arial"/>
          </w:rPr>
          <w:t>https://www.humanrights.gov.au/our-work/disability-rights/publications/equal-law</w:t>
        </w:r>
      </w:hyperlink>
      <w:r w:rsidRPr="00840E6D">
        <w:rPr>
          <w:rFonts w:cs="Arial"/>
        </w:rPr>
        <w:t xml:space="preserve"> </w:t>
      </w:r>
      <w:r w:rsidRPr="00840E6D">
        <w:rPr>
          <w:rFonts w:cs="Arial"/>
          <w:iCs/>
        </w:rPr>
        <w:t>(viewed 2</w:t>
      </w:r>
      <w:r w:rsidR="00DB1105">
        <w:rPr>
          <w:rFonts w:cs="Arial"/>
          <w:iCs/>
        </w:rPr>
        <w:t>2 June</w:t>
      </w:r>
      <w:r w:rsidRPr="00840E6D">
        <w:rPr>
          <w:rFonts w:cs="Arial"/>
          <w:iCs/>
        </w:rPr>
        <w:t xml:space="preserve"> 2015). </w:t>
      </w:r>
    </w:p>
  </w:endnote>
  <w:endnote w:id="6">
    <w:p w:rsidR="00F25168" w:rsidRDefault="00F25168">
      <w:pPr>
        <w:pStyle w:val="EndnoteText"/>
      </w:pPr>
      <w:r>
        <w:rPr>
          <w:rStyle w:val="EndnoteReference"/>
        </w:rPr>
        <w:endnoteRef/>
      </w:r>
      <w:r>
        <w:t xml:space="preserve"> </w:t>
      </w:r>
      <w:r w:rsidRPr="00840E6D">
        <w:rPr>
          <w:rFonts w:cs="Arial"/>
          <w:i/>
        </w:rPr>
        <w:t>KA, KB, KC and KD v Commonwealth of Australia</w:t>
      </w:r>
      <w:r w:rsidRPr="00840E6D">
        <w:rPr>
          <w:rFonts w:cs="Arial"/>
        </w:rPr>
        <w:t xml:space="preserve"> [2014] </w:t>
      </w:r>
      <w:proofErr w:type="spellStart"/>
      <w:r w:rsidRPr="00840E6D">
        <w:rPr>
          <w:rFonts w:cs="Arial"/>
        </w:rPr>
        <w:t>AusHRC</w:t>
      </w:r>
      <w:proofErr w:type="spellEnd"/>
      <w:r w:rsidRPr="00840E6D">
        <w:rPr>
          <w:rFonts w:cs="Arial"/>
        </w:rPr>
        <w:t xml:space="preserve"> 80. At </w:t>
      </w:r>
      <w:hyperlink r:id="rId8" w:history="1">
        <w:r w:rsidRPr="00840E6D">
          <w:rPr>
            <w:rStyle w:val="Hyperlink"/>
            <w:rFonts w:cs="Arial"/>
          </w:rPr>
          <w:t>https://www.humanrights.gov.au/our-work/legal/publications/ka-kb-kc-and-kd-v-commonwealth-australia</w:t>
        </w:r>
      </w:hyperlink>
      <w:r w:rsidRPr="00840E6D">
        <w:rPr>
          <w:rFonts w:cs="Arial"/>
        </w:rPr>
        <w:t xml:space="preserve"> (viewed 2</w:t>
      </w:r>
      <w:r w:rsidR="00DB1105">
        <w:rPr>
          <w:rFonts w:cs="Arial"/>
        </w:rPr>
        <w:t>2 June</w:t>
      </w:r>
      <w:r w:rsidRPr="00840E6D">
        <w:rPr>
          <w:rFonts w:cs="Arial"/>
        </w:rPr>
        <w:t xml:space="preserve"> 2015).</w:t>
      </w:r>
    </w:p>
  </w:endnote>
  <w:endnote w:id="7">
    <w:p w:rsidR="00F25168" w:rsidRDefault="00F25168">
      <w:pPr>
        <w:pStyle w:val="EndnoteText"/>
      </w:pPr>
      <w:r>
        <w:rPr>
          <w:rStyle w:val="EndnoteReference"/>
        </w:rPr>
        <w:endnoteRef/>
      </w:r>
      <w:r>
        <w:t xml:space="preserve"> </w:t>
      </w:r>
      <w:r w:rsidRPr="00840E6D">
        <w:rPr>
          <w:rFonts w:cs="Arial"/>
        </w:rPr>
        <w:t xml:space="preserve">People with Disability Australia, </w:t>
      </w:r>
      <w:r w:rsidRPr="00840E6D">
        <w:rPr>
          <w:rFonts w:cs="Arial"/>
          <w:i/>
        </w:rPr>
        <w:t>Aboriginal Disability Justice Campaign</w:t>
      </w:r>
      <w:r w:rsidRPr="00840E6D">
        <w:rPr>
          <w:rFonts w:cs="Arial"/>
        </w:rPr>
        <w:t xml:space="preserve"> (2015). At </w:t>
      </w:r>
      <w:hyperlink r:id="rId9" w:history="1">
        <w:r w:rsidRPr="00840E6D">
          <w:rPr>
            <w:rStyle w:val="Hyperlink"/>
            <w:rFonts w:cs="Arial"/>
          </w:rPr>
          <w:t>http://www.pwd.org.au/adjc/about-us-adjc.html</w:t>
        </w:r>
      </w:hyperlink>
      <w:r w:rsidRPr="00840E6D">
        <w:rPr>
          <w:rFonts w:cs="Arial"/>
        </w:rPr>
        <w:t xml:space="preserve"> (viewed 2</w:t>
      </w:r>
      <w:r w:rsidR="00DB1105">
        <w:rPr>
          <w:rFonts w:cs="Arial"/>
        </w:rPr>
        <w:t>2 June</w:t>
      </w:r>
      <w:r w:rsidRPr="00840E6D">
        <w:rPr>
          <w:rFonts w:cs="Arial"/>
        </w:rPr>
        <w:t xml:space="preserve"> 2015).</w:t>
      </w:r>
    </w:p>
  </w:endnote>
  <w:endnote w:id="8">
    <w:p w:rsidR="00F53230" w:rsidRDefault="00F53230" w:rsidP="00F53230">
      <w:pPr>
        <w:pStyle w:val="EndnoteText"/>
      </w:pPr>
      <w:r w:rsidRPr="00840E6D">
        <w:rPr>
          <w:rStyle w:val="EndnoteReference"/>
          <w:rFonts w:cs="Arial"/>
        </w:rPr>
        <w:endnoteRef/>
      </w:r>
      <w:r w:rsidRPr="00840E6D">
        <w:rPr>
          <w:rFonts w:cs="Arial"/>
        </w:rPr>
        <w:t xml:space="preserve"> New mandatory sentencing laws for a range of offences have been introduced by the states of Queensland (2012 and 2013), Victoria (2013 and 2014) and New South Wales (2014). Existing mandatory sentencing regimes were expanded in Western Australia and the Northern Territory in 2013. See L Roth, ‘Mandatory Sentencing Laws’, </w:t>
      </w:r>
      <w:r w:rsidRPr="00840E6D">
        <w:rPr>
          <w:rFonts w:cs="Arial"/>
          <w:i/>
        </w:rPr>
        <w:t>NSW Parliamentary Research Service e-brief</w:t>
      </w:r>
      <w:r w:rsidRPr="00840E6D">
        <w:rPr>
          <w:rFonts w:cs="Arial"/>
        </w:rPr>
        <w:t xml:space="preserve">. At </w:t>
      </w:r>
      <w:hyperlink r:id="rId10" w:history="1">
        <w:r w:rsidRPr="00840E6D">
          <w:rPr>
            <w:rStyle w:val="Hyperlink"/>
            <w:rFonts w:cs="Arial"/>
          </w:rPr>
          <w:t>http://www.parliament.nsw.gov.au/prod/parlment/publications.nsf/key/Mandatorysentencinglaws/$File/mandatory+sentencing+laws.pdf</w:t>
        </w:r>
      </w:hyperlink>
      <w:r w:rsidRPr="00840E6D">
        <w:rPr>
          <w:rFonts w:cs="Arial"/>
        </w:rPr>
        <w:t xml:space="preserve"> (viewed 2</w:t>
      </w:r>
      <w:r w:rsidR="00DB1105">
        <w:rPr>
          <w:rFonts w:cs="Arial"/>
        </w:rPr>
        <w:t>2 June</w:t>
      </w:r>
      <w:r w:rsidRPr="00840E6D">
        <w:rPr>
          <w:rFonts w:cs="Arial"/>
        </w:rPr>
        <w:t xml:space="preserve"> 2015). For analysis of the human rights impact of mandatory sentencing laws, see the Commission’s submissions as amicus</w:t>
      </w:r>
      <w:r w:rsidRPr="00840E6D">
        <w:rPr>
          <w:rFonts w:cs="Arial"/>
          <w:i/>
        </w:rPr>
        <w:t xml:space="preserve"> </w:t>
      </w:r>
      <w:r w:rsidRPr="00840E6D">
        <w:rPr>
          <w:rFonts w:cs="Arial"/>
        </w:rPr>
        <w:t xml:space="preserve">curiae in </w:t>
      </w:r>
      <w:proofErr w:type="spellStart"/>
      <w:r w:rsidRPr="00840E6D">
        <w:rPr>
          <w:rFonts w:cs="Arial"/>
          <w:i/>
        </w:rPr>
        <w:t>Magaming</w:t>
      </w:r>
      <w:proofErr w:type="spellEnd"/>
      <w:r w:rsidRPr="00840E6D">
        <w:rPr>
          <w:rFonts w:cs="Arial"/>
          <w:i/>
        </w:rPr>
        <w:t xml:space="preserve"> v The Queen </w:t>
      </w:r>
      <w:r w:rsidRPr="00840E6D">
        <w:rPr>
          <w:rFonts w:cs="Arial"/>
        </w:rPr>
        <w:t xml:space="preserve">[2013] HCA 40 (11 October 2013). At </w:t>
      </w:r>
      <w:hyperlink r:id="rId11" w:history="1">
        <w:r w:rsidRPr="00840E6D">
          <w:rPr>
            <w:rFonts w:cs="Arial"/>
            <w:color w:val="0000FF"/>
            <w:u w:val="single"/>
          </w:rPr>
          <w:t>https://www.humanrights.gov.au/our-work/legal/submissions/submission-court-intervener-and-amicus-curiae</w:t>
        </w:r>
      </w:hyperlink>
      <w:r w:rsidR="00DB1105">
        <w:rPr>
          <w:rFonts w:cs="Arial"/>
        </w:rPr>
        <w:t xml:space="preserve"> (viewed 22 June</w:t>
      </w:r>
      <w:r w:rsidRPr="00840E6D">
        <w:rPr>
          <w:rFonts w:cs="Arial"/>
        </w:rPr>
        <w:t xml:space="preserve"> 2015).</w:t>
      </w:r>
    </w:p>
  </w:endnote>
  <w:endnote w:id="9">
    <w:p w:rsidR="00F53230" w:rsidRDefault="00F53230" w:rsidP="00F53230">
      <w:pPr>
        <w:pStyle w:val="EndnoteText"/>
      </w:pPr>
      <w:r w:rsidRPr="00840E6D">
        <w:rPr>
          <w:rStyle w:val="EndnoteReference"/>
          <w:rFonts w:cs="Arial"/>
        </w:rPr>
        <w:endnoteRef/>
      </w:r>
      <w:r w:rsidRPr="00840E6D">
        <w:rPr>
          <w:rFonts w:cs="Arial"/>
        </w:rPr>
        <w:t xml:space="preserve"> Suspended sentences were abolished in the state of Victoria for offences committed on or after 1 September 2014 by the </w:t>
      </w:r>
      <w:r w:rsidRPr="00840E6D">
        <w:rPr>
          <w:rFonts w:cs="Arial"/>
          <w:i/>
        </w:rPr>
        <w:t xml:space="preserve">Sentencing Amendment (Abolition of Suspended Sentences and Other Matters) Act 2013 </w:t>
      </w:r>
      <w:r w:rsidRPr="00840E6D">
        <w:rPr>
          <w:rFonts w:cs="Arial"/>
        </w:rPr>
        <w:t>(Vic).</w:t>
      </w:r>
    </w:p>
  </w:endnote>
  <w:endnote w:id="10">
    <w:p w:rsidR="00F53230" w:rsidRDefault="00F53230" w:rsidP="00DB1105">
      <w:pPr>
        <w:pStyle w:val="EndnoteText"/>
      </w:pPr>
      <w:r w:rsidRPr="00840E6D">
        <w:rPr>
          <w:rStyle w:val="EndnoteReference"/>
          <w:rFonts w:cs="Arial"/>
        </w:rPr>
        <w:endnoteRef/>
      </w:r>
      <w:r w:rsidRPr="00840E6D">
        <w:rPr>
          <w:rFonts w:cs="Arial"/>
        </w:rPr>
        <w:t xml:space="preserve"> Victorian Ombudsman, </w:t>
      </w:r>
      <w:r w:rsidRPr="00840E6D">
        <w:rPr>
          <w:rFonts w:cs="Arial"/>
          <w:i/>
        </w:rPr>
        <w:t xml:space="preserve">Investigation into Deaths and Harm in Custody </w:t>
      </w:r>
      <w:r w:rsidRPr="00840E6D">
        <w:rPr>
          <w:rFonts w:cs="Arial"/>
        </w:rPr>
        <w:t xml:space="preserve">(2014), p 27. At </w:t>
      </w:r>
      <w:hyperlink r:id="rId12" w:history="1">
        <w:r w:rsidRPr="00840E6D">
          <w:rPr>
            <w:rStyle w:val="Hyperlink"/>
            <w:rFonts w:cs="Arial"/>
          </w:rPr>
          <w:t>https://www.ombudsman.vic.gov.au/getattachment/2998b6e6-491a-4dfe-b081-9d86fe4d4921</w:t>
        </w:r>
      </w:hyperlink>
      <w:r w:rsidRPr="00840E6D">
        <w:rPr>
          <w:rFonts w:cs="Arial"/>
        </w:rPr>
        <w:t xml:space="preserve"> (viewed 2</w:t>
      </w:r>
      <w:r w:rsidR="00DB1105">
        <w:rPr>
          <w:rFonts w:cs="Arial"/>
        </w:rPr>
        <w:t>2 June</w:t>
      </w:r>
      <w:r w:rsidRPr="00840E6D">
        <w:rPr>
          <w:rFonts w:cs="Arial"/>
        </w:rPr>
        <w:t xml:space="preserve"> 2015); Information provided in relation to Australian Human Rights Commission submission to UN Committee Against Torture from ACT Human Rights Commission to Australian Human Rights Commission, August 2014.</w:t>
      </w:r>
    </w:p>
  </w:endnote>
  <w:endnote w:id="11">
    <w:p w:rsidR="00B2571E" w:rsidRDefault="00B2571E" w:rsidP="00B2571E">
      <w:pPr>
        <w:pStyle w:val="EndnoteText"/>
      </w:pPr>
      <w:r w:rsidRPr="00840E6D">
        <w:rPr>
          <w:rStyle w:val="EndnoteReference"/>
          <w:rFonts w:cs="Arial"/>
        </w:rPr>
        <w:endnoteRef/>
      </w:r>
      <w:r w:rsidRPr="00840E6D">
        <w:rPr>
          <w:rFonts w:cs="Arial"/>
          <w:i/>
        </w:rPr>
        <w:t>Wilson v Joseph Michael Francis, Minister for Corrective Services for the State of Western Australia</w:t>
      </w:r>
      <w:r w:rsidRPr="00840E6D">
        <w:rPr>
          <w:rFonts w:cs="Arial"/>
        </w:rPr>
        <w:t xml:space="preserve"> [2013] WASC 157 (3 May 2013), and a Victorian Ombudsman investigation, </w:t>
      </w:r>
      <w:r w:rsidRPr="00840E6D">
        <w:rPr>
          <w:rFonts w:cs="Arial"/>
          <w:i/>
        </w:rPr>
        <w:t xml:space="preserve">Investigation into Children Transferred from the Youth Justice System to the Adult Prison System </w:t>
      </w:r>
      <w:r w:rsidRPr="00840E6D">
        <w:rPr>
          <w:rFonts w:cs="Arial"/>
        </w:rPr>
        <w:t xml:space="preserve">(2013). At </w:t>
      </w:r>
      <w:hyperlink r:id="rId13" w:history="1">
        <w:r w:rsidRPr="00840E6D">
          <w:rPr>
            <w:rStyle w:val="Hyperlink"/>
            <w:rFonts w:cs="Arial"/>
          </w:rPr>
          <w:t>https://www.ombudsman.vic.gov.au/getattachment/6a579e49-212e-42b0-9d3c-791e2d60e102//reports-publications/parliamentary-reports/investigation-into-children-transferred-from-the-y.aspx</w:t>
        </w:r>
      </w:hyperlink>
      <w:r w:rsidRPr="00840E6D">
        <w:rPr>
          <w:rFonts w:cs="Arial"/>
        </w:rPr>
        <w:t xml:space="preserve"> (viewed </w:t>
      </w:r>
      <w:r>
        <w:rPr>
          <w:rFonts w:cs="Arial"/>
        </w:rPr>
        <w:t>22 June 2015</w:t>
      </w:r>
      <w:r w:rsidRPr="00840E6D">
        <w:rPr>
          <w:rFonts w:cs="Arial"/>
        </w:rPr>
        <w:t xml:space="preserve">). </w:t>
      </w:r>
    </w:p>
  </w:endnote>
  <w:endnote w:id="12">
    <w:p w:rsidR="00B2571E" w:rsidRDefault="00B2571E" w:rsidP="00B2571E">
      <w:pPr>
        <w:pStyle w:val="EndnoteText"/>
      </w:pPr>
      <w:r>
        <w:rPr>
          <w:rStyle w:val="EndnoteReference"/>
        </w:rPr>
        <w:endnoteRef/>
      </w:r>
      <w:r>
        <w:t xml:space="preserve"> </w:t>
      </w:r>
      <w:r w:rsidRPr="00840E6D">
        <w:rPr>
          <w:rFonts w:cs="Arial"/>
          <w:i/>
        </w:rPr>
        <w:t>Children’s Rights Report 2013</w:t>
      </w:r>
      <w:r w:rsidRPr="00840E6D">
        <w:rPr>
          <w:rFonts w:cs="Arial"/>
        </w:rPr>
        <w:t xml:space="preserve"> (2013), p 33. At </w:t>
      </w:r>
      <w:hyperlink r:id="rId14" w:history="1">
        <w:r w:rsidRPr="00840E6D">
          <w:rPr>
            <w:rStyle w:val="Hyperlink"/>
            <w:rFonts w:cs="Arial"/>
          </w:rPr>
          <w:t>https://www.humanrights.gov.au/publications/childrens-rights-report-2013</w:t>
        </w:r>
      </w:hyperlink>
      <w:r w:rsidRPr="00840E6D">
        <w:rPr>
          <w:rFonts w:cs="Arial"/>
        </w:rPr>
        <w:t xml:space="preserve"> (viewed </w:t>
      </w:r>
      <w:r>
        <w:rPr>
          <w:rFonts w:cs="Arial"/>
        </w:rPr>
        <w:t>22 June 2015</w:t>
      </w:r>
      <w:r w:rsidRPr="00840E6D">
        <w:rPr>
          <w:rFonts w:cs="Arial"/>
        </w:rPr>
        <w:t>).</w:t>
      </w:r>
    </w:p>
  </w:endnote>
  <w:endnote w:id="13">
    <w:p w:rsidR="00B2571E" w:rsidRDefault="00B2571E" w:rsidP="00B2571E">
      <w:pPr>
        <w:pStyle w:val="EndnoteText"/>
      </w:pPr>
      <w:r w:rsidRPr="00840E6D">
        <w:rPr>
          <w:rStyle w:val="EndnoteReference"/>
          <w:rFonts w:cs="Arial"/>
        </w:rPr>
        <w:endnoteRef/>
      </w:r>
      <w:r w:rsidRPr="00840E6D">
        <w:rPr>
          <w:rFonts w:cs="Arial"/>
        </w:rPr>
        <w:t xml:space="preserve"> The Australian Human Rights Commission’s consultations in the lead up to the UPR identified successful diversionary initiatives in Victoria, the ACT and Tasmania.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003D5B">
      <w:rPr>
        <w:noProof/>
      </w:rPr>
      <w:t>3</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37" w:rsidRDefault="007A7937" w:rsidP="00F14C6D">
      <w:r>
        <w:separator/>
      </w:r>
    </w:p>
  </w:footnote>
  <w:footnote w:type="continuationSeparator" w:id="0">
    <w:p w:rsidR="007A7937" w:rsidRDefault="007A7937"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A9" w:rsidRPr="004A1660" w:rsidRDefault="00EC6FA9" w:rsidP="00EC6FA9">
    <w:pPr>
      <w:pStyle w:val="Header"/>
      <w:rPr>
        <w:sz w:val="20"/>
        <w:szCs w:val="20"/>
      </w:rPr>
    </w:pPr>
    <w:r>
      <w:rPr>
        <w:rFonts w:cs="ArialMT"/>
        <w:b/>
        <w:noProof/>
        <w:color w:val="000000"/>
        <w:spacing w:val="-20"/>
        <w:sz w:val="32"/>
      </w:rPr>
      <w:drawing>
        <wp:anchor distT="0" distB="0" distL="114300" distR="114300" simplePos="0" relativeHeight="251658240" behindDoc="0" locked="0" layoutInCell="1" allowOverlap="1" wp14:anchorId="149581DC" wp14:editId="46A38DDE">
          <wp:simplePos x="0" y="0"/>
          <wp:positionH relativeFrom="margin">
            <wp:align>left</wp:align>
          </wp:positionH>
          <wp:positionV relativeFrom="page">
            <wp:posOffset>457200</wp:posOffset>
          </wp:positionV>
          <wp:extent cx="2362200" cy="800100"/>
          <wp:effectExtent l="0" t="0" r="0" b="0"/>
          <wp:wrapSquare wrapText="bothSides"/>
          <wp:docPr id="6" name="Picture 6"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800100"/>
                  </a:xfrm>
                  <a:prstGeom prst="rect">
                    <a:avLst/>
                  </a:prstGeom>
                  <a:noFill/>
                  <a:ln>
                    <a:noFill/>
                  </a:ln>
                </pic:spPr>
              </pic:pic>
            </a:graphicData>
          </a:graphic>
        </wp:anchor>
      </w:drawing>
    </w:r>
    <w:r w:rsidRPr="004A1660">
      <w:rPr>
        <w:sz w:val="20"/>
        <w:szCs w:val="20"/>
      </w:rPr>
      <w:t>Universal Periodic Review</w:t>
    </w:r>
  </w:p>
  <w:p w:rsidR="00EC6FA9" w:rsidRPr="004A1660" w:rsidRDefault="00EC6FA9" w:rsidP="00EC6FA9">
    <w:pPr>
      <w:pStyle w:val="Header"/>
      <w:jc w:val="left"/>
      <w:rPr>
        <w:b/>
        <w:sz w:val="20"/>
        <w:szCs w:val="20"/>
      </w:rPr>
    </w:pPr>
  </w:p>
  <w:p w:rsidR="00E97C72" w:rsidRDefault="00E97C72" w:rsidP="00EC6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F8" w:rsidRDefault="00485CF8" w:rsidP="00EC6FA9">
    <w:pPr>
      <w:pStyle w:val="Header"/>
      <w:rPr>
        <w:b/>
        <w:sz w:val="20"/>
        <w:szCs w:val="20"/>
      </w:rPr>
    </w:pPr>
  </w:p>
  <w:p w:rsidR="00485CF8" w:rsidRPr="004A1660" w:rsidRDefault="00485CF8" w:rsidP="00EC6FA9">
    <w:pPr>
      <w:pStyle w:val="Header"/>
      <w:jc w:val="left"/>
      <w:rPr>
        <w:b/>
        <w:sz w:val="20"/>
        <w:szCs w:val="20"/>
      </w:rPr>
    </w:pPr>
  </w:p>
  <w:p w:rsidR="00485CF8" w:rsidRDefault="00485CF8" w:rsidP="00EC6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C431F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F562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C202DE"/>
    <w:multiLevelType w:val="multilevel"/>
    <w:tmpl w:val="433E2EE4"/>
    <w:lvl w:ilvl="0">
      <w:start w:val="3"/>
      <w:numFmt w:val="decimal"/>
      <w:lvlText w:val="%1"/>
      <w:lvlJc w:val="left"/>
      <w:pPr>
        <w:tabs>
          <w:tab w:val="num" w:pos="851"/>
        </w:tabs>
        <w:ind w:left="851" w:hanging="851"/>
      </w:pPr>
      <w:rPr>
        <w:rFonts w:cs="Times New Roman" w:hint="default"/>
      </w:rPr>
    </w:lvl>
    <w:lvl w:ilvl="1">
      <w:start w:val="3"/>
      <w:numFmt w:val="decimal"/>
      <w:lvlText w:val="%1.%2"/>
      <w:lvlJc w:val="left"/>
      <w:pPr>
        <w:tabs>
          <w:tab w:val="num" w:pos="851"/>
        </w:tabs>
        <w:ind w:left="851" w:hanging="851"/>
      </w:pPr>
      <w:rPr>
        <w:rFonts w:cs="Times New Roman" w:hint="default"/>
      </w:rPr>
    </w:lvl>
    <w:lvl w:ilvl="2">
      <w:start w:val="5"/>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8A253E"/>
    <w:multiLevelType w:val="multilevel"/>
    <w:tmpl w:val="D97E4630"/>
    <w:lvl w:ilvl="0">
      <w:start w:val="3"/>
      <w:numFmt w:val="decimal"/>
      <w:lvlText w:val="%1"/>
      <w:lvlJc w:val="left"/>
      <w:pPr>
        <w:tabs>
          <w:tab w:val="num" w:pos="851"/>
        </w:tabs>
        <w:ind w:left="851" w:hanging="851"/>
      </w:pPr>
      <w:rPr>
        <w:rFonts w:cs="Times New Roman" w:hint="default"/>
      </w:rPr>
    </w:lvl>
    <w:lvl w:ilvl="1">
      <w:start w:val="3"/>
      <w:numFmt w:val="decimal"/>
      <w:lvlText w:val="%1.%2"/>
      <w:lvlJc w:val="left"/>
      <w:pPr>
        <w:tabs>
          <w:tab w:val="num" w:pos="851"/>
        </w:tabs>
        <w:ind w:left="851" w:hanging="851"/>
      </w:pPr>
      <w:rPr>
        <w:rFonts w:cs="Times New Roman" w:hint="default"/>
      </w:rPr>
    </w:lvl>
    <w:lvl w:ilvl="2">
      <w:start w:val="3"/>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15:restartNumberingAfterBreak="0">
    <w:nsid w:val="1DCB237C"/>
    <w:multiLevelType w:val="hybridMultilevel"/>
    <w:tmpl w:val="3064C496"/>
    <w:lvl w:ilvl="0" w:tplc="377AA548">
      <w:start w:val="1"/>
      <w:numFmt w:val="decimal"/>
      <w:pStyle w:val="SubmissionNormal"/>
      <w:lvlText w:val="%1."/>
      <w:lvlJc w:val="left"/>
      <w:pPr>
        <w:tabs>
          <w:tab w:val="num" w:pos="294"/>
        </w:tabs>
        <w:ind w:left="294" w:hanging="360"/>
      </w:pPr>
      <w:rPr>
        <w:rFonts w:cs="Times New Roman" w:hint="default"/>
        <w:b w:val="0"/>
        <w:bCs w:val="0"/>
        <w:i w:val="0"/>
        <w:color w:val="auto"/>
        <w:sz w:val="23"/>
        <w:szCs w:val="23"/>
      </w:rPr>
    </w:lvl>
    <w:lvl w:ilvl="1" w:tplc="0C090019">
      <w:start w:val="1"/>
      <w:numFmt w:val="lowerLetter"/>
      <w:lvlText w:val="%2."/>
      <w:lvlJc w:val="left"/>
      <w:pPr>
        <w:tabs>
          <w:tab w:val="num" w:pos="523"/>
        </w:tabs>
        <w:ind w:left="523" w:hanging="360"/>
      </w:pPr>
      <w:rPr>
        <w:rFonts w:cs="Times New Roman"/>
      </w:rPr>
    </w:lvl>
    <w:lvl w:ilvl="2" w:tplc="0C09001B" w:tentative="1">
      <w:start w:val="1"/>
      <w:numFmt w:val="lowerRoman"/>
      <w:lvlText w:val="%3."/>
      <w:lvlJc w:val="right"/>
      <w:pPr>
        <w:tabs>
          <w:tab w:val="num" w:pos="1243"/>
        </w:tabs>
        <w:ind w:left="1243" w:hanging="180"/>
      </w:pPr>
      <w:rPr>
        <w:rFonts w:cs="Times New Roman"/>
      </w:rPr>
    </w:lvl>
    <w:lvl w:ilvl="3" w:tplc="0C09000F" w:tentative="1">
      <w:start w:val="1"/>
      <w:numFmt w:val="decimal"/>
      <w:lvlText w:val="%4."/>
      <w:lvlJc w:val="left"/>
      <w:pPr>
        <w:tabs>
          <w:tab w:val="num" w:pos="1963"/>
        </w:tabs>
        <w:ind w:left="1963" w:hanging="360"/>
      </w:pPr>
      <w:rPr>
        <w:rFonts w:cs="Times New Roman"/>
      </w:rPr>
    </w:lvl>
    <w:lvl w:ilvl="4" w:tplc="0C090019" w:tentative="1">
      <w:start w:val="1"/>
      <w:numFmt w:val="lowerLetter"/>
      <w:lvlText w:val="%5."/>
      <w:lvlJc w:val="left"/>
      <w:pPr>
        <w:tabs>
          <w:tab w:val="num" w:pos="2683"/>
        </w:tabs>
        <w:ind w:left="2683" w:hanging="360"/>
      </w:pPr>
      <w:rPr>
        <w:rFonts w:cs="Times New Roman"/>
      </w:rPr>
    </w:lvl>
    <w:lvl w:ilvl="5" w:tplc="0C09001B" w:tentative="1">
      <w:start w:val="1"/>
      <w:numFmt w:val="lowerRoman"/>
      <w:lvlText w:val="%6."/>
      <w:lvlJc w:val="right"/>
      <w:pPr>
        <w:tabs>
          <w:tab w:val="num" w:pos="3403"/>
        </w:tabs>
        <w:ind w:left="3403" w:hanging="180"/>
      </w:pPr>
      <w:rPr>
        <w:rFonts w:cs="Times New Roman"/>
      </w:rPr>
    </w:lvl>
    <w:lvl w:ilvl="6" w:tplc="0C09000F" w:tentative="1">
      <w:start w:val="1"/>
      <w:numFmt w:val="decimal"/>
      <w:lvlText w:val="%7."/>
      <w:lvlJc w:val="left"/>
      <w:pPr>
        <w:tabs>
          <w:tab w:val="num" w:pos="4123"/>
        </w:tabs>
        <w:ind w:left="4123" w:hanging="360"/>
      </w:pPr>
      <w:rPr>
        <w:rFonts w:cs="Times New Roman"/>
      </w:rPr>
    </w:lvl>
    <w:lvl w:ilvl="7" w:tplc="0C090019" w:tentative="1">
      <w:start w:val="1"/>
      <w:numFmt w:val="lowerLetter"/>
      <w:lvlText w:val="%8."/>
      <w:lvlJc w:val="left"/>
      <w:pPr>
        <w:tabs>
          <w:tab w:val="num" w:pos="4843"/>
        </w:tabs>
        <w:ind w:left="4843" w:hanging="360"/>
      </w:pPr>
      <w:rPr>
        <w:rFonts w:cs="Times New Roman"/>
      </w:rPr>
    </w:lvl>
    <w:lvl w:ilvl="8" w:tplc="0C09001B" w:tentative="1">
      <w:start w:val="1"/>
      <w:numFmt w:val="lowerRoman"/>
      <w:lvlText w:val="%9."/>
      <w:lvlJc w:val="right"/>
      <w:pPr>
        <w:tabs>
          <w:tab w:val="num" w:pos="5563"/>
        </w:tabs>
        <w:ind w:left="5563" w:hanging="180"/>
      </w:pPr>
      <w:rPr>
        <w:rFonts w:cs="Times New Roman"/>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2E24DAE"/>
    <w:multiLevelType w:val="hybridMultilevel"/>
    <w:tmpl w:val="D08C0696"/>
    <w:lvl w:ilvl="0" w:tplc="1CB839D4">
      <w:start w:val="1"/>
      <w:numFmt w:val="bullet"/>
      <w:pStyle w:val="ListParagraph"/>
      <w:lvlText w:val="•"/>
      <w:lvlJc w:val="left"/>
      <w:pPr>
        <w:tabs>
          <w:tab w:val="num" w:pos="431"/>
        </w:tabs>
        <w:ind w:left="431" w:hanging="357"/>
      </w:pPr>
      <w:rPr>
        <w:rFonts w:ascii="Arial" w:hAnsi="Arial" w:hint="default"/>
        <w:sz w:val="28"/>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09C6AB9"/>
    <w:multiLevelType w:val="multilevel"/>
    <w:tmpl w:val="0D608250"/>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6" w15:restartNumberingAfterBreak="0">
    <w:nsid w:val="42CD75EB"/>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FF7A73"/>
    <w:multiLevelType w:val="multilevel"/>
    <w:tmpl w:val="B9AA35A2"/>
    <w:lvl w:ilvl="0">
      <w:start w:val="1"/>
      <w:numFmt w:val="decimal"/>
      <w:lvlText w:val="%1"/>
      <w:lvlJc w:val="left"/>
      <w:pPr>
        <w:tabs>
          <w:tab w:val="num" w:pos="851"/>
        </w:tabs>
        <w:ind w:left="851" w:hanging="851"/>
      </w:pPr>
      <w:rPr>
        <w:rFonts w:cs="Times New Roman" w:hint="default"/>
      </w:rPr>
    </w:lvl>
    <w:lvl w:ilvl="1">
      <w:start w:val="1"/>
      <w:numFmt w:val="decimal"/>
      <w:lvlText w:val="2.%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2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9008C2"/>
    <w:multiLevelType w:val="multilevel"/>
    <w:tmpl w:val="0C09001D"/>
    <w:styleLink w:val="Style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3" w15:restartNumberingAfterBreak="0">
    <w:nsid w:val="60A856AF"/>
    <w:multiLevelType w:val="multilevel"/>
    <w:tmpl w:val="C6BCB484"/>
    <w:lvl w:ilvl="0">
      <w:start w:val="3"/>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6E7605F"/>
    <w:multiLevelType w:val="multilevel"/>
    <w:tmpl w:val="B282B81E"/>
    <w:lvl w:ilvl="0">
      <w:start w:val="3"/>
      <w:numFmt w:val="decimal"/>
      <w:lvlText w:val="%1"/>
      <w:lvlJc w:val="left"/>
      <w:pPr>
        <w:tabs>
          <w:tab w:val="num" w:pos="851"/>
        </w:tabs>
        <w:ind w:left="851" w:hanging="851"/>
      </w:pPr>
      <w:rPr>
        <w:rFonts w:cs="Times New Roman" w:hint="default"/>
      </w:rPr>
    </w:lvl>
    <w:lvl w:ilvl="1">
      <w:start w:val="3"/>
      <w:numFmt w:val="decimal"/>
      <w:lvlText w:val="%1.%2"/>
      <w:lvlJc w:val="left"/>
      <w:pPr>
        <w:tabs>
          <w:tab w:val="num" w:pos="851"/>
        </w:tabs>
        <w:ind w:left="851" w:hanging="851"/>
      </w:pPr>
      <w:rPr>
        <w:rFonts w:cs="Times New Roman" w:hint="default"/>
      </w:rPr>
    </w:lvl>
    <w:lvl w:ilvl="2">
      <w:start w:val="4"/>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36" w15:restartNumberingAfterBreak="0">
    <w:nsid w:val="77B10A7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E0A0A34"/>
    <w:multiLevelType w:val="multilevel"/>
    <w:tmpl w:val="43DA957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7FE53E87"/>
    <w:multiLevelType w:val="multilevel"/>
    <w:tmpl w:val="8F7C2D86"/>
    <w:styleLink w:val="Style1"/>
    <w:lvl w:ilvl="0">
      <w:start w:val="2"/>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851" w:hanging="851"/>
      </w:pPr>
      <w:rPr>
        <w:rFonts w:cs="Times New Roman" w:hint="default"/>
      </w:rPr>
    </w:lvl>
    <w:lvl w:ilvl="3">
      <w:start w:val="1"/>
      <w:numFmt w:val="lowerRoman"/>
      <w:lvlText w:val="(%4)"/>
      <w:lvlJc w:val="left"/>
      <w:pPr>
        <w:tabs>
          <w:tab w:val="num" w:pos="851"/>
        </w:tabs>
        <w:ind w:left="851" w:hanging="851"/>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2"/>
  </w:num>
  <w:num w:numId="8">
    <w:abstractNumId w:val="1"/>
  </w:num>
  <w:num w:numId="9">
    <w:abstractNumId w:val="4"/>
  </w:num>
  <w:num w:numId="10">
    <w:abstractNumId w:val="3"/>
  </w:num>
  <w:num w:numId="11">
    <w:abstractNumId w:val="31"/>
  </w:num>
  <w:num w:numId="12">
    <w:abstractNumId w:val="23"/>
  </w:num>
  <w:num w:numId="13">
    <w:abstractNumId w:val="18"/>
  </w:num>
  <w:num w:numId="14">
    <w:abstractNumId w:val="29"/>
  </w:num>
  <w:num w:numId="15">
    <w:abstractNumId w:val="19"/>
  </w:num>
  <w:num w:numId="16">
    <w:abstractNumId w:val="12"/>
  </w:num>
  <w:num w:numId="17">
    <w:abstractNumId w:val="37"/>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24"/>
  </w:num>
  <w:num w:numId="22">
    <w:abstractNumId w:val="1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34"/>
  </w:num>
  <w:num w:numId="28">
    <w:abstractNumId w:val="28"/>
  </w:num>
  <w:num w:numId="29">
    <w:abstractNumId w:val="17"/>
  </w:num>
  <w:num w:numId="30">
    <w:abstractNumId w:val="21"/>
  </w:num>
  <w:num w:numId="31">
    <w:abstractNumId w:val="30"/>
  </w:num>
  <w:num w:numId="32">
    <w:abstractNumId w:val="39"/>
  </w:num>
  <w:num w:numId="33">
    <w:abstractNumId w:val="33"/>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5"/>
  </w:num>
  <w:num w:numId="37">
    <w:abstractNumId w:val="14"/>
  </w:num>
  <w:num w:numId="38">
    <w:abstractNumId w:val="25"/>
  </w:num>
  <w:num w:numId="39">
    <w:abstractNumId w:val="38"/>
  </w:num>
  <w:num w:numId="40">
    <w:abstractNumId w:val="0"/>
  </w:num>
  <w:num w:numId="41">
    <w:abstractNumId w:val="26"/>
  </w:num>
  <w:num w:numId="42">
    <w:abstractNumId w:val="11"/>
  </w:num>
  <w:num w:numId="43">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37"/>
    <w:rsid w:val="00003D5B"/>
    <w:rsid w:val="0001254B"/>
    <w:rsid w:val="00013272"/>
    <w:rsid w:val="00021134"/>
    <w:rsid w:val="00022DCD"/>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6267F"/>
    <w:rsid w:val="002702D9"/>
    <w:rsid w:val="002A1BBC"/>
    <w:rsid w:val="002C7E3F"/>
    <w:rsid w:val="003040CA"/>
    <w:rsid w:val="00310ED4"/>
    <w:rsid w:val="0031492A"/>
    <w:rsid w:val="00316504"/>
    <w:rsid w:val="00316C1A"/>
    <w:rsid w:val="00321AF0"/>
    <w:rsid w:val="00377C8F"/>
    <w:rsid w:val="00381795"/>
    <w:rsid w:val="003931C7"/>
    <w:rsid w:val="003955AE"/>
    <w:rsid w:val="00395B25"/>
    <w:rsid w:val="003A533F"/>
    <w:rsid w:val="003B18A7"/>
    <w:rsid w:val="003B5800"/>
    <w:rsid w:val="003F0CEE"/>
    <w:rsid w:val="004215B3"/>
    <w:rsid w:val="0044361B"/>
    <w:rsid w:val="00444303"/>
    <w:rsid w:val="004561BE"/>
    <w:rsid w:val="00462D4C"/>
    <w:rsid w:val="00473DB9"/>
    <w:rsid w:val="00474063"/>
    <w:rsid w:val="00476EEA"/>
    <w:rsid w:val="00485CF8"/>
    <w:rsid w:val="00494D4B"/>
    <w:rsid w:val="004A1660"/>
    <w:rsid w:val="004A722D"/>
    <w:rsid w:val="004C2DDE"/>
    <w:rsid w:val="004F53EF"/>
    <w:rsid w:val="00503E04"/>
    <w:rsid w:val="00504B28"/>
    <w:rsid w:val="00513540"/>
    <w:rsid w:val="00522CED"/>
    <w:rsid w:val="0052532A"/>
    <w:rsid w:val="00554C04"/>
    <w:rsid w:val="005807EA"/>
    <w:rsid w:val="005A406C"/>
    <w:rsid w:val="005B7515"/>
    <w:rsid w:val="005C1654"/>
    <w:rsid w:val="005D04F4"/>
    <w:rsid w:val="005D1F34"/>
    <w:rsid w:val="005F5F45"/>
    <w:rsid w:val="005F5F64"/>
    <w:rsid w:val="00690313"/>
    <w:rsid w:val="00696390"/>
    <w:rsid w:val="006A6BB3"/>
    <w:rsid w:val="006B13C7"/>
    <w:rsid w:val="006B3680"/>
    <w:rsid w:val="006C2755"/>
    <w:rsid w:val="006D5EE5"/>
    <w:rsid w:val="006E06ED"/>
    <w:rsid w:val="006E06F5"/>
    <w:rsid w:val="007039FC"/>
    <w:rsid w:val="00706FAB"/>
    <w:rsid w:val="00707793"/>
    <w:rsid w:val="007169BB"/>
    <w:rsid w:val="00725D5E"/>
    <w:rsid w:val="007548CA"/>
    <w:rsid w:val="00770DCB"/>
    <w:rsid w:val="00775485"/>
    <w:rsid w:val="007841E1"/>
    <w:rsid w:val="00793676"/>
    <w:rsid w:val="007A7937"/>
    <w:rsid w:val="007D40BD"/>
    <w:rsid w:val="007E1866"/>
    <w:rsid w:val="007E6434"/>
    <w:rsid w:val="007E7C9F"/>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69F"/>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4EA6"/>
    <w:rsid w:val="00B2571E"/>
    <w:rsid w:val="00B277E0"/>
    <w:rsid w:val="00B52E2D"/>
    <w:rsid w:val="00B76653"/>
    <w:rsid w:val="00BA262D"/>
    <w:rsid w:val="00BC35DC"/>
    <w:rsid w:val="00BC79EB"/>
    <w:rsid w:val="00C076F2"/>
    <w:rsid w:val="00C12BF9"/>
    <w:rsid w:val="00C247EB"/>
    <w:rsid w:val="00C25BDA"/>
    <w:rsid w:val="00C53971"/>
    <w:rsid w:val="00C54FB1"/>
    <w:rsid w:val="00C80F9F"/>
    <w:rsid w:val="00CA0D78"/>
    <w:rsid w:val="00CB27A8"/>
    <w:rsid w:val="00CC1953"/>
    <w:rsid w:val="00CC4FE4"/>
    <w:rsid w:val="00CE7182"/>
    <w:rsid w:val="00D36D90"/>
    <w:rsid w:val="00D44139"/>
    <w:rsid w:val="00D65C76"/>
    <w:rsid w:val="00DA2F73"/>
    <w:rsid w:val="00DA42E8"/>
    <w:rsid w:val="00DB1105"/>
    <w:rsid w:val="00DC193F"/>
    <w:rsid w:val="00DC3C4F"/>
    <w:rsid w:val="00DC462F"/>
    <w:rsid w:val="00E24FA3"/>
    <w:rsid w:val="00E328CD"/>
    <w:rsid w:val="00E45954"/>
    <w:rsid w:val="00E462F0"/>
    <w:rsid w:val="00E65649"/>
    <w:rsid w:val="00E75D90"/>
    <w:rsid w:val="00E835AF"/>
    <w:rsid w:val="00E97C72"/>
    <w:rsid w:val="00E97EF8"/>
    <w:rsid w:val="00EC6FA9"/>
    <w:rsid w:val="00EE44D7"/>
    <w:rsid w:val="00F0660F"/>
    <w:rsid w:val="00F14C6D"/>
    <w:rsid w:val="00F25168"/>
    <w:rsid w:val="00F3100E"/>
    <w:rsid w:val="00F52B31"/>
    <w:rsid w:val="00F53230"/>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79A9946-0797-4E90-9FA3-F40A0532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rsid w:val="00F14C6D"/>
    <w:rPr>
      <w:rFonts w:ascii="Cambria" w:hAnsi="Cambria"/>
      <w:color w:val="404040"/>
      <w:lang w:val="en-AU" w:eastAsia="en-AU" w:bidi="ar-SA"/>
    </w:rPr>
  </w:style>
  <w:style w:type="character" w:customStyle="1" w:styleId="Heading9Char">
    <w:name w:val="Heading 9 Char"/>
    <w:basedOn w:val="DefaultParagraphFont"/>
    <w:link w:val="Heading9"/>
    <w:rsid w:val="00F14C6D"/>
    <w:rPr>
      <w:rFonts w:ascii="Cambria" w:hAnsi="Cambria"/>
      <w:i/>
      <w:iCs/>
      <w:color w:val="404040"/>
      <w:lang w:val="en-AU" w:eastAsia="en-AU" w:bidi="ar-SA"/>
    </w:rPr>
  </w:style>
  <w:style w:type="paragraph" w:styleId="Header">
    <w:name w:val="header"/>
    <w:basedOn w:val="Normal"/>
    <w:link w:val="HeaderChar"/>
    <w:uiPriority w:val="99"/>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uiPriority w:val="99"/>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locked/>
    <w:rsid w:val="00E45954"/>
    <w:pPr>
      <w:numPr>
        <w:numId w:val="11"/>
      </w:numPr>
    </w:pPr>
  </w:style>
  <w:style w:type="paragraph" w:styleId="TOC1">
    <w:name w:val="toc 1"/>
    <w:basedOn w:val="Normal"/>
    <w:next w:val="Normal"/>
    <w:autoRedefine/>
    <w:uiPriority w:val="39"/>
    <w:qFormat/>
    <w:locked/>
    <w:rsid w:val="002702D9"/>
    <w:pPr>
      <w:tabs>
        <w:tab w:val="right" w:leader="dot" w:pos="9060"/>
      </w:tabs>
      <w:spacing w:after="0"/>
      <w:ind w:left="720" w:hanging="720"/>
    </w:pPr>
    <w:rPr>
      <w:b/>
    </w:rPr>
  </w:style>
  <w:style w:type="paragraph" w:styleId="TOC2">
    <w:name w:val="toc 2"/>
    <w:basedOn w:val="Normal"/>
    <w:next w:val="Normal"/>
    <w:autoRedefine/>
    <w:uiPriority w:val="39"/>
    <w:qFormat/>
    <w:locked/>
    <w:rsid w:val="002702D9"/>
    <w:pPr>
      <w:spacing w:before="0" w:after="0"/>
      <w:ind w:left="958" w:hanging="720"/>
    </w:pPr>
    <w:rPr>
      <w:b/>
      <w:i/>
    </w:rPr>
  </w:style>
  <w:style w:type="paragraph" w:styleId="TOC4">
    <w:name w:val="toc 4"/>
    <w:basedOn w:val="Normal"/>
    <w:next w:val="Normal"/>
    <w:autoRedefine/>
    <w:uiPriority w:val="39"/>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qFormat/>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rsid w:val="00074CD6"/>
    <w:rPr>
      <w:rFonts w:ascii="Arial" w:hAnsi="Arial"/>
      <w:sz w:val="20"/>
      <w:vertAlign w:val="superscript"/>
    </w:rPr>
  </w:style>
  <w:style w:type="numbering" w:styleId="1ai">
    <w:name w:val="Outline List 1"/>
    <w:basedOn w:val="NoList"/>
    <w:locked/>
    <w:rsid w:val="00E45954"/>
    <w:pPr>
      <w:numPr>
        <w:numId w:val="12"/>
      </w:numPr>
    </w:pPr>
  </w:style>
  <w:style w:type="numbering" w:styleId="ArticleSection">
    <w:name w:val="Outline List 3"/>
    <w:basedOn w:val="NoList"/>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ink w:val="BodyTextChar"/>
    <w:semiHidden/>
    <w:locked/>
    <w:rsid w:val="00E45954"/>
    <w:pPr>
      <w:spacing w:after="120"/>
    </w:pPr>
  </w:style>
  <w:style w:type="paragraph" w:styleId="BodyText2">
    <w:name w:val="Body Text 2"/>
    <w:basedOn w:val="Normal"/>
    <w:link w:val="BodyText2Char"/>
    <w:semiHidden/>
    <w:locked/>
    <w:rsid w:val="00E45954"/>
    <w:pPr>
      <w:spacing w:after="120" w:line="480" w:lineRule="auto"/>
    </w:pPr>
  </w:style>
  <w:style w:type="paragraph" w:styleId="BodyText3">
    <w:name w:val="Body Text 3"/>
    <w:basedOn w:val="Normal"/>
    <w:link w:val="BodyText3Char"/>
    <w:semiHidden/>
    <w:locked/>
    <w:rsid w:val="00E45954"/>
    <w:pPr>
      <w:spacing w:after="120"/>
    </w:pPr>
    <w:rPr>
      <w:sz w:val="16"/>
      <w:szCs w:val="16"/>
    </w:rPr>
  </w:style>
  <w:style w:type="paragraph" w:styleId="BodyTextFirstIndent">
    <w:name w:val="Body Text First Indent"/>
    <w:basedOn w:val="BodyText"/>
    <w:link w:val="BodyTextFirstIndentChar"/>
    <w:semiHidden/>
    <w:locked/>
    <w:rsid w:val="00E45954"/>
    <w:pPr>
      <w:ind w:firstLine="210"/>
    </w:pPr>
  </w:style>
  <w:style w:type="paragraph" w:styleId="BodyTextIndent">
    <w:name w:val="Body Text Indent"/>
    <w:basedOn w:val="Normal"/>
    <w:link w:val="BodyTextIndentChar"/>
    <w:semiHidden/>
    <w:locked/>
    <w:rsid w:val="00E45954"/>
    <w:pPr>
      <w:spacing w:after="120"/>
      <w:ind w:left="283"/>
    </w:pPr>
  </w:style>
  <w:style w:type="paragraph" w:styleId="BodyTextFirstIndent2">
    <w:name w:val="Body Text First Indent 2"/>
    <w:basedOn w:val="BodyTextIndent"/>
    <w:link w:val="BodyTextFirstIndent2Char"/>
    <w:semiHidden/>
    <w:locked/>
    <w:rsid w:val="00E45954"/>
    <w:pPr>
      <w:ind w:firstLine="210"/>
    </w:pPr>
  </w:style>
  <w:style w:type="paragraph" w:styleId="BodyTextIndent2">
    <w:name w:val="Body Text Indent 2"/>
    <w:basedOn w:val="Normal"/>
    <w:link w:val="BodyTextIndent2Char"/>
    <w:semiHidden/>
    <w:locked/>
    <w:rsid w:val="00E45954"/>
    <w:pPr>
      <w:spacing w:after="120" w:line="480" w:lineRule="auto"/>
      <w:ind w:left="283"/>
    </w:pPr>
  </w:style>
  <w:style w:type="paragraph" w:styleId="BodyTextIndent3">
    <w:name w:val="Body Text Indent 3"/>
    <w:basedOn w:val="Normal"/>
    <w:link w:val="BodyTextIndent3Char"/>
    <w:semiHidden/>
    <w:locked/>
    <w:rsid w:val="00E45954"/>
    <w:pPr>
      <w:spacing w:after="120"/>
      <w:ind w:left="283"/>
    </w:pPr>
    <w:rPr>
      <w:sz w:val="16"/>
      <w:szCs w:val="16"/>
    </w:rPr>
  </w:style>
  <w:style w:type="paragraph" w:styleId="Closing">
    <w:name w:val="Closing"/>
    <w:basedOn w:val="Normal"/>
    <w:link w:val="ClosingChar"/>
    <w:semiHidden/>
    <w:locked/>
    <w:rsid w:val="00E45954"/>
    <w:pPr>
      <w:ind w:left="4252"/>
    </w:pPr>
  </w:style>
  <w:style w:type="paragraph" w:styleId="Date">
    <w:name w:val="Date"/>
    <w:basedOn w:val="Normal"/>
    <w:next w:val="Normal"/>
    <w:link w:val="DateChar"/>
    <w:semiHidden/>
    <w:locked/>
    <w:rsid w:val="00E45954"/>
  </w:style>
  <w:style w:type="paragraph" w:styleId="E-mailSignature">
    <w:name w:val="E-mail Signature"/>
    <w:basedOn w:val="Normal"/>
    <w:link w:val="E-mailSignatureChar"/>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basedOn w:val="DefaultParagraphFont"/>
    <w:uiPriority w:val="99"/>
    <w:semiHidden/>
    <w:rsid w:val="00074CD6"/>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link w:val="HTMLAddressChar"/>
    <w:semiHidden/>
    <w:locked/>
    <w:rsid w:val="00E45954"/>
    <w:rPr>
      <w:i/>
      <w:iCs/>
    </w:rPr>
  </w:style>
  <w:style w:type="character" w:styleId="HTMLCite">
    <w:name w:val="HTML Cite"/>
    <w:basedOn w:val="DefaultParagraphFont"/>
    <w:uiPriority w:val="99"/>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link w:val="HTMLPreformattedChar"/>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link w:val="MessageHeaderChar"/>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link w:val="NoteHeadingChar"/>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link w:val="SalutationChar"/>
    <w:semiHidden/>
    <w:locked/>
    <w:rsid w:val="00E45954"/>
  </w:style>
  <w:style w:type="paragraph" w:styleId="Signature">
    <w:name w:val="Signature"/>
    <w:basedOn w:val="Normal"/>
    <w:link w:val="SignatureChar"/>
    <w:semiHidden/>
    <w:locked/>
    <w:rsid w:val="00E45954"/>
    <w:pPr>
      <w:ind w:left="4252"/>
    </w:pPr>
  </w:style>
  <w:style w:type="paragraph" w:styleId="Subtitle">
    <w:name w:val="Subtitle"/>
    <w:basedOn w:val="Normal"/>
    <w:link w:val="SubtitleChar"/>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706FAB"/>
    <w:rPr>
      <w:rFonts w:ascii="Arial" w:hAnsi="Arial"/>
      <w:lang w:val="en-AU" w:eastAsia="en-AU" w:bidi="ar-SA"/>
    </w:rPr>
  </w:style>
  <w:style w:type="paragraph" w:styleId="BalloonText">
    <w:name w:val="Balloon Text"/>
    <w:basedOn w:val="Normal"/>
    <w:link w:val="BalloonTextChar"/>
    <w:unhideWhenUsed/>
    <w:locked/>
    <w:rsid w:val="009A569F"/>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A569F"/>
    <w:rPr>
      <w:rFonts w:ascii="Segoe UI" w:hAnsi="Segoe UI" w:cs="Segoe UI"/>
      <w:sz w:val="18"/>
      <w:szCs w:val="18"/>
    </w:rPr>
  </w:style>
  <w:style w:type="character" w:customStyle="1" w:styleId="BodyTextChar">
    <w:name w:val="Body Text Char"/>
    <w:basedOn w:val="DefaultParagraphFont"/>
    <w:link w:val="BodyText"/>
    <w:semiHidden/>
    <w:locked/>
    <w:rsid w:val="00F53230"/>
    <w:rPr>
      <w:rFonts w:ascii="Arial" w:hAnsi="Arial"/>
      <w:sz w:val="24"/>
      <w:szCs w:val="24"/>
    </w:rPr>
  </w:style>
  <w:style w:type="character" w:customStyle="1" w:styleId="BodyText2Char">
    <w:name w:val="Body Text 2 Char"/>
    <w:basedOn w:val="DefaultParagraphFont"/>
    <w:link w:val="BodyText2"/>
    <w:semiHidden/>
    <w:locked/>
    <w:rsid w:val="00F53230"/>
    <w:rPr>
      <w:rFonts w:ascii="Arial" w:hAnsi="Arial"/>
      <w:sz w:val="24"/>
      <w:szCs w:val="24"/>
    </w:rPr>
  </w:style>
  <w:style w:type="character" w:customStyle="1" w:styleId="BodyText3Char">
    <w:name w:val="Body Text 3 Char"/>
    <w:basedOn w:val="DefaultParagraphFont"/>
    <w:link w:val="BodyText3"/>
    <w:semiHidden/>
    <w:locked/>
    <w:rsid w:val="00F53230"/>
    <w:rPr>
      <w:rFonts w:ascii="Arial" w:hAnsi="Arial"/>
      <w:sz w:val="16"/>
      <w:szCs w:val="16"/>
    </w:rPr>
  </w:style>
  <w:style w:type="character" w:customStyle="1" w:styleId="BodyTextFirstIndentChar">
    <w:name w:val="Body Text First Indent Char"/>
    <w:basedOn w:val="BodyTextChar"/>
    <w:link w:val="BodyTextFirstIndent"/>
    <w:semiHidden/>
    <w:locked/>
    <w:rsid w:val="00F53230"/>
    <w:rPr>
      <w:rFonts w:ascii="Arial" w:hAnsi="Arial"/>
      <w:sz w:val="24"/>
      <w:szCs w:val="24"/>
    </w:rPr>
  </w:style>
  <w:style w:type="character" w:customStyle="1" w:styleId="BodyTextIndentChar">
    <w:name w:val="Body Text Indent Char"/>
    <w:basedOn w:val="DefaultParagraphFont"/>
    <w:link w:val="BodyTextIndent"/>
    <w:semiHidden/>
    <w:locked/>
    <w:rsid w:val="00F53230"/>
    <w:rPr>
      <w:rFonts w:ascii="Arial" w:hAnsi="Arial"/>
      <w:sz w:val="24"/>
      <w:szCs w:val="24"/>
    </w:rPr>
  </w:style>
  <w:style w:type="character" w:customStyle="1" w:styleId="BodyTextFirstIndent2Char">
    <w:name w:val="Body Text First Indent 2 Char"/>
    <w:basedOn w:val="BodyTextIndentChar"/>
    <w:link w:val="BodyTextFirstIndent2"/>
    <w:semiHidden/>
    <w:locked/>
    <w:rsid w:val="00F53230"/>
    <w:rPr>
      <w:rFonts w:ascii="Arial" w:hAnsi="Arial"/>
      <w:sz w:val="24"/>
      <w:szCs w:val="24"/>
    </w:rPr>
  </w:style>
  <w:style w:type="character" w:customStyle="1" w:styleId="BodyTextIndent2Char">
    <w:name w:val="Body Text Indent 2 Char"/>
    <w:basedOn w:val="DefaultParagraphFont"/>
    <w:link w:val="BodyTextIndent2"/>
    <w:semiHidden/>
    <w:locked/>
    <w:rsid w:val="00F53230"/>
    <w:rPr>
      <w:rFonts w:ascii="Arial" w:hAnsi="Arial"/>
      <w:sz w:val="24"/>
      <w:szCs w:val="24"/>
    </w:rPr>
  </w:style>
  <w:style w:type="character" w:customStyle="1" w:styleId="BodyTextIndent3Char">
    <w:name w:val="Body Text Indent 3 Char"/>
    <w:basedOn w:val="DefaultParagraphFont"/>
    <w:link w:val="BodyTextIndent3"/>
    <w:semiHidden/>
    <w:locked/>
    <w:rsid w:val="00F53230"/>
    <w:rPr>
      <w:rFonts w:ascii="Arial" w:hAnsi="Arial"/>
      <w:sz w:val="16"/>
      <w:szCs w:val="16"/>
    </w:rPr>
  </w:style>
  <w:style w:type="character" w:customStyle="1" w:styleId="ClosingChar">
    <w:name w:val="Closing Char"/>
    <w:basedOn w:val="DefaultParagraphFont"/>
    <w:link w:val="Closing"/>
    <w:semiHidden/>
    <w:locked/>
    <w:rsid w:val="00F53230"/>
    <w:rPr>
      <w:rFonts w:ascii="Arial" w:hAnsi="Arial"/>
      <w:sz w:val="24"/>
      <w:szCs w:val="24"/>
    </w:rPr>
  </w:style>
  <w:style w:type="character" w:customStyle="1" w:styleId="DateChar">
    <w:name w:val="Date Char"/>
    <w:basedOn w:val="DefaultParagraphFont"/>
    <w:link w:val="Date"/>
    <w:semiHidden/>
    <w:locked/>
    <w:rsid w:val="00F53230"/>
    <w:rPr>
      <w:rFonts w:ascii="Arial" w:hAnsi="Arial"/>
      <w:sz w:val="24"/>
      <w:szCs w:val="24"/>
    </w:rPr>
  </w:style>
  <w:style w:type="character" w:customStyle="1" w:styleId="E-mailSignatureChar">
    <w:name w:val="E-mail Signature Char"/>
    <w:basedOn w:val="DefaultParagraphFont"/>
    <w:link w:val="E-mailSignature"/>
    <w:semiHidden/>
    <w:locked/>
    <w:rsid w:val="00F53230"/>
    <w:rPr>
      <w:rFonts w:ascii="Arial" w:hAnsi="Arial"/>
      <w:sz w:val="24"/>
      <w:szCs w:val="24"/>
    </w:rPr>
  </w:style>
  <w:style w:type="character" w:customStyle="1" w:styleId="HTMLAddressChar">
    <w:name w:val="HTML Address Char"/>
    <w:basedOn w:val="DefaultParagraphFont"/>
    <w:link w:val="HTMLAddress"/>
    <w:semiHidden/>
    <w:locked/>
    <w:rsid w:val="00F53230"/>
    <w:rPr>
      <w:rFonts w:ascii="Arial" w:hAnsi="Arial"/>
      <w:i/>
      <w:iCs/>
      <w:sz w:val="24"/>
      <w:szCs w:val="24"/>
    </w:rPr>
  </w:style>
  <w:style w:type="character" w:customStyle="1" w:styleId="HTMLPreformattedChar">
    <w:name w:val="HTML Preformatted Char"/>
    <w:basedOn w:val="DefaultParagraphFont"/>
    <w:link w:val="HTMLPreformatted"/>
    <w:semiHidden/>
    <w:locked/>
    <w:rsid w:val="00F53230"/>
    <w:rPr>
      <w:rFonts w:ascii="Courier New" w:hAnsi="Courier New" w:cs="Courier New"/>
    </w:rPr>
  </w:style>
  <w:style w:type="character" w:customStyle="1" w:styleId="MessageHeaderChar">
    <w:name w:val="Message Header Char"/>
    <w:basedOn w:val="DefaultParagraphFont"/>
    <w:link w:val="MessageHeader"/>
    <w:semiHidden/>
    <w:locked/>
    <w:rsid w:val="00F53230"/>
    <w:rPr>
      <w:rFonts w:ascii="Arial" w:hAnsi="Arial" w:cs="Arial"/>
      <w:sz w:val="24"/>
      <w:szCs w:val="24"/>
      <w:shd w:val="pct20" w:color="auto" w:fill="auto"/>
    </w:rPr>
  </w:style>
  <w:style w:type="character" w:customStyle="1" w:styleId="NoteHeadingChar">
    <w:name w:val="Note Heading Char"/>
    <w:basedOn w:val="DefaultParagraphFont"/>
    <w:link w:val="NoteHeading"/>
    <w:semiHidden/>
    <w:locked/>
    <w:rsid w:val="00F53230"/>
    <w:rPr>
      <w:rFonts w:ascii="Arial" w:hAnsi="Arial"/>
      <w:sz w:val="24"/>
      <w:szCs w:val="24"/>
    </w:rPr>
  </w:style>
  <w:style w:type="character" w:customStyle="1" w:styleId="PlainTextChar">
    <w:name w:val="Plain Text Char"/>
    <w:basedOn w:val="DefaultParagraphFont"/>
    <w:link w:val="PlainText"/>
    <w:semiHidden/>
    <w:locked/>
    <w:rsid w:val="00F53230"/>
    <w:rPr>
      <w:rFonts w:ascii="Courier New" w:hAnsi="Courier New" w:cs="Courier New"/>
    </w:rPr>
  </w:style>
  <w:style w:type="character" w:customStyle="1" w:styleId="SalutationChar">
    <w:name w:val="Salutation Char"/>
    <w:basedOn w:val="DefaultParagraphFont"/>
    <w:link w:val="Salutation"/>
    <w:semiHidden/>
    <w:locked/>
    <w:rsid w:val="00F53230"/>
    <w:rPr>
      <w:rFonts w:ascii="Arial" w:hAnsi="Arial"/>
      <w:sz w:val="24"/>
      <w:szCs w:val="24"/>
    </w:rPr>
  </w:style>
  <w:style w:type="character" w:customStyle="1" w:styleId="SignatureChar">
    <w:name w:val="Signature Char"/>
    <w:basedOn w:val="DefaultParagraphFont"/>
    <w:link w:val="Signature"/>
    <w:semiHidden/>
    <w:locked/>
    <w:rsid w:val="00F53230"/>
    <w:rPr>
      <w:rFonts w:ascii="Arial" w:hAnsi="Arial"/>
      <w:sz w:val="24"/>
      <w:szCs w:val="24"/>
    </w:rPr>
  </w:style>
  <w:style w:type="character" w:customStyle="1" w:styleId="SubtitleChar">
    <w:name w:val="Subtitle Char"/>
    <w:basedOn w:val="DefaultParagraphFont"/>
    <w:link w:val="Subtitle"/>
    <w:locked/>
    <w:rsid w:val="00F53230"/>
    <w:rPr>
      <w:rFonts w:ascii="Arial" w:hAnsi="Arial" w:cs="Arial"/>
      <w:sz w:val="24"/>
      <w:szCs w:val="24"/>
    </w:rPr>
  </w:style>
  <w:style w:type="character" w:customStyle="1" w:styleId="TitleChar">
    <w:name w:val="Title Char"/>
    <w:basedOn w:val="DefaultParagraphFont"/>
    <w:link w:val="Title"/>
    <w:locked/>
    <w:rsid w:val="00F53230"/>
    <w:rPr>
      <w:rFonts w:ascii="Arial" w:hAnsi="Arial" w:cs="Arial"/>
      <w:b/>
      <w:bCs/>
      <w:kern w:val="28"/>
      <w:sz w:val="32"/>
      <w:szCs w:val="32"/>
    </w:rPr>
  </w:style>
  <w:style w:type="paragraph" w:customStyle="1" w:styleId="MainTitle">
    <w:name w:val="Main Title"/>
    <w:semiHidden/>
    <w:qFormat/>
    <w:rsid w:val="00F53230"/>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F53230"/>
    <w:pPr>
      <w:spacing w:line="200" w:lineRule="exact"/>
      <w:jc w:val="both"/>
    </w:pPr>
    <w:rPr>
      <w:rFonts w:cs="ArialMT"/>
      <w:color w:val="000000"/>
      <w:sz w:val="16"/>
      <w:lang w:eastAsia="en-US"/>
    </w:rPr>
  </w:style>
  <w:style w:type="paragraph" w:customStyle="1" w:styleId="LogoType">
    <w:name w:val="Logo Type"/>
    <w:basedOn w:val="Header"/>
    <w:semiHidden/>
    <w:rsid w:val="00F53230"/>
    <w:pPr>
      <w:pBdr>
        <w:bottom w:val="single" w:sz="4" w:space="4" w:color="auto"/>
      </w:pBdr>
      <w:tabs>
        <w:tab w:val="clear" w:pos="4513"/>
        <w:tab w:val="clear" w:pos="9026"/>
        <w:tab w:val="left" w:pos="4686"/>
        <w:tab w:val="left" w:pos="7088"/>
        <w:tab w:val="left" w:pos="7242"/>
      </w:tabs>
      <w:spacing w:line="320" w:lineRule="exact"/>
      <w:jc w:val="left"/>
    </w:pPr>
    <w:rPr>
      <w:rFonts w:eastAsia="MS Mincho" w:cs="ArialMT"/>
      <w:b/>
      <w:color w:val="808080"/>
      <w:spacing w:val="-20"/>
      <w:sz w:val="32"/>
      <w:lang w:eastAsia="en-US"/>
    </w:rPr>
  </w:style>
  <w:style w:type="paragraph" w:customStyle="1" w:styleId="SubmissionNormal">
    <w:name w:val="Submission Normal"/>
    <w:basedOn w:val="Normal"/>
    <w:link w:val="SubmissionNormalChar"/>
    <w:qFormat/>
    <w:rsid w:val="00F53230"/>
    <w:pPr>
      <w:numPr>
        <w:numId w:val="29"/>
      </w:numPr>
      <w:tabs>
        <w:tab w:val="clear" w:pos="294"/>
        <w:tab w:val="left" w:pos="851"/>
      </w:tabs>
      <w:ind w:left="851" w:hanging="851"/>
    </w:pPr>
    <w:rPr>
      <w:sz w:val="23"/>
    </w:rPr>
  </w:style>
  <w:style w:type="character" w:customStyle="1" w:styleId="SubmissionNormalChar">
    <w:name w:val="Submission Normal Char"/>
    <w:link w:val="SubmissionNormal"/>
    <w:locked/>
    <w:rsid w:val="00F53230"/>
    <w:rPr>
      <w:rFonts w:ascii="Arial" w:hAnsi="Arial"/>
      <w:sz w:val="23"/>
      <w:szCs w:val="24"/>
    </w:rPr>
  </w:style>
  <w:style w:type="paragraph" w:customStyle="1" w:styleId="coveraddresses">
    <w:name w:val="cover addresses"/>
    <w:basedOn w:val="Footer"/>
    <w:qFormat/>
    <w:rsid w:val="00F53230"/>
    <w:pPr>
      <w:tabs>
        <w:tab w:val="clear" w:pos="4513"/>
        <w:tab w:val="clear" w:pos="9026"/>
        <w:tab w:val="right" w:pos="2835"/>
        <w:tab w:val="right" w:pos="5670"/>
      </w:tabs>
      <w:spacing w:before="0" w:after="40"/>
      <w:jc w:val="left"/>
    </w:pPr>
    <w:rPr>
      <w:rFonts w:eastAsia="MS Mincho"/>
      <w:color w:val="404040"/>
      <w:sz w:val="16"/>
      <w:szCs w:val="16"/>
    </w:rPr>
  </w:style>
  <w:style w:type="paragraph" w:customStyle="1" w:styleId="coveraddress">
    <w:name w:val="cover address"/>
    <w:basedOn w:val="coveraddresses"/>
    <w:qFormat/>
    <w:rsid w:val="00F53230"/>
  </w:style>
  <w:style w:type="paragraph" w:styleId="ListParagraph">
    <w:name w:val="List Paragraph"/>
    <w:basedOn w:val="Normal"/>
    <w:link w:val="ListParagraphChar"/>
    <w:uiPriority w:val="34"/>
    <w:qFormat/>
    <w:rsid w:val="00F53230"/>
    <w:pPr>
      <w:numPr>
        <w:numId w:val="30"/>
      </w:numPr>
      <w:spacing w:before="120" w:after="120"/>
    </w:pPr>
    <w:rPr>
      <w:sz w:val="23"/>
    </w:rPr>
  </w:style>
  <w:style w:type="character" w:customStyle="1" w:styleId="st1">
    <w:name w:val="st1"/>
    <w:basedOn w:val="DefaultParagraphFont"/>
    <w:rsid w:val="00F53230"/>
    <w:rPr>
      <w:rFonts w:cs="Times New Roman"/>
    </w:rPr>
  </w:style>
  <w:style w:type="paragraph" w:customStyle="1" w:styleId="Default">
    <w:name w:val="Default"/>
    <w:rsid w:val="00F53230"/>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F53230"/>
    <w:pPr>
      <w:autoSpaceDE w:val="0"/>
      <w:autoSpaceDN w:val="0"/>
      <w:adjustRightInd w:val="0"/>
      <w:spacing w:before="0" w:after="0" w:line="181" w:lineRule="atLeast"/>
    </w:pPr>
    <w:rPr>
      <w:rFonts w:ascii="Helvetica Neue" w:hAnsi="Helvetica Neue"/>
    </w:rPr>
  </w:style>
  <w:style w:type="character" w:styleId="CommentReference">
    <w:name w:val="annotation reference"/>
    <w:basedOn w:val="DefaultParagraphFont"/>
    <w:locked/>
    <w:rsid w:val="00F53230"/>
    <w:rPr>
      <w:rFonts w:cs="Times New Roman"/>
      <w:sz w:val="16"/>
      <w:szCs w:val="16"/>
    </w:rPr>
  </w:style>
  <w:style w:type="paragraph" w:styleId="CommentText">
    <w:name w:val="annotation text"/>
    <w:basedOn w:val="Normal"/>
    <w:link w:val="CommentTextChar"/>
    <w:locked/>
    <w:rsid w:val="00F53230"/>
    <w:rPr>
      <w:sz w:val="20"/>
      <w:szCs w:val="20"/>
    </w:rPr>
  </w:style>
  <w:style w:type="character" w:customStyle="1" w:styleId="CommentTextChar">
    <w:name w:val="Comment Text Char"/>
    <w:basedOn w:val="DefaultParagraphFont"/>
    <w:link w:val="CommentText"/>
    <w:rsid w:val="00F53230"/>
    <w:rPr>
      <w:rFonts w:ascii="Arial" w:hAnsi="Arial"/>
    </w:rPr>
  </w:style>
  <w:style w:type="paragraph" w:styleId="CommentSubject">
    <w:name w:val="annotation subject"/>
    <w:basedOn w:val="CommentText"/>
    <w:next w:val="CommentText"/>
    <w:link w:val="CommentSubjectChar"/>
    <w:locked/>
    <w:rsid w:val="00F53230"/>
    <w:rPr>
      <w:b/>
      <w:bCs/>
    </w:rPr>
  </w:style>
  <w:style w:type="character" w:customStyle="1" w:styleId="CommentSubjectChar">
    <w:name w:val="Comment Subject Char"/>
    <w:basedOn w:val="CommentTextChar"/>
    <w:link w:val="CommentSubject"/>
    <w:rsid w:val="00F53230"/>
    <w:rPr>
      <w:rFonts w:ascii="Arial" w:hAnsi="Arial"/>
      <w:b/>
      <w:bCs/>
    </w:rPr>
  </w:style>
  <w:style w:type="paragraph" w:styleId="NoSpacing">
    <w:name w:val="No Spacing"/>
    <w:uiPriority w:val="1"/>
    <w:qFormat/>
    <w:rsid w:val="00F53230"/>
    <w:rPr>
      <w:rFonts w:ascii="Arial" w:eastAsia="MS Mincho" w:hAnsi="Arial"/>
      <w:sz w:val="24"/>
      <w:szCs w:val="24"/>
    </w:rPr>
  </w:style>
  <w:style w:type="character" w:customStyle="1" w:styleId="ListParagraphChar">
    <w:name w:val="List Paragraph Char"/>
    <w:link w:val="ListParagraph"/>
    <w:uiPriority w:val="34"/>
    <w:locked/>
    <w:rsid w:val="00F53230"/>
    <w:rPr>
      <w:rFonts w:ascii="Arial" w:hAnsi="Arial"/>
      <w:sz w:val="23"/>
      <w:szCs w:val="24"/>
    </w:rPr>
  </w:style>
  <w:style w:type="character" w:customStyle="1" w:styleId="date-display-single">
    <w:name w:val="date-display-single"/>
    <w:basedOn w:val="DefaultParagraphFont"/>
    <w:rsid w:val="00F53230"/>
    <w:rPr>
      <w:rFonts w:cs="Times New Roman"/>
    </w:rPr>
  </w:style>
  <w:style w:type="paragraph" w:styleId="Revision">
    <w:name w:val="Revision"/>
    <w:hidden/>
    <w:uiPriority w:val="99"/>
    <w:semiHidden/>
    <w:rsid w:val="00F53230"/>
    <w:rPr>
      <w:rFonts w:ascii="Arial" w:eastAsia="MS Mincho" w:hAnsi="Arial"/>
      <w:sz w:val="24"/>
      <w:szCs w:val="24"/>
    </w:rPr>
  </w:style>
  <w:style w:type="numbering" w:customStyle="1" w:styleId="Style11">
    <w:name w:val="Style11"/>
    <w:rsid w:val="00F53230"/>
    <w:pPr>
      <w:numPr>
        <w:numId w:val="31"/>
      </w:numPr>
    </w:pPr>
  </w:style>
  <w:style w:type="numbering" w:customStyle="1" w:styleId="Style1">
    <w:name w:val="Style1"/>
    <w:rsid w:val="00F5323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humanrights.gov.au/our-work/legal/publications/ka-kb-kc-and-kd-v-commonwealth-australia" TargetMode="External"/><Relationship Id="rId13" Type="http://schemas.openxmlformats.org/officeDocument/2006/relationships/hyperlink" Target="https://www.ombudsman.vic.gov.au/getattachment/6a579e49-212e-42b0-9d3c-791e2d60e102//reports-publications/parliamentary-reports/investigation-into-children-transferred-from-the-y.aspx" TargetMode="External"/><Relationship Id="rId3" Type="http://schemas.openxmlformats.org/officeDocument/2006/relationships/hyperlink" Target="https://www.humanrights.gov.au/publications/social-justice-and-native-title-report-2014" TargetMode="External"/><Relationship Id="rId7" Type="http://schemas.openxmlformats.org/officeDocument/2006/relationships/hyperlink" Target="https://www.humanrights.gov.au/our-work/disability-rights/publications/equal-law" TargetMode="External"/><Relationship Id="rId12" Type="http://schemas.openxmlformats.org/officeDocument/2006/relationships/hyperlink" Target="https://www.ombudsman.vic.gov.au/getattachment/2998b6e6-491a-4dfe-b081-9d86fe4d4921" TargetMode="External"/><Relationship Id="rId2" Type="http://schemas.openxmlformats.org/officeDocument/2006/relationships/hyperlink" Target="http://www.aihw.gov.au/publication-detail/?id=60129546738" TargetMode="External"/><Relationship Id="rId1" Type="http://schemas.openxmlformats.org/officeDocument/2006/relationships/hyperlink" Target="http://www.pc.gov.au/research/recurring/overcoming-indigenous-disadvantage/key-indicators-2014" TargetMode="External"/><Relationship Id="rId6" Type="http://schemas.openxmlformats.org/officeDocument/2006/relationships/hyperlink" Target="https://www.humanrights.gov.au/publications/social-justice-and-native-title-report-2014" TargetMode="External"/><Relationship Id="rId11" Type="http://schemas.openxmlformats.org/officeDocument/2006/relationships/hyperlink" Target="https://www.humanrights.gov.au/our-work/legal/submissions/submission-court-intervener-and-amicus-curiae" TargetMode="External"/><Relationship Id="rId5" Type="http://schemas.openxmlformats.org/officeDocument/2006/relationships/hyperlink" Target="https://www.humanrights.gov.au/our-work/aboriginal-and-torres-strait-islander-social-justice/publications/social-justice-and-nati-0" TargetMode="External"/><Relationship Id="rId10" Type="http://schemas.openxmlformats.org/officeDocument/2006/relationships/hyperlink" Target="http://www.parliament.nsw.gov.au/prod/parlment/publications.nsf/key/Mandatorysentencinglaws/$File/mandatory+sentencing+laws.pdf" TargetMode="External"/><Relationship Id="rId4" Type="http://schemas.openxmlformats.org/officeDocument/2006/relationships/hyperlink" Target="http://www.aph.gov.au/Parliamentary_Business/Committees/Senate/Legal_and_Constitutional_Affairs/Completed_inquiries/2010-13/justicereinvestment/report/index" TargetMode="External"/><Relationship Id="rId9" Type="http://schemas.openxmlformats.org/officeDocument/2006/relationships/hyperlink" Target="http://www.pwd.org.au/adjc/about-us-adjc.html" TargetMode="External"/><Relationship Id="rId14" Type="http://schemas.openxmlformats.org/officeDocument/2006/relationships/hyperlink" Target="https://www.humanrights.gov.au/publications/childrens-rights-report-20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1BC58-34E6-473F-AF1B-BBD00787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684</Words>
  <Characters>4286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Helen Potts</dc:creator>
  <cp:lastModifiedBy>Mala Wadhera</cp:lastModifiedBy>
  <cp:revision>13</cp:revision>
  <cp:lastPrinted>2015-06-11T05:29:00Z</cp:lastPrinted>
  <dcterms:created xsi:type="dcterms:W3CDTF">2015-06-21T23:08:00Z</dcterms:created>
  <dcterms:modified xsi:type="dcterms:W3CDTF">2015-06-30T04:24:00Z</dcterms:modified>
</cp:coreProperties>
</file>